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Continuous Monitoring Strategy</w:t>
      </w:r>
    </w:p>
    <w:p>
      <w:r>
        <w:t>Date: 2025-11-12</w:t>
      </w:r>
    </w:p>
    <w:p/>
    <w:p>
      <w:r>
        <w:t>• Monthly vulnerability scans; weekly configuration compliance; daily log analytics.</w:t>
      </w:r>
    </w:p>
    <w:p>
      <w:r>
        <w:t>• Quarterly control testing; annual independent assessment; monthly POA&amp;M updates.</w:t>
      </w:r>
    </w:p>
    <w:p>
      <w:r>
        <w:t>• Metrics and dashboards reported to AO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