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Configuration Management Plan</w:t>
      </w:r>
    </w:p>
    <w:p>
      <w:r>
        <w:t>Date: 2025-11-12</w:t>
      </w:r>
    </w:p>
    <w:p/>
    <w:p>
      <w:r>
        <w:t>• Infrastructure as Code with peer reviews and automated policy gates.</w:t>
      </w:r>
    </w:p>
    <w:p>
      <w:r>
        <w:t>• Change Control Board cadence and emergency change policy.</w:t>
      </w:r>
    </w:p>
    <w:p>
      <w:r>
        <w:t>• Configuration drift detection and rollback procedures.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