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Program Guide &amp; Process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Overview of RMF steps: Prepare → Categorize → Select → Implement → Assess → Authorize → Monitor.</w:t>
      </w:r>
    </w:p>
    <w:p>
      <w:r>
        <w:rPr>
          <w:rFonts w:ascii="Times New Roman" w:hAnsi="Times New Roman"/>
          <w:color w:val="000000"/>
          <w:sz w:val="22"/>
        </w:rPr>
        <w:t>• Per‑court isolation with shared inheritance; assessor‑ready evidence; reciprocity/reuse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