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ATO Overview — Authorization Strategy and Scope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Objective: Obtain Authority to Operate (ATO) for the Judiciary cloud platform and associated workloads under FedRAMP-aligned controls.</w:t>
      </w:r>
    </w:p>
    <w:p>
      <w:r>
        <w:rPr>
          <w:rFonts w:ascii="Times New Roman" w:hAnsi="Times New Roman"/>
          <w:color w:val="000000"/>
          <w:sz w:val="22"/>
        </w:rPr>
        <w:t>Approach: Mixed-impact environment with shared services at Moderate and segmented enclaves uplifted to High-equivalent protections where needed.</w:t>
      </w:r>
    </w:p>
    <w:p>
      <w:r>
        <w:rPr>
          <w:rFonts w:ascii="Times New Roman" w:hAnsi="Times New Roman"/>
          <w:color w:val="000000"/>
          <w:sz w:val="22"/>
        </w:rPr>
        <w:t>Artifacts: SSP, FIPS 199, Control Implementation Summary, Customer Responsibility Matrix, POA&amp;M, Continuous Monitoring Strategy, SAP/SAR.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