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Customer Responsibility Matrix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AC-2: AO Judiciary approves joiner/mover/leaver workflows; CCoE automates provisioning and RBAC enforcement.</w:t>
      </w:r>
    </w:p>
    <w:p>
      <w:r>
        <w:rPr>
          <w:rFonts w:ascii="Times New Roman" w:hAnsi="Times New Roman"/>
          <w:color w:val="000000"/>
          <w:sz w:val="22"/>
        </w:rPr>
        <w:t>• AU-2: AO defines retention and eDiscovery; CCoE centralizes collection and immutability.</w:t>
      </w:r>
    </w:p>
    <w:p>
      <w:r>
        <w:rPr>
          <w:rFonts w:ascii="Times New Roman" w:hAnsi="Times New Roman"/>
          <w:color w:val="000000"/>
          <w:sz w:val="22"/>
        </w:rPr>
        <w:t>• CM-2: AO approves baselines and windows; CCoE maintains IaC and policy guardrails.</w:t>
      </w:r>
    </w:p>
    <w:p>
      <w:r>
        <w:rPr>
          <w:rFonts w:ascii="Times New Roman" w:hAnsi="Times New Roman"/>
          <w:color w:val="000000"/>
          <w:sz w:val="22"/>
        </w:rPr>
        <w:t>• IR-4: AO designates incident leads; CCoE provides 24x7 triage and playbooks.</w:t>
      </w:r>
    </w:p>
    <w:p>
      <w:r>
        <w:rPr>
          <w:rFonts w:ascii="Times New Roman" w:hAnsi="Times New Roman"/>
          <w:color w:val="000000"/>
          <w:sz w:val="22"/>
        </w:rPr>
        <w:t>• SC-13: AO classifies data; CCoE implements KMS/HSM with rotation and separation of duties.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