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Monthly vulnerability scans; weekly configuration compliance; daily log analytics.</w:t>
      </w:r>
    </w:p>
    <w:p>
      <w:r>
        <w:rPr>
          <w:rFonts w:ascii="Times New Roman" w:hAnsi="Times New Roman"/>
          <w:color w:val="000000"/>
          <w:sz w:val="22"/>
        </w:rPr>
        <w:t>• Quarterly control testing; annual independent assessment; monthly POA&amp;M updates.</w:t>
      </w:r>
    </w:p>
    <w:p>
      <w:r>
        <w:rPr>
          <w:rFonts w:ascii="Times New Roman" w:hAnsi="Times New Roman"/>
          <w:color w:val="000000"/>
          <w:sz w:val="22"/>
        </w:rPr>
        <w:t>• Metrics and dashboards reported to AO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