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Authorization Boundary — Definition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cloud accounts/subscriptions/projects/tenancies in scope.</w:t>
      </w:r>
    </w:p>
    <w:p>
      <w:r>
        <w:rPr>
          <w:rFonts w:ascii="Times New Roman" w:hAnsi="Times New Roman"/>
          <w:color w:val="000000"/>
          <w:sz w:val="22"/>
        </w:rPr>
        <w:t>• Identify shared services (identity, logging, security tools, interconnects).</w:t>
      </w:r>
    </w:p>
    <w:p>
      <w:r>
        <w:rPr>
          <w:rFonts w:ascii="Times New Roman" w:hAnsi="Times New Roman"/>
          <w:color w:val="000000"/>
          <w:sz w:val="22"/>
        </w:rPr>
        <w:t>• Specify enclaves for High-impact workloads with segmentation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