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Configuration Management Plan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Infrastructure as Code with peer reviews and automated policy gates.</w:t>
      </w:r>
    </w:p>
    <w:p>
      <w:r>
        <w:rPr>
          <w:rFonts w:ascii="Times New Roman" w:hAnsi="Times New Roman"/>
          <w:color w:val="000000"/>
          <w:sz w:val="22"/>
        </w:rPr>
        <w:t>• Change Control Board cadence and emergency change policy.</w:t>
      </w:r>
    </w:p>
    <w:p>
      <w:r>
        <w:rPr>
          <w:rFonts w:ascii="Times New Roman" w:hAnsi="Times New Roman"/>
          <w:color w:val="000000"/>
          <w:sz w:val="22"/>
        </w:rPr>
        <w:t>• Configuration drift detection and rollback procedures.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