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1C9B8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Cloud Provider Selection Framework</w:t>
      </w:r>
    </w:p>
    <w:p w14:paraId="36B44BF5" w14:textId="77777777" w:rsidR="009F0173" w:rsidRPr="009F0173" w:rsidRDefault="009F0173" w:rsidP="009F0173">
      <w:r w:rsidRPr="009F0173">
        <w:rPr>
          <w:b/>
          <w:bCs/>
        </w:rPr>
        <w:t>Date: December 4, 2025</w:t>
      </w:r>
    </w:p>
    <w:p w14:paraId="3DD2C95D" w14:textId="77777777" w:rsidR="009F0173" w:rsidRPr="009F0173" w:rsidRDefault="009F0173" w:rsidP="009F0173">
      <w:r w:rsidRPr="009F0173">
        <w:t xml:space="preserve">This framework defines the standardized method for selecting the optimal cloud provider—or combination of providers—for each court or workload within the Federal Judiciary. The selection process uses a weighted scoring model to ensure decisions are </w:t>
      </w:r>
      <w:r w:rsidRPr="009F0173">
        <w:rPr>
          <w:b/>
          <w:bCs/>
        </w:rPr>
        <w:t>objective, defensible, transparent, and aligned with operational, security, and compliance requirements</w:t>
      </w:r>
      <w:r w:rsidRPr="009F0173">
        <w:t>.</w:t>
      </w:r>
    </w:p>
    <w:p w14:paraId="5A83BE5D" w14:textId="77777777" w:rsidR="009F0173" w:rsidRPr="009F0173" w:rsidRDefault="009F0173" w:rsidP="009F0173">
      <w:r w:rsidRPr="009F0173">
        <w:t xml:space="preserve">Each court or application workload is evaluated against a set of criteria that balance compliance mandates, performance requirements, cost considerations, technical fit, and long-term architectural strategy. The result is a </w:t>
      </w:r>
      <w:r w:rsidRPr="009F0173">
        <w:rPr>
          <w:b/>
          <w:bCs/>
        </w:rPr>
        <w:t>court-specific or workload-specific recommendation</w:t>
      </w:r>
      <w:r w:rsidRPr="009F0173">
        <w:t xml:space="preserve"> for AWS, Azure, Google Cloud, Oracle Cloud, or a multi-cloud combination.</w:t>
      </w:r>
    </w:p>
    <w:p w14:paraId="0B2ADDDD" w14:textId="77777777" w:rsidR="009F0173" w:rsidRPr="009F0173" w:rsidRDefault="009F0173" w:rsidP="009F0173">
      <w:r w:rsidRPr="009F0173">
        <w:pict w14:anchorId="7D7188CB">
          <v:rect id="_x0000_i1277" style="width:0;height:1.5pt" o:hralign="center" o:hrstd="t" o:hr="t" fillcolor="#a0a0a0" stroked="f"/>
        </w:pict>
      </w:r>
    </w:p>
    <w:p w14:paraId="068E263B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I. Scoring Model Overview</w:t>
      </w:r>
    </w:p>
    <w:p w14:paraId="165D48BA" w14:textId="77777777" w:rsidR="009F0173" w:rsidRPr="009F0173" w:rsidRDefault="009F0173" w:rsidP="009F0173">
      <w:r w:rsidRPr="009F0173">
        <w:t>11_Cloud_Selection_Framework</w:t>
      </w:r>
    </w:p>
    <w:p w14:paraId="13BBD041" w14:textId="77777777" w:rsidR="009F0173" w:rsidRPr="009F0173" w:rsidRDefault="009F0173" w:rsidP="009F0173">
      <w:r w:rsidRPr="009F0173">
        <w:t>Each criterion is given:</w:t>
      </w:r>
    </w:p>
    <w:p w14:paraId="2731086F" w14:textId="77777777" w:rsidR="009F0173" w:rsidRPr="009F0173" w:rsidRDefault="009F0173" w:rsidP="009F0173">
      <w:pPr>
        <w:numPr>
          <w:ilvl w:val="0"/>
          <w:numId w:val="10"/>
        </w:numPr>
      </w:pPr>
      <w:r w:rsidRPr="009F0173">
        <w:rPr>
          <w:b/>
          <w:bCs/>
        </w:rPr>
        <w:t>A Weight (0–5):</w:t>
      </w:r>
      <w:r w:rsidRPr="009F0173">
        <w:t xml:space="preserve"> Importance of the criterion for a given court/workload</w:t>
      </w:r>
    </w:p>
    <w:p w14:paraId="1F1D545B" w14:textId="77777777" w:rsidR="009F0173" w:rsidRPr="009F0173" w:rsidRDefault="009F0173" w:rsidP="009F0173">
      <w:pPr>
        <w:numPr>
          <w:ilvl w:val="0"/>
          <w:numId w:val="10"/>
        </w:numPr>
      </w:pPr>
      <w:r w:rsidRPr="009F0173">
        <w:rPr>
          <w:b/>
          <w:bCs/>
        </w:rPr>
        <w:t>A Score (0–5):</w:t>
      </w:r>
      <w:r w:rsidRPr="009F0173">
        <w:t xml:space="preserve"> How well the cloud provider satisfies that criterion</w:t>
      </w:r>
    </w:p>
    <w:p w14:paraId="4339EC38" w14:textId="77777777" w:rsidR="009F0173" w:rsidRPr="009F0173" w:rsidRDefault="009F0173" w:rsidP="009F0173">
      <w:pPr>
        <w:numPr>
          <w:ilvl w:val="0"/>
          <w:numId w:val="10"/>
        </w:numPr>
      </w:pPr>
      <w:r w:rsidRPr="009F0173">
        <w:rPr>
          <w:b/>
          <w:bCs/>
        </w:rPr>
        <w:t>A Weighted Score:</w:t>
      </w:r>
      <w:r w:rsidRPr="009F0173">
        <w:t xml:space="preserve"> Weight × Score</w:t>
      </w:r>
    </w:p>
    <w:p w14:paraId="2027ECEC" w14:textId="77777777" w:rsidR="009F0173" w:rsidRPr="009F0173" w:rsidRDefault="009F0173" w:rsidP="009F0173">
      <w:r w:rsidRPr="009F0173">
        <w:t>Weighted scores are summed to determine the recommended provider.</w:t>
      </w:r>
    </w:p>
    <w:p w14:paraId="36B8E5A3" w14:textId="77777777" w:rsidR="009F0173" w:rsidRPr="009F0173" w:rsidRDefault="009F0173" w:rsidP="009F0173">
      <w:r w:rsidRPr="009F0173">
        <w:t>This model supports:</w:t>
      </w:r>
    </w:p>
    <w:p w14:paraId="6E4E7820" w14:textId="77777777" w:rsidR="009F0173" w:rsidRPr="009F0173" w:rsidRDefault="009F0173" w:rsidP="009F0173">
      <w:pPr>
        <w:numPr>
          <w:ilvl w:val="0"/>
          <w:numId w:val="11"/>
        </w:numPr>
      </w:pPr>
      <w:r w:rsidRPr="009F0173">
        <w:t>Court autonomy</w:t>
      </w:r>
    </w:p>
    <w:p w14:paraId="536362A1" w14:textId="77777777" w:rsidR="009F0173" w:rsidRPr="009F0173" w:rsidRDefault="009F0173" w:rsidP="009F0173">
      <w:pPr>
        <w:numPr>
          <w:ilvl w:val="0"/>
          <w:numId w:val="11"/>
        </w:numPr>
      </w:pPr>
      <w:r w:rsidRPr="009F0173">
        <w:t>Objective evaluation</w:t>
      </w:r>
    </w:p>
    <w:p w14:paraId="26CB8FD5" w14:textId="77777777" w:rsidR="009F0173" w:rsidRPr="009F0173" w:rsidRDefault="009F0173" w:rsidP="009F0173">
      <w:pPr>
        <w:numPr>
          <w:ilvl w:val="0"/>
          <w:numId w:val="11"/>
        </w:numPr>
      </w:pPr>
      <w:r w:rsidRPr="009F0173">
        <w:t>Audit-ready documentation</w:t>
      </w:r>
    </w:p>
    <w:p w14:paraId="6A59B3F2" w14:textId="77777777" w:rsidR="009F0173" w:rsidRPr="009F0173" w:rsidRDefault="009F0173" w:rsidP="009F0173">
      <w:pPr>
        <w:numPr>
          <w:ilvl w:val="0"/>
          <w:numId w:val="11"/>
        </w:numPr>
      </w:pPr>
      <w:r w:rsidRPr="009F0173">
        <w:t>Cross-court consistency</w:t>
      </w:r>
    </w:p>
    <w:p w14:paraId="0E593564" w14:textId="77777777" w:rsidR="009F0173" w:rsidRPr="009F0173" w:rsidRDefault="009F0173" w:rsidP="009F0173">
      <w:r w:rsidRPr="009F0173">
        <w:pict w14:anchorId="0799BCE0">
          <v:rect id="_x0000_i1278" style="width:0;height:1.5pt" o:hralign="center" o:hrstd="t" o:hr="t" fillcolor="#a0a0a0" stroked="f"/>
        </w:pict>
      </w:r>
    </w:p>
    <w:p w14:paraId="0F61F514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II. Selection Criteria</w:t>
      </w:r>
    </w:p>
    <w:p w14:paraId="3C03B923" w14:textId="77777777" w:rsidR="009F0173" w:rsidRPr="009F0173" w:rsidRDefault="009F0173" w:rsidP="009F0173">
      <w:r w:rsidRPr="009F0173">
        <w:t>Below is the full set of selection criteria, including definitions, evaluation guidance, and considerations for each category.</w:t>
      </w:r>
    </w:p>
    <w:p w14:paraId="75E24861" w14:textId="77777777" w:rsidR="009F0173" w:rsidRPr="009F0173" w:rsidRDefault="009F0173" w:rsidP="009F0173">
      <w:r w:rsidRPr="009F0173">
        <w:pict w14:anchorId="2FEF8ADC">
          <v:rect id="_x0000_i1279" style="width:0;height:1.5pt" o:hralign="center" o:hrstd="t" o:hr="t" fillcolor="#a0a0a0" stroked="f"/>
        </w:pict>
      </w:r>
    </w:p>
    <w:p w14:paraId="04FFBB2F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1. Compliance &amp; Residency</w:t>
      </w:r>
    </w:p>
    <w:p w14:paraId="61BCBCFC" w14:textId="77777777" w:rsidR="009F0173" w:rsidRPr="009F0173" w:rsidRDefault="009F0173" w:rsidP="009F0173">
      <w:r w:rsidRPr="009F0173">
        <w:rPr>
          <w:b/>
          <w:bCs/>
        </w:rPr>
        <w:lastRenderedPageBreak/>
        <w:t>Weight: 5 (Highest priority)</w:t>
      </w:r>
    </w:p>
    <w:p w14:paraId="20AAF141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58F61F0E" w14:textId="77777777" w:rsidR="009F0173" w:rsidRPr="009F0173" w:rsidRDefault="009F0173" w:rsidP="009F0173">
      <w:r w:rsidRPr="009F0173">
        <w:t>Evaluates whether the cloud provider satisfies the judiciary’s compliance, data residency, and regulatory requirements, including:</w:t>
      </w:r>
    </w:p>
    <w:p w14:paraId="7512511F" w14:textId="77777777" w:rsidR="009F0173" w:rsidRPr="009F0173" w:rsidRDefault="009F0173" w:rsidP="009F0173">
      <w:pPr>
        <w:numPr>
          <w:ilvl w:val="0"/>
          <w:numId w:val="12"/>
        </w:numPr>
      </w:pPr>
      <w:r w:rsidRPr="009F0173">
        <w:t>FedRAMP Moderate or High</w:t>
      </w:r>
    </w:p>
    <w:p w14:paraId="5ABF07D3" w14:textId="77777777" w:rsidR="009F0173" w:rsidRPr="009F0173" w:rsidRDefault="009F0173" w:rsidP="009F0173">
      <w:pPr>
        <w:numPr>
          <w:ilvl w:val="0"/>
          <w:numId w:val="12"/>
        </w:numPr>
      </w:pPr>
      <w:r w:rsidRPr="009F0173">
        <w:t>CJIS compatibility</w:t>
      </w:r>
    </w:p>
    <w:p w14:paraId="6D9C0357" w14:textId="77777777" w:rsidR="009F0173" w:rsidRPr="009F0173" w:rsidRDefault="009F0173" w:rsidP="009F0173">
      <w:pPr>
        <w:numPr>
          <w:ilvl w:val="0"/>
          <w:numId w:val="12"/>
        </w:numPr>
      </w:pPr>
      <w:r w:rsidRPr="009F0173">
        <w:t>ITAR/Sovereignty controls (where needed)</w:t>
      </w:r>
    </w:p>
    <w:p w14:paraId="15390AB5" w14:textId="77777777" w:rsidR="009F0173" w:rsidRPr="009F0173" w:rsidRDefault="009F0173" w:rsidP="009F0173">
      <w:pPr>
        <w:numPr>
          <w:ilvl w:val="0"/>
          <w:numId w:val="12"/>
        </w:numPr>
      </w:pPr>
      <w:r w:rsidRPr="009F0173">
        <w:t>Regional availability aligned to court jurisdiction</w:t>
      </w:r>
    </w:p>
    <w:p w14:paraId="485C7D06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1F351CA8" w14:textId="77777777" w:rsidR="009F0173" w:rsidRPr="009F0173" w:rsidRDefault="009F0173" w:rsidP="009F0173">
      <w:pPr>
        <w:numPr>
          <w:ilvl w:val="0"/>
          <w:numId w:val="13"/>
        </w:numPr>
      </w:pPr>
      <w:r w:rsidRPr="009F0173">
        <w:t>Ability to ensure data remains within required geographic boundaries</w:t>
      </w:r>
    </w:p>
    <w:p w14:paraId="53992BD3" w14:textId="77777777" w:rsidR="009F0173" w:rsidRPr="009F0173" w:rsidRDefault="009F0173" w:rsidP="009F0173">
      <w:pPr>
        <w:numPr>
          <w:ilvl w:val="0"/>
          <w:numId w:val="13"/>
        </w:numPr>
      </w:pPr>
      <w:r w:rsidRPr="009F0173">
        <w:t>Support for encryption, log retention, and evidentiary integrity</w:t>
      </w:r>
    </w:p>
    <w:p w14:paraId="363332D7" w14:textId="77777777" w:rsidR="009F0173" w:rsidRPr="009F0173" w:rsidRDefault="009F0173" w:rsidP="009F0173">
      <w:pPr>
        <w:numPr>
          <w:ilvl w:val="0"/>
          <w:numId w:val="13"/>
        </w:numPr>
      </w:pPr>
      <w:r w:rsidRPr="009F0173">
        <w:t>Auditability and ATO readiness</w:t>
      </w:r>
    </w:p>
    <w:p w14:paraId="65323F3D" w14:textId="77777777" w:rsidR="009F0173" w:rsidRPr="009F0173" w:rsidRDefault="009F0173" w:rsidP="009F0173">
      <w:r w:rsidRPr="009F0173">
        <w:t>A provider scoring poorly here will likely be disqualified for certain workloads.</w:t>
      </w:r>
    </w:p>
    <w:p w14:paraId="53B0FEE5" w14:textId="77777777" w:rsidR="009F0173" w:rsidRPr="009F0173" w:rsidRDefault="009F0173" w:rsidP="009F0173">
      <w:r w:rsidRPr="009F0173">
        <w:pict w14:anchorId="13AED737">
          <v:rect id="_x0000_i1280" style="width:0;height:1.5pt" o:hralign="center" o:hrstd="t" o:hr="t" fillcolor="#a0a0a0" stroked="f"/>
        </w:pict>
      </w:r>
    </w:p>
    <w:p w14:paraId="482F7B12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2. Latency &amp; Network Fit</w:t>
      </w:r>
    </w:p>
    <w:p w14:paraId="6091403F" w14:textId="77777777" w:rsidR="009F0173" w:rsidRPr="009F0173" w:rsidRDefault="009F0173" w:rsidP="009F0173">
      <w:r w:rsidRPr="009F0173">
        <w:rPr>
          <w:b/>
          <w:bCs/>
        </w:rPr>
        <w:t>Weight: 4</w:t>
      </w:r>
    </w:p>
    <w:p w14:paraId="3F5AA181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12F2ABEE" w14:textId="77777777" w:rsidR="009F0173" w:rsidRPr="009F0173" w:rsidRDefault="009F0173" w:rsidP="009F0173">
      <w:r w:rsidRPr="009F0173">
        <w:t>Assesses the provider’s proximity, network performance, and ability to serve users with low latency across geographically dispersed courts.</w:t>
      </w:r>
    </w:p>
    <w:p w14:paraId="02BA89AE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49407EE0" w14:textId="77777777" w:rsidR="009F0173" w:rsidRPr="009F0173" w:rsidRDefault="009F0173" w:rsidP="009F0173">
      <w:pPr>
        <w:numPr>
          <w:ilvl w:val="0"/>
          <w:numId w:val="14"/>
        </w:numPr>
      </w:pPr>
      <w:r w:rsidRPr="009F0173">
        <w:t>Region proximity to court locations</w:t>
      </w:r>
    </w:p>
    <w:p w14:paraId="4A5026BA" w14:textId="77777777" w:rsidR="009F0173" w:rsidRPr="009F0173" w:rsidRDefault="009F0173" w:rsidP="009F0173">
      <w:pPr>
        <w:numPr>
          <w:ilvl w:val="0"/>
          <w:numId w:val="14"/>
        </w:numPr>
      </w:pPr>
      <w:r w:rsidRPr="009F0173">
        <w:t>Available network interconnects and private circuits</w:t>
      </w:r>
    </w:p>
    <w:p w14:paraId="7FEA85C2" w14:textId="77777777" w:rsidR="009F0173" w:rsidRPr="009F0173" w:rsidRDefault="009F0173" w:rsidP="009F0173">
      <w:pPr>
        <w:numPr>
          <w:ilvl w:val="0"/>
          <w:numId w:val="14"/>
        </w:numPr>
      </w:pPr>
      <w:r w:rsidRPr="009F0173">
        <w:t>Bandwidth and latency baselines</w:t>
      </w:r>
    </w:p>
    <w:p w14:paraId="631A5BA9" w14:textId="77777777" w:rsidR="009F0173" w:rsidRPr="009F0173" w:rsidRDefault="009F0173" w:rsidP="009F0173">
      <w:pPr>
        <w:numPr>
          <w:ilvl w:val="0"/>
          <w:numId w:val="14"/>
        </w:numPr>
      </w:pPr>
      <w:r w:rsidRPr="009F0173">
        <w:t>Suitability for high-throughput applications</w:t>
      </w:r>
    </w:p>
    <w:p w14:paraId="053B49B9" w14:textId="77777777" w:rsidR="009F0173" w:rsidRPr="009F0173" w:rsidRDefault="009F0173" w:rsidP="009F0173">
      <w:r w:rsidRPr="009F0173">
        <w:t>Workloads involving real-time access or video evidence may strongly favor providers with local regional presence.</w:t>
      </w:r>
    </w:p>
    <w:p w14:paraId="4E880431" w14:textId="77777777" w:rsidR="009F0173" w:rsidRPr="009F0173" w:rsidRDefault="009F0173" w:rsidP="009F0173">
      <w:r w:rsidRPr="009F0173">
        <w:pict w14:anchorId="358322C9">
          <v:rect id="_x0000_i1281" style="width:0;height:1.5pt" o:hralign="center" o:hrstd="t" o:hr="t" fillcolor="#a0a0a0" stroked="f"/>
        </w:pict>
      </w:r>
    </w:p>
    <w:p w14:paraId="5315984D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3. Required Services / PaaS Capabilities</w:t>
      </w:r>
    </w:p>
    <w:p w14:paraId="7E80AD44" w14:textId="77777777" w:rsidR="009F0173" w:rsidRPr="009F0173" w:rsidRDefault="009F0173" w:rsidP="009F0173">
      <w:r w:rsidRPr="009F0173">
        <w:rPr>
          <w:b/>
          <w:bCs/>
        </w:rPr>
        <w:lastRenderedPageBreak/>
        <w:t>Weight: 4</w:t>
      </w:r>
    </w:p>
    <w:p w14:paraId="29840E1A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4A1DD3C9" w14:textId="77777777" w:rsidR="009F0173" w:rsidRPr="009F0173" w:rsidRDefault="009F0173" w:rsidP="009F0173">
      <w:r w:rsidRPr="009F0173">
        <w:t>Determines whether the provider offers the necessary managed services, PaaS components, and modernization capabilities needed for the workload.</w:t>
      </w:r>
    </w:p>
    <w:p w14:paraId="7552A5C6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7EAEA260" w14:textId="77777777" w:rsidR="009F0173" w:rsidRPr="009F0173" w:rsidRDefault="009F0173" w:rsidP="009F0173">
      <w:pPr>
        <w:numPr>
          <w:ilvl w:val="0"/>
          <w:numId w:val="15"/>
        </w:numPr>
      </w:pPr>
      <w:r w:rsidRPr="009F0173">
        <w:t>Database options (managed SQL, NoSQL, OLAP)</w:t>
      </w:r>
    </w:p>
    <w:p w14:paraId="0C982A0D" w14:textId="77777777" w:rsidR="009F0173" w:rsidRPr="009F0173" w:rsidRDefault="009F0173" w:rsidP="009F0173">
      <w:pPr>
        <w:numPr>
          <w:ilvl w:val="0"/>
          <w:numId w:val="15"/>
        </w:numPr>
      </w:pPr>
      <w:r w:rsidRPr="009F0173">
        <w:t>Application hosting models (containers, serverless, app services)</w:t>
      </w:r>
    </w:p>
    <w:p w14:paraId="4491DADC" w14:textId="77777777" w:rsidR="009F0173" w:rsidRPr="009F0173" w:rsidRDefault="009F0173" w:rsidP="009F0173">
      <w:pPr>
        <w:numPr>
          <w:ilvl w:val="0"/>
          <w:numId w:val="15"/>
        </w:numPr>
      </w:pPr>
      <w:r w:rsidRPr="009F0173">
        <w:t xml:space="preserve">AI/ML, data lake, </w:t>
      </w:r>
      <w:proofErr w:type="spellStart"/>
      <w:r w:rsidRPr="009F0173">
        <w:t>eventing</w:t>
      </w:r>
      <w:proofErr w:type="spellEnd"/>
      <w:r w:rsidRPr="009F0173">
        <w:t>, workflow orchestration</w:t>
      </w:r>
    </w:p>
    <w:p w14:paraId="2A861539" w14:textId="77777777" w:rsidR="009F0173" w:rsidRPr="009F0173" w:rsidRDefault="009F0173" w:rsidP="009F0173">
      <w:pPr>
        <w:numPr>
          <w:ilvl w:val="0"/>
          <w:numId w:val="15"/>
        </w:numPr>
      </w:pPr>
      <w:r w:rsidRPr="009F0173">
        <w:t>Managed security tooling</w:t>
      </w:r>
    </w:p>
    <w:p w14:paraId="74E8E360" w14:textId="77777777" w:rsidR="009F0173" w:rsidRPr="009F0173" w:rsidRDefault="009F0173" w:rsidP="009F0173">
      <w:r w:rsidRPr="009F0173">
        <w:t>This category heavily influences modernization pathways (</w:t>
      </w:r>
      <w:proofErr w:type="spellStart"/>
      <w:r w:rsidRPr="009F0173">
        <w:t>replatform</w:t>
      </w:r>
      <w:proofErr w:type="spellEnd"/>
      <w:r w:rsidRPr="009F0173">
        <w:t xml:space="preserve"> vs. refactor).</w:t>
      </w:r>
    </w:p>
    <w:p w14:paraId="2567D881" w14:textId="77777777" w:rsidR="009F0173" w:rsidRPr="009F0173" w:rsidRDefault="009F0173" w:rsidP="009F0173">
      <w:r w:rsidRPr="009F0173">
        <w:pict w14:anchorId="02DA4FA4">
          <v:rect id="_x0000_i1282" style="width:0;height:1.5pt" o:hralign="center" o:hrstd="t" o:hr="t" fillcolor="#a0a0a0" stroked="f"/>
        </w:pict>
      </w:r>
    </w:p>
    <w:p w14:paraId="1BE9A5CE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4. Identity &amp; Access Fit</w:t>
      </w:r>
    </w:p>
    <w:p w14:paraId="6D8A9A9D" w14:textId="77777777" w:rsidR="009F0173" w:rsidRPr="009F0173" w:rsidRDefault="009F0173" w:rsidP="009F0173">
      <w:r w:rsidRPr="009F0173">
        <w:rPr>
          <w:b/>
          <w:bCs/>
        </w:rPr>
        <w:t>Weight: 3</w:t>
      </w:r>
    </w:p>
    <w:p w14:paraId="795A5D83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1AC25AC3" w14:textId="77777777" w:rsidR="009F0173" w:rsidRPr="009F0173" w:rsidRDefault="009F0173" w:rsidP="009F0173">
      <w:r w:rsidRPr="009F0173">
        <w:t>Evaluates integration maturity with centralized judiciary identity systems.</w:t>
      </w:r>
    </w:p>
    <w:p w14:paraId="2D209B2C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56EDA087" w14:textId="77777777" w:rsidR="009F0173" w:rsidRPr="009F0173" w:rsidRDefault="009F0173" w:rsidP="009F0173">
      <w:pPr>
        <w:numPr>
          <w:ilvl w:val="0"/>
          <w:numId w:val="16"/>
        </w:numPr>
      </w:pPr>
      <w:r w:rsidRPr="009F0173">
        <w:t>OIDC/SAML federation support</w:t>
      </w:r>
    </w:p>
    <w:p w14:paraId="75344810" w14:textId="77777777" w:rsidR="009F0173" w:rsidRPr="009F0173" w:rsidRDefault="009F0173" w:rsidP="009F0173">
      <w:pPr>
        <w:numPr>
          <w:ilvl w:val="0"/>
          <w:numId w:val="16"/>
        </w:numPr>
      </w:pPr>
      <w:r w:rsidRPr="009F0173">
        <w:t>SCIM/JIT provisioning</w:t>
      </w:r>
    </w:p>
    <w:p w14:paraId="71BD72AA" w14:textId="77777777" w:rsidR="009F0173" w:rsidRPr="009F0173" w:rsidRDefault="009F0173" w:rsidP="009F0173">
      <w:pPr>
        <w:numPr>
          <w:ilvl w:val="0"/>
          <w:numId w:val="16"/>
        </w:numPr>
      </w:pPr>
      <w:r w:rsidRPr="009F0173">
        <w:t>Ability to enforce RBAC/ABAC patterns</w:t>
      </w:r>
    </w:p>
    <w:p w14:paraId="0BE4D07B" w14:textId="77777777" w:rsidR="009F0173" w:rsidRPr="009F0173" w:rsidRDefault="009F0173" w:rsidP="009F0173">
      <w:pPr>
        <w:numPr>
          <w:ilvl w:val="0"/>
          <w:numId w:val="16"/>
        </w:numPr>
      </w:pPr>
      <w:r w:rsidRPr="009F0173">
        <w:t>MFA extensibility and credential support</w:t>
      </w:r>
    </w:p>
    <w:p w14:paraId="641EC7BD" w14:textId="77777777" w:rsidR="009F0173" w:rsidRPr="009F0173" w:rsidRDefault="009F0173" w:rsidP="009F0173">
      <w:r w:rsidRPr="009F0173">
        <w:t>A strong identity fit simplifies Zero Trust enforcement across courts.</w:t>
      </w:r>
    </w:p>
    <w:p w14:paraId="0BE17B53" w14:textId="77777777" w:rsidR="009F0173" w:rsidRPr="009F0173" w:rsidRDefault="009F0173" w:rsidP="009F0173">
      <w:r w:rsidRPr="009F0173">
        <w:pict w14:anchorId="0C2DF929">
          <v:rect id="_x0000_i1283" style="width:0;height:1.5pt" o:hralign="center" o:hrstd="t" o:hr="t" fillcolor="#a0a0a0" stroked="f"/>
        </w:pict>
      </w:r>
    </w:p>
    <w:p w14:paraId="6444D493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5. License &amp; Contract Leverage</w:t>
      </w:r>
    </w:p>
    <w:p w14:paraId="3F9BF8CC" w14:textId="77777777" w:rsidR="009F0173" w:rsidRPr="009F0173" w:rsidRDefault="009F0173" w:rsidP="009F0173">
      <w:r w:rsidRPr="009F0173">
        <w:rPr>
          <w:b/>
          <w:bCs/>
        </w:rPr>
        <w:t>Weight: 3</w:t>
      </w:r>
    </w:p>
    <w:p w14:paraId="5DA48B71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0C864605" w14:textId="77777777" w:rsidR="009F0173" w:rsidRPr="009F0173" w:rsidRDefault="009F0173" w:rsidP="009F0173">
      <w:r w:rsidRPr="009F0173">
        <w:t>Assesses leverage of existing licensing, enterprise agreements, or negotiated contract advantages.</w:t>
      </w:r>
    </w:p>
    <w:p w14:paraId="1638EABC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2091FBA0" w14:textId="77777777" w:rsidR="009F0173" w:rsidRPr="009F0173" w:rsidRDefault="009F0173" w:rsidP="009F0173">
      <w:pPr>
        <w:numPr>
          <w:ilvl w:val="0"/>
          <w:numId w:val="17"/>
        </w:numPr>
      </w:pPr>
      <w:r w:rsidRPr="009F0173">
        <w:lastRenderedPageBreak/>
        <w:t>Existing Microsoft, Oracle, or other enterprise licensing</w:t>
      </w:r>
    </w:p>
    <w:p w14:paraId="1B6EEDFD" w14:textId="77777777" w:rsidR="009F0173" w:rsidRPr="009F0173" w:rsidRDefault="009F0173" w:rsidP="009F0173">
      <w:pPr>
        <w:numPr>
          <w:ilvl w:val="0"/>
          <w:numId w:val="17"/>
        </w:numPr>
      </w:pPr>
      <w:r w:rsidRPr="009F0173">
        <w:t>Bring-your-own-license (BYOL) capabilities</w:t>
      </w:r>
    </w:p>
    <w:p w14:paraId="09ACB39E" w14:textId="77777777" w:rsidR="009F0173" w:rsidRPr="009F0173" w:rsidRDefault="009F0173" w:rsidP="009F0173">
      <w:pPr>
        <w:numPr>
          <w:ilvl w:val="0"/>
          <w:numId w:val="17"/>
        </w:numPr>
      </w:pPr>
      <w:r w:rsidRPr="009F0173">
        <w:t>Cost relief from migration incentives or committed spend agreements</w:t>
      </w:r>
    </w:p>
    <w:p w14:paraId="41736A6C" w14:textId="77777777" w:rsidR="009F0173" w:rsidRPr="009F0173" w:rsidRDefault="009F0173" w:rsidP="009F0173">
      <w:r w:rsidRPr="009F0173">
        <w:t>This can materially shift provider recommendations for specific courts or workloads.</w:t>
      </w:r>
    </w:p>
    <w:p w14:paraId="03C689A7" w14:textId="77777777" w:rsidR="009F0173" w:rsidRPr="009F0173" w:rsidRDefault="009F0173" w:rsidP="009F0173">
      <w:r w:rsidRPr="009F0173">
        <w:pict w14:anchorId="5ABC3E50">
          <v:rect id="_x0000_i1284" style="width:0;height:1.5pt" o:hralign="center" o:hrstd="t" o:hr="t" fillcolor="#a0a0a0" stroked="f"/>
        </w:pict>
      </w:r>
    </w:p>
    <w:p w14:paraId="729B8C07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6. Cost / FinOps Efficiency</w:t>
      </w:r>
    </w:p>
    <w:p w14:paraId="5457E9DE" w14:textId="77777777" w:rsidR="009F0173" w:rsidRPr="009F0173" w:rsidRDefault="009F0173" w:rsidP="009F0173">
      <w:r w:rsidRPr="009F0173">
        <w:rPr>
          <w:b/>
          <w:bCs/>
        </w:rPr>
        <w:t>Weight: 3</w:t>
      </w:r>
    </w:p>
    <w:p w14:paraId="4BB3D745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4D5641F1" w14:textId="77777777" w:rsidR="009F0173" w:rsidRPr="009F0173" w:rsidRDefault="009F0173" w:rsidP="009F0173">
      <w:r w:rsidRPr="009F0173">
        <w:t>Rates the relative cost efficiency of running a workload on each provider, including rightsizing, reserved instances, storage tiers, and operational overhead.</w:t>
      </w:r>
    </w:p>
    <w:p w14:paraId="012C8628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24236A93" w14:textId="77777777" w:rsidR="009F0173" w:rsidRPr="009F0173" w:rsidRDefault="009F0173" w:rsidP="009F0173">
      <w:pPr>
        <w:numPr>
          <w:ilvl w:val="0"/>
          <w:numId w:val="18"/>
        </w:numPr>
      </w:pPr>
      <w:r w:rsidRPr="009F0173">
        <w:t>CPU/memory unit pricing</w:t>
      </w:r>
    </w:p>
    <w:p w14:paraId="7DBC4C29" w14:textId="77777777" w:rsidR="009F0173" w:rsidRPr="009F0173" w:rsidRDefault="009F0173" w:rsidP="009F0173">
      <w:pPr>
        <w:numPr>
          <w:ilvl w:val="0"/>
          <w:numId w:val="18"/>
        </w:numPr>
      </w:pPr>
      <w:r w:rsidRPr="009F0173">
        <w:t>Storage cost structure</w:t>
      </w:r>
    </w:p>
    <w:p w14:paraId="3BC2C688" w14:textId="77777777" w:rsidR="009F0173" w:rsidRPr="009F0173" w:rsidRDefault="009F0173" w:rsidP="009F0173">
      <w:pPr>
        <w:numPr>
          <w:ilvl w:val="0"/>
          <w:numId w:val="18"/>
        </w:numPr>
      </w:pPr>
      <w:r w:rsidRPr="009F0173">
        <w:t>Data egress patterns</w:t>
      </w:r>
    </w:p>
    <w:p w14:paraId="3A47146A" w14:textId="77777777" w:rsidR="009F0173" w:rsidRPr="009F0173" w:rsidRDefault="009F0173" w:rsidP="009F0173">
      <w:pPr>
        <w:numPr>
          <w:ilvl w:val="0"/>
          <w:numId w:val="18"/>
        </w:numPr>
      </w:pPr>
      <w:r w:rsidRPr="009F0173">
        <w:t>Reserved instance/savings plan opportunities</w:t>
      </w:r>
    </w:p>
    <w:p w14:paraId="53E70B83" w14:textId="77777777" w:rsidR="009F0173" w:rsidRPr="009F0173" w:rsidRDefault="009F0173" w:rsidP="009F0173">
      <w:pPr>
        <w:numPr>
          <w:ilvl w:val="0"/>
          <w:numId w:val="18"/>
        </w:numPr>
      </w:pPr>
      <w:r w:rsidRPr="009F0173">
        <w:t>Operational cost of managed services vs. IaaS</w:t>
      </w:r>
    </w:p>
    <w:p w14:paraId="61B174BC" w14:textId="77777777" w:rsidR="009F0173" w:rsidRPr="009F0173" w:rsidRDefault="009F0173" w:rsidP="009F0173">
      <w:r w:rsidRPr="009F0173">
        <w:t>A workload with heavy compute or storage usage may be more cost-effective in one provider over another.</w:t>
      </w:r>
    </w:p>
    <w:p w14:paraId="6FD82975" w14:textId="77777777" w:rsidR="009F0173" w:rsidRPr="009F0173" w:rsidRDefault="009F0173" w:rsidP="009F0173">
      <w:r w:rsidRPr="009F0173">
        <w:pict w14:anchorId="02AF582D">
          <v:rect id="_x0000_i1285" style="width:0;height:1.5pt" o:hralign="center" o:hrstd="t" o:hr="t" fillcolor="#a0a0a0" stroked="f"/>
        </w:pict>
      </w:r>
    </w:p>
    <w:p w14:paraId="52BB738D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7. Resilience &amp; Disaster Recovery Fit</w:t>
      </w:r>
    </w:p>
    <w:p w14:paraId="7C4CC069" w14:textId="77777777" w:rsidR="009F0173" w:rsidRPr="009F0173" w:rsidRDefault="009F0173" w:rsidP="009F0173">
      <w:r w:rsidRPr="009F0173">
        <w:rPr>
          <w:b/>
          <w:bCs/>
        </w:rPr>
        <w:t>Weight: 3</w:t>
      </w:r>
    </w:p>
    <w:p w14:paraId="277E7455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3941A1D8" w14:textId="77777777" w:rsidR="009F0173" w:rsidRPr="009F0173" w:rsidRDefault="009F0173" w:rsidP="009F0173">
      <w:r w:rsidRPr="009F0173">
        <w:t>Evaluates the provider’s ability to support the required RTO/RPO for each workload.</w:t>
      </w:r>
    </w:p>
    <w:p w14:paraId="25EAA174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3540ABA5" w14:textId="77777777" w:rsidR="009F0173" w:rsidRPr="009F0173" w:rsidRDefault="009F0173" w:rsidP="009F0173">
      <w:pPr>
        <w:numPr>
          <w:ilvl w:val="0"/>
          <w:numId w:val="19"/>
        </w:numPr>
      </w:pPr>
      <w:r w:rsidRPr="009F0173">
        <w:t>Multi-region replication capabilities</w:t>
      </w:r>
    </w:p>
    <w:p w14:paraId="0D059DE1" w14:textId="77777777" w:rsidR="009F0173" w:rsidRPr="009F0173" w:rsidRDefault="009F0173" w:rsidP="009F0173">
      <w:pPr>
        <w:numPr>
          <w:ilvl w:val="0"/>
          <w:numId w:val="19"/>
        </w:numPr>
      </w:pPr>
      <w:r w:rsidRPr="009F0173">
        <w:t>Zone redundancy</w:t>
      </w:r>
    </w:p>
    <w:p w14:paraId="2B867869" w14:textId="77777777" w:rsidR="009F0173" w:rsidRPr="009F0173" w:rsidRDefault="009F0173" w:rsidP="009F0173">
      <w:pPr>
        <w:numPr>
          <w:ilvl w:val="0"/>
          <w:numId w:val="19"/>
        </w:numPr>
      </w:pPr>
      <w:r w:rsidRPr="009F0173">
        <w:t>Backup and snapshot tooling</w:t>
      </w:r>
    </w:p>
    <w:p w14:paraId="60C62C69" w14:textId="77777777" w:rsidR="009F0173" w:rsidRPr="009F0173" w:rsidRDefault="009F0173" w:rsidP="009F0173">
      <w:pPr>
        <w:numPr>
          <w:ilvl w:val="0"/>
          <w:numId w:val="19"/>
        </w:numPr>
      </w:pPr>
      <w:r w:rsidRPr="009F0173">
        <w:lastRenderedPageBreak/>
        <w:t>Cross-region and cross-cloud DR patterns</w:t>
      </w:r>
    </w:p>
    <w:p w14:paraId="2DA290F0" w14:textId="77777777" w:rsidR="009F0173" w:rsidRPr="009F0173" w:rsidRDefault="009F0173" w:rsidP="009F0173">
      <w:r w:rsidRPr="009F0173">
        <w:t>This is essential for mission-critical or case-processing systems.</w:t>
      </w:r>
    </w:p>
    <w:p w14:paraId="509F0407" w14:textId="77777777" w:rsidR="009F0173" w:rsidRPr="009F0173" w:rsidRDefault="009F0173" w:rsidP="009F0173">
      <w:r w:rsidRPr="009F0173">
        <w:pict w14:anchorId="1BD667BA">
          <v:rect id="_x0000_i1286" style="width:0;height:1.5pt" o:hralign="center" o:hrstd="t" o:hr="t" fillcolor="#a0a0a0" stroked="f"/>
        </w:pict>
      </w:r>
    </w:p>
    <w:p w14:paraId="7F6A6D43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8. Data Gravity</w:t>
      </w:r>
    </w:p>
    <w:p w14:paraId="30EE92AF" w14:textId="77777777" w:rsidR="009F0173" w:rsidRPr="009F0173" w:rsidRDefault="009F0173" w:rsidP="009F0173">
      <w:r w:rsidRPr="009F0173">
        <w:rPr>
          <w:b/>
          <w:bCs/>
        </w:rPr>
        <w:t>Weight: 2</w:t>
      </w:r>
    </w:p>
    <w:p w14:paraId="4B7E1A6A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3FC8425A" w14:textId="77777777" w:rsidR="009F0173" w:rsidRPr="009F0173" w:rsidRDefault="009F0173" w:rsidP="009F0173">
      <w:r w:rsidRPr="009F0173">
        <w:t>Judges how the workload interacts with existing data stores or ecosystems.</w:t>
      </w:r>
    </w:p>
    <w:p w14:paraId="00A65B7A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09101690" w14:textId="77777777" w:rsidR="009F0173" w:rsidRPr="009F0173" w:rsidRDefault="009F0173" w:rsidP="009F0173">
      <w:pPr>
        <w:numPr>
          <w:ilvl w:val="0"/>
          <w:numId w:val="20"/>
        </w:numPr>
      </w:pPr>
      <w:r w:rsidRPr="009F0173">
        <w:t>Proximity to existing databases</w:t>
      </w:r>
    </w:p>
    <w:p w14:paraId="493E517A" w14:textId="77777777" w:rsidR="009F0173" w:rsidRPr="009F0173" w:rsidRDefault="009F0173" w:rsidP="009F0173">
      <w:pPr>
        <w:numPr>
          <w:ilvl w:val="0"/>
          <w:numId w:val="20"/>
        </w:numPr>
      </w:pPr>
      <w:r w:rsidRPr="009F0173">
        <w:t>ETL pipelines</w:t>
      </w:r>
    </w:p>
    <w:p w14:paraId="76C89F61" w14:textId="77777777" w:rsidR="009F0173" w:rsidRPr="009F0173" w:rsidRDefault="009F0173" w:rsidP="009F0173">
      <w:pPr>
        <w:numPr>
          <w:ilvl w:val="0"/>
          <w:numId w:val="20"/>
        </w:numPr>
      </w:pPr>
      <w:r w:rsidRPr="009F0173">
        <w:t>Integration frequency with other systems</w:t>
      </w:r>
    </w:p>
    <w:p w14:paraId="09973D89" w14:textId="77777777" w:rsidR="009F0173" w:rsidRPr="009F0173" w:rsidRDefault="009F0173" w:rsidP="009F0173">
      <w:pPr>
        <w:numPr>
          <w:ilvl w:val="0"/>
          <w:numId w:val="20"/>
        </w:numPr>
      </w:pPr>
      <w:r w:rsidRPr="009F0173">
        <w:t>Large dataset transfer constraints</w:t>
      </w:r>
    </w:p>
    <w:p w14:paraId="0A205676" w14:textId="77777777" w:rsidR="009F0173" w:rsidRPr="009F0173" w:rsidRDefault="009F0173" w:rsidP="009F0173">
      <w:r w:rsidRPr="009F0173">
        <w:t>High–data-gravity workloads may stay where their largest datasets already reside.</w:t>
      </w:r>
    </w:p>
    <w:p w14:paraId="15A1AE5C" w14:textId="77777777" w:rsidR="009F0173" w:rsidRPr="009F0173" w:rsidRDefault="009F0173" w:rsidP="009F0173">
      <w:r w:rsidRPr="009F0173">
        <w:pict w14:anchorId="0B5618F4">
          <v:rect id="_x0000_i1287" style="width:0;height:1.5pt" o:hralign="center" o:hrstd="t" o:hr="t" fillcolor="#a0a0a0" stroked="f"/>
        </w:pict>
      </w:r>
    </w:p>
    <w:p w14:paraId="76AAA974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9. Portability / Exit Risk</w:t>
      </w:r>
    </w:p>
    <w:p w14:paraId="0C33C386" w14:textId="77777777" w:rsidR="009F0173" w:rsidRPr="009F0173" w:rsidRDefault="009F0173" w:rsidP="009F0173">
      <w:r w:rsidRPr="009F0173">
        <w:rPr>
          <w:b/>
          <w:bCs/>
        </w:rPr>
        <w:t>Weight: 2</w:t>
      </w:r>
    </w:p>
    <w:p w14:paraId="38E0B33D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Definition</w:t>
      </w:r>
    </w:p>
    <w:p w14:paraId="1F48F08C" w14:textId="77777777" w:rsidR="009F0173" w:rsidRPr="009F0173" w:rsidRDefault="009F0173" w:rsidP="009F0173">
      <w:r w:rsidRPr="009F0173">
        <w:t>Measures the judiciary’s ability to exit or migrate away from the provider in the future.</w:t>
      </w:r>
    </w:p>
    <w:p w14:paraId="4C40E5FA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Considerations</w:t>
      </w:r>
    </w:p>
    <w:p w14:paraId="70C38DB8" w14:textId="77777777" w:rsidR="009F0173" w:rsidRPr="009F0173" w:rsidRDefault="009F0173" w:rsidP="009F0173">
      <w:pPr>
        <w:numPr>
          <w:ilvl w:val="0"/>
          <w:numId w:val="21"/>
        </w:numPr>
      </w:pPr>
      <w:r w:rsidRPr="009F0173">
        <w:t>Use of proprietary services</w:t>
      </w:r>
    </w:p>
    <w:p w14:paraId="1920CD3F" w14:textId="77777777" w:rsidR="009F0173" w:rsidRPr="009F0173" w:rsidRDefault="009F0173" w:rsidP="009F0173">
      <w:pPr>
        <w:numPr>
          <w:ilvl w:val="0"/>
          <w:numId w:val="21"/>
        </w:numPr>
      </w:pPr>
      <w:r w:rsidRPr="009F0173">
        <w:t>Architectural lock-in</w:t>
      </w:r>
    </w:p>
    <w:p w14:paraId="1A6EB80A" w14:textId="77777777" w:rsidR="009F0173" w:rsidRPr="009F0173" w:rsidRDefault="009F0173" w:rsidP="009F0173">
      <w:pPr>
        <w:numPr>
          <w:ilvl w:val="0"/>
          <w:numId w:val="21"/>
        </w:numPr>
      </w:pPr>
      <w:r w:rsidRPr="009F0173">
        <w:t>Licensing constraints</w:t>
      </w:r>
    </w:p>
    <w:p w14:paraId="24971C6B" w14:textId="77777777" w:rsidR="009F0173" w:rsidRPr="009F0173" w:rsidRDefault="009F0173" w:rsidP="009F0173">
      <w:pPr>
        <w:numPr>
          <w:ilvl w:val="0"/>
          <w:numId w:val="21"/>
        </w:numPr>
      </w:pPr>
      <w:r w:rsidRPr="009F0173">
        <w:t>Data extraction difficulty</w:t>
      </w:r>
    </w:p>
    <w:p w14:paraId="542A04F8" w14:textId="77777777" w:rsidR="009F0173" w:rsidRPr="009F0173" w:rsidRDefault="009F0173" w:rsidP="009F0173">
      <w:r w:rsidRPr="009F0173">
        <w:t>Lower exit risk generally favors long-term flexibility.</w:t>
      </w:r>
    </w:p>
    <w:p w14:paraId="6B0D7E99" w14:textId="77777777" w:rsidR="009F0173" w:rsidRPr="009F0173" w:rsidRDefault="009F0173" w:rsidP="009F0173">
      <w:r w:rsidRPr="009F0173">
        <w:pict w14:anchorId="0107EC9C">
          <v:rect id="_x0000_i1288" style="width:0;height:1.5pt" o:hralign="center" o:hrstd="t" o:hr="t" fillcolor="#a0a0a0" stroked="f"/>
        </w:pict>
      </w:r>
    </w:p>
    <w:p w14:paraId="7FBEB1FC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III. Example Scoring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066"/>
        <w:gridCol w:w="907"/>
        <w:gridCol w:w="1315"/>
        <w:gridCol w:w="3338"/>
      </w:tblGrid>
      <w:tr w:rsidR="009F0173" w:rsidRPr="009F0173" w14:paraId="7007FD71" w14:textId="77777777" w:rsidTr="009F0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EFADF" w14:textId="77777777" w:rsidR="009F0173" w:rsidRPr="009F0173" w:rsidRDefault="009F0173" w:rsidP="009F0173">
            <w:pPr>
              <w:rPr>
                <w:b/>
                <w:bCs/>
              </w:rPr>
            </w:pPr>
            <w:r w:rsidRPr="009F0173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26AB0D43" w14:textId="77777777" w:rsidR="009F0173" w:rsidRPr="009F0173" w:rsidRDefault="009F0173" w:rsidP="009F0173">
            <w:pPr>
              <w:rPr>
                <w:b/>
                <w:bCs/>
              </w:rPr>
            </w:pPr>
            <w:r w:rsidRPr="009F0173">
              <w:rPr>
                <w:b/>
                <w:bCs/>
              </w:rPr>
              <w:t>Weight (0–5)</w:t>
            </w:r>
          </w:p>
        </w:tc>
        <w:tc>
          <w:tcPr>
            <w:tcW w:w="0" w:type="auto"/>
            <w:vAlign w:val="center"/>
            <w:hideMark/>
          </w:tcPr>
          <w:p w14:paraId="0B288B6D" w14:textId="77777777" w:rsidR="009F0173" w:rsidRPr="009F0173" w:rsidRDefault="009F0173" w:rsidP="009F0173">
            <w:pPr>
              <w:rPr>
                <w:b/>
                <w:bCs/>
              </w:rPr>
            </w:pPr>
            <w:r w:rsidRPr="009F0173">
              <w:rPr>
                <w:b/>
                <w:bCs/>
              </w:rPr>
              <w:t>Score (0–5)</w:t>
            </w:r>
          </w:p>
        </w:tc>
        <w:tc>
          <w:tcPr>
            <w:tcW w:w="0" w:type="auto"/>
            <w:vAlign w:val="center"/>
            <w:hideMark/>
          </w:tcPr>
          <w:p w14:paraId="2D797E09" w14:textId="77777777" w:rsidR="009F0173" w:rsidRPr="009F0173" w:rsidRDefault="009F0173" w:rsidP="009F0173">
            <w:pPr>
              <w:rPr>
                <w:b/>
                <w:bCs/>
              </w:rPr>
            </w:pPr>
            <w:r w:rsidRPr="009F0173">
              <w:rPr>
                <w:b/>
                <w:bCs/>
              </w:rPr>
              <w:t>Weighted Score</w:t>
            </w:r>
          </w:p>
        </w:tc>
        <w:tc>
          <w:tcPr>
            <w:tcW w:w="0" w:type="auto"/>
            <w:vAlign w:val="center"/>
            <w:hideMark/>
          </w:tcPr>
          <w:p w14:paraId="28E4E3E8" w14:textId="77777777" w:rsidR="009F0173" w:rsidRPr="009F0173" w:rsidRDefault="009F0173" w:rsidP="009F0173">
            <w:pPr>
              <w:rPr>
                <w:b/>
                <w:bCs/>
              </w:rPr>
            </w:pPr>
            <w:r w:rsidRPr="009F0173">
              <w:rPr>
                <w:b/>
                <w:bCs/>
              </w:rPr>
              <w:t>Notes</w:t>
            </w:r>
          </w:p>
        </w:tc>
      </w:tr>
      <w:tr w:rsidR="009F0173" w:rsidRPr="009F0173" w14:paraId="01448EB5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C0CC" w14:textId="77777777" w:rsidR="009F0173" w:rsidRPr="009F0173" w:rsidRDefault="009F0173" w:rsidP="009F0173">
            <w:r w:rsidRPr="009F0173">
              <w:t>Compliance &amp; Residency</w:t>
            </w:r>
          </w:p>
        </w:tc>
        <w:tc>
          <w:tcPr>
            <w:tcW w:w="0" w:type="auto"/>
            <w:vAlign w:val="center"/>
            <w:hideMark/>
          </w:tcPr>
          <w:p w14:paraId="01FB4FEB" w14:textId="77777777" w:rsidR="009F0173" w:rsidRPr="009F0173" w:rsidRDefault="009F0173" w:rsidP="009F0173">
            <w:r w:rsidRPr="009F0173">
              <w:t>5</w:t>
            </w:r>
          </w:p>
        </w:tc>
        <w:tc>
          <w:tcPr>
            <w:tcW w:w="0" w:type="auto"/>
            <w:vAlign w:val="center"/>
            <w:hideMark/>
          </w:tcPr>
          <w:p w14:paraId="21359CF3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20D2E10F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510D191" w14:textId="77777777" w:rsidR="009F0173" w:rsidRPr="009F0173" w:rsidRDefault="009F0173" w:rsidP="009F0173">
            <w:r w:rsidRPr="009F0173">
              <w:t>Highest priority; must satisfy all judicial constraints</w:t>
            </w:r>
          </w:p>
        </w:tc>
      </w:tr>
      <w:tr w:rsidR="009F0173" w:rsidRPr="009F0173" w14:paraId="7379623B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5FDD" w14:textId="77777777" w:rsidR="009F0173" w:rsidRPr="009F0173" w:rsidRDefault="009F0173" w:rsidP="009F0173">
            <w:r w:rsidRPr="009F0173">
              <w:t>Latency &amp; Network</w:t>
            </w:r>
          </w:p>
        </w:tc>
        <w:tc>
          <w:tcPr>
            <w:tcW w:w="0" w:type="auto"/>
            <w:vAlign w:val="center"/>
            <w:hideMark/>
          </w:tcPr>
          <w:p w14:paraId="6E217E45" w14:textId="77777777" w:rsidR="009F0173" w:rsidRPr="009F0173" w:rsidRDefault="009F0173" w:rsidP="009F0173">
            <w:r w:rsidRPr="009F0173">
              <w:t>4</w:t>
            </w:r>
          </w:p>
        </w:tc>
        <w:tc>
          <w:tcPr>
            <w:tcW w:w="0" w:type="auto"/>
            <w:vAlign w:val="center"/>
            <w:hideMark/>
          </w:tcPr>
          <w:p w14:paraId="15F61255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1C2A04B2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1302F4E3" w14:textId="77777777" w:rsidR="009F0173" w:rsidRPr="009F0173" w:rsidRDefault="009F0173" w:rsidP="009F0173">
            <w:r w:rsidRPr="009F0173">
              <w:t>Based on court location &amp; region availability</w:t>
            </w:r>
          </w:p>
        </w:tc>
      </w:tr>
      <w:tr w:rsidR="009F0173" w:rsidRPr="009F0173" w14:paraId="4DA68E7E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735D" w14:textId="77777777" w:rsidR="009F0173" w:rsidRPr="009F0173" w:rsidRDefault="009F0173" w:rsidP="009F0173">
            <w:r w:rsidRPr="009F0173">
              <w:t>Required Services / PaaS</w:t>
            </w:r>
          </w:p>
        </w:tc>
        <w:tc>
          <w:tcPr>
            <w:tcW w:w="0" w:type="auto"/>
            <w:vAlign w:val="center"/>
            <w:hideMark/>
          </w:tcPr>
          <w:p w14:paraId="15E86911" w14:textId="77777777" w:rsidR="009F0173" w:rsidRPr="009F0173" w:rsidRDefault="009F0173" w:rsidP="009F0173">
            <w:r w:rsidRPr="009F0173">
              <w:t>4</w:t>
            </w:r>
          </w:p>
        </w:tc>
        <w:tc>
          <w:tcPr>
            <w:tcW w:w="0" w:type="auto"/>
            <w:vAlign w:val="center"/>
            <w:hideMark/>
          </w:tcPr>
          <w:p w14:paraId="10136016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259D43A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B2FA3AA" w14:textId="77777777" w:rsidR="009F0173" w:rsidRPr="009F0173" w:rsidRDefault="009F0173" w:rsidP="009F0173">
            <w:r w:rsidRPr="009F0173">
              <w:t>Determines modernization suitability</w:t>
            </w:r>
          </w:p>
        </w:tc>
      </w:tr>
      <w:tr w:rsidR="009F0173" w:rsidRPr="009F0173" w14:paraId="7F66E937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5A88" w14:textId="77777777" w:rsidR="009F0173" w:rsidRPr="009F0173" w:rsidRDefault="009F0173" w:rsidP="009F0173">
            <w:r w:rsidRPr="009F0173">
              <w:t>Identity/Access Fit</w:t>
            </w:r>
          </w:p>
        </w:tc>
        <w:tc>
          <w:tcPr>
            <w:tcW w:w="0" w:type="auto"/>
            <w:vAlign w:val="center"/>
            <w:hideMark/>
          </w:tcPr>
          <w:p w14:paraId="0D5ED652" w14:textId="77777777" w:rsidR="009F0173" w:rsidRPr="009F0173" w:rsidRDefault="009F0173" w:rsidP="009F0173">
            <w:r w:rsidRPr="009F0173">
              <w:t>3</w:t>
            </w:r>
          </w:p>
        </w:tc>
        <w:tc>
          <w:tcPr>
            <w:tcW w:w="0" w:type="auto"/>
            <w:vAlign w:val="center"/>
            <w:hideMark/>
          </w:tcPr>
          <w:p w14:paraId="0A50C323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75AC3CB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01637C9" w14:textId="77777777" w:rsidR="009F0173" w:rsidRPr="009F0173" w:rsidRDefault="009F0173" w:rsidP="009F0173">
            <w:r w:rsidRPr="009F0173">
              <w:t>OIDC/SAML, SCIM, MFA support</w:t>
            </w:r>
          </w:p>
        </w:tc>
      </w:tr>
      <w:tr w:rsidR="009F0173" w:rsidRPr="009F0173" w14:paraId="5B59D6BA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E2F6" w14:textId="77777777" w:rsidR="009F0173" w:rsidRPr="009F0173" w:rsidRDefault="009F0173" w:rsidP="009F0173">
            <w:r w:rsidRPr="009F0173">
              <w:t>License/Contract Leverage</w:t>
            </w:r>
          </w:p>
        </w:tc>
        <w:tc>
          <w:tcPr>
            <w:tcW w:w="0" w:type="auto"/>
            <w:vAlign w:val="center"/>
            <w:hideMark/>
          </w:tcPr>
          <w:p w14:paraId="71C8B422" w14:textId="77777777" w:rsidR="009F0173" w:rsidRPr="009F0173" w:rsidRDefault="009F0173" w:rsidP="009F0173">
            <w:r w:rsidRPr="009F0173">
              <w:t>3</w:t>
            </w:r>
          </w:p>
        </w:tc>
        <w:tc>
          <w:tcPr>
            <w:tcW w:w="0" w:type="auto"/>
            <w:vAlign w:val="center"/>
            <w:hideMark/>
          </w:tcPr>
          <w:p w14:paraId="3BB3621B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6BC7730F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D95EAB4" w14:textId="77777777" w:rsidR="009F0173" w:rsidRPr="009F0173" w:rsidRDefault="009F0173" w:rsidP="009F0173">
            <w:r w:rsidRPr="009F0173">
              <w:t>BYOL or EA advantages</w:t>
            </w:r>
          </w:p>
        </w:tc>
      </w:tr>
      <w:tr w:rsidR="009F0173" w:rsidRPr="009F0173" w14:paraId="7E1ECE18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8785" w14:textId="77777777" w:rsidR="009F0173" w:rsidRPr="009F0173" w:rsidRDefault="009F0173" w:rsidP="009F0173">
            <w:r w:rsidRPr="009F0173">
              <w:t>Cost/FinOps</w:t>
            </w:r>
          </w:p>
        </w:tc>
        <w:tc>
          <w:tcPr>
            <w:tcW w:w="0" w:type="auto"/>
            <w:vAlign w:val="center"/>
            <w:hideMark/>
          </w:tcPr>
          <w:p w14:paraId="3D4ECD03" w14:textId="77777777" w:rsidR="009F0173" w:rsidRPr="009F0173" w:rsidRDefault="009F0173" w:rsidP="009F0173">
            <w:r w:rsidRPr="009F0173">
              <w:t>3</w:t>
            </w:r>
          </w:p>
        </w:tc>
        <w:tc>
          <w:tcPr>
            <w:tcW w:w="0" w:type="auto"/>
            <w:vAlign w:val="center"/>
            <w:hideMark/>
          </w:tcPr>
          <w:p w14:paraId="131BC1D0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2AE6F43F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7934EAC0" w14:textId="77777777" w:rsidR="009F0173" w:rsidRPr="009F0173" w:rsidRDefault="009F0173" w:rsidP="009F0173">
            <w:r w:rsidRPr="009F0173">
              <w:t>Total cost, egress, reserved savings</w:t>
            </w:r>
          </w:p>
        </w:tc>
      </w:tr>
      <w:tr w:rsidR="009F0173" w:rsidRPr="009F0173" w14:paraId="1007C638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62C7" w14:textId="77777777" w:rsidR="009F0173" w:rsidRPr="009F0173" w:rsidRDefault="009F0173" w:rsidP="009F0173">
            <w:r w:rsidRPr="009F0173">
              <w:t>Resilience/DR</w:t>
            </w:r>
          </w:p>
        </w:tc>
        <w:tc>
          <w:tcPr>
            <w:tcW w:w="0" w:type="auto"/>
            <w:vAlign w:val="center"/>
            <w:hideMark/>
          </w:tcPr>
          <w:p w14:paraId="5B3B7A6E" w14:textId="77777777" w:rsidR="009F0173" w:rsidRPr="009F0173" w:rsidRDefault="009F0173" w:rsidP="009F0173">
            <w:r w:rsidRPr="009F0173">
              <w:t>3</w:t>
            </w:r>
          </w:p>
        </w:tc>
        <w:tc>
          <w:tcPr>
            <w:tcW w:w="0" w:type="auto"/>
            <w:vAlign w:val="center"/>
            <w:hideMark/>
          </w:tcPr>
          <w:p w14:paraId="13D4BDD5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63834F1F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3F7F41B0" w14:textId="77777777" w:rsidR="009F0173" w:rsidRPr="009F0173" w:rsidRDefault="009F0173" w:rsidP="009F0173">
            <w:r w:rsidRPr="009F0173">
              <w:t>RTO/RPO alignment</w:t>
            </w:r>
          </w:p>
        </w:tc>
      </w:tr>
      <w:tr w:rsidR="009F0173" w:rsidRPr="009F0173" w14:paraId="0391CF8C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1E8C" w14:textId="77777777" w:rsidR="009F0173" w:rsidRPr="009F0173" w:rsidRDefault="009F0173" w:rsidP="009F0173">
            <w:r w:rsidRPr="009F0173">
              <w:t>Data Gravity</w:t>
            </w:r>
          </w:p>
        </w:tc>
        <w:tc>
          <w:tcPr>
            <w:tcW w:w="0" w:type="auto"/>
            <w:vAlign w:val="center"/>
            <w:hideMark/>
          </w:tcPr>
          <w:p w14:paraId="243CB049" w14:textId="77777777" w:rsidR="009F0173" w:rsidRPr="009F0173" w:rsidRDefault="009F0173" w:rsidP="009F0173">
            <w:r w:rsidRPr="009F0173">
              <w:t>2</w:t>
            </w:r>
          </w:p>
        </w:tc>
        <w:tc>
          <w:tcPr>
            <w:tcW w:w="0" w:type="auto"/>
            <w:vAlign w:val="center"/>
            <w:hideMark/>
          </w:tcPr>
          <w:p w14:paraId="4743A8AD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09AACB9E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78522CE9" w14:textId="77777777" w:rsidR="009F0173" w:rsidRPr="009F0173" w:rsidRDefault="009F0173" w:rsidP="009F0173">
            <w:r w:rsidRPr="009F0173">
              <w:t>Alignment with existing data</w:t>
            </w:r>
          </w:p>
        </w:tc>
      </w:tr>
      <w:tr w:rsidR="009F0173" w:rsidRPr="009F0173" w14:paraId="652A7366" w14:textId="77777777" w:rsidTr="009F01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ECBA" w14:textId="77777777" w:rsidR="009F0173" w:rsidRPr="009F0173" w:rsidRDefault="009F0173" w:rsidP="009F0173">
            <w:r w:rsidRPr="009F0173">
              <w:t>Portability/Exit Risk</w:t>
            </w:r>
          </w:p>
        </w:tc>
        <w:tc>
          <w:tcPr>
            <w:tcW w:w="0" w:type="auto"/>
            <w:vAlign w:val="center"/>
            <w:hideMark/>
          </w:tcPr>
          <w:p w14:paraId="5C2D5E41" w14:textId="77777777" w:rsidR="009F0173" w:rsidRPr="009F0173" w:rsidRDefault="009F0173" w:rsidP="009F0173">
            <w:r w:rsidRPr="009F0173">
              <w:t>2</w:t>
            </w:r>
          </w:p>
        </w:tc>
        <w:tc>
          <w:tcPr>
            <w:tcW w:w="0" w:type="auto"/>
            <w:vAlign w:val="center"/>
            <w:hideMark/>
          </w:tcPr>
          <w:p w14:paraId="5385D6C7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08D711A" w14:textId="77777777" w:rsidR="009F0173" w:rsidRPr="009F0173" w:rsidRDefault="009F0173" w:rsidP="009F0173"/>
        </w:tc>
        <w:tc>
          <w:tcPr>
            <w:tcW w:w="0" w:type="auto"/>
            <w:vAlign w:val="center"/>
            <w:hideMark/>
          </w:tcPr>
          <w:p w14:paraId="5D38BFFF" w14:textId="77777777" w:rsidR="009F0173" w:rsidRPr="009F0173" w:rsidRDefault="009F0173" w:rsidP="009F0173">
            <w:r w:rsidRPr="009F0173">
              <w:t>Avoid long-term lock-in</w:t>
            </w:r>
          </w:p>
        </w:tc>
      </w:tr>
    </w:tbl>
    <w:p w14:paraId="289A0120" w14:textId="77777777" w:rsidR="009F0173" w:rsidRPr="009F0173" w:rsidRDefault="009F0173" w:rsidP="009F0173">
      <w:r w:rsidRPr="009F0173">
        <w:t>Each cloud provider receives a completed table.</w:t>
      </w:r>
      <w:r w:rsidRPr="009F0173">
        <w:br/>
        <w:t xml:space="preserve">Scores are totaled, ranked, and reviewed by the </w:t>
      </w:r>
      <w:proofErr w:type="spellStart"/>
      <w:r w:rsidRPr="009F0173">
        <w:t>CCoE</w:t>
      </w:r>
      <w:proofErr w:type="spellEnd"/>
      <w:r w:rsidRPr="009F0173">
        <w:t xml:space="preserve"> and AOUSC for final selection.</w:t>
      </w:r>
    </w:p>
    <w:p w14:paraId="3729DFC6" w14:textId="77777777" w:rsidR="009F0173" w:rsidRPr="009F0173" w:rsidRDefault="009F0173" w:rsidP="009F0173">
      <w:r w:rsidRPr="009F0173">
        <w:pict w14:anchorId="280CD758">
          <v:rect id="_x0000_i1289" style="width:0;height:1.5pt" o:hralign="center" o:hrstd="t" o:hr="t" fillcolor="#a0a0a0" stroked="f"/>
        </w:pict>
      </w:r>
    </w:p>
    <w:p w14:paraId="5C7A7CC7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t>IV. Output of the Framework</w:t>
      </w:r>
    </w:p>
    <w:p w14:paraId="6211D3EE" w14:textId="77777777" w:rsidR="009F0173" w:rsidRPr="009F0173" w:rsidRDefault="009F0173" w:rsidP="009F0173">
      <w:r w:rsidRPr="009F0173">
        <w:t>The process produces a set of deliverables:</w:t>
      </w:r>
    </w:p>
    <w:p w14:paraId="60FC320B" w14:textId="77777777" w:rsidR="009F0173" w:rsidRPr="009F0173" w:rsidRDefault="009F0173" w:rsidP="009F0173">
      <w:pPr>
        <w:numPr>
          <w:ilvl w:val="0"/>
          <w:numId w:val="22"/>
        </w:numPr>
      </w:pPr>
      <w:r w:rsidRPr="009F0173">
        <w:rPr>
          <w:b/>
          <w:bCs/>
        </w:rPr>
        <w:t>Court-level recommendation report</w:t>
      </w:r>
    </w:p>
    <w:p w14:paraId="4618AF01" w14:textId="77777777" w:rsidR="009F0173" w:rsidRPr="009F0173" w:rsidRDefault="009F0173" w:rsidP="009F0173">
      <w:pPr>
        <w:numPr>
          <w:ilvl w:val="0"/>
          <w:numId w:val="22"/>
        </w:numPr>
      </w:pPr>
      <w:r w:rsidRPr="009F0173">
        <w:rPr>
          <w:b/>
          <w:bCs/>
        </w:rPr>
        <w:t>Workload-level provider alignment</w:t>
      </w:r>
    </w:p>
    <w:p w14:paraId="3BFE9F7E" w14:textId="77777777" w:rsidR="009F0173" w:rsidRPr="009F0173" w:rsidRDefault="009F0173" w:rsidP="009F0173">
      <w:pPr>
        <w:numPr>
          <w:ilvl w:val="0"/>
          <w:numId w:val="22"/>
        </w:numPr>
      </w:pPr>
      <w:r w:rsidRPr="009F0173">
        <w:rPr>
          <w:b/>
          <w:bCs/>
        </w:rPr>
        <w:t>Rationale for each selection</w:t>
      </w:r>
    </w:p>
    <w:p w14:paraId="32396E5B" w14:textId="77777777" w:rsidR="009F0173" w:rsidRPr="009F0173" w:rsidRDefault="009F0173" w:rsidP="009F0173">
      <w:pPr>
        <w:numPr>
          <w:ilvl w:val="0"/>
          <w:numId w:val="22"/>
        </w:numPr>
      </w:pPr>
      <w:r w:rsidRPr="009F0173">
        <w:rPr>
          <w:b/>
          <w:bCs/>
        </w:rPr>
        <w:t>Governance documentation for ARB review</w:t>
      </w:r>
    </w:p>
    <w:p w14:paraId="604B5AC5" w14:textId="77777777" w:rsidR="009F0173" w:rsidRPr="009F0173" w:rsidRDefault="009F0173" w:rsidP="009F0173">
      <w:pPr>
        <w:numPr>
          <w:ilvl w:val="0"/>
          <w:numId w:val="22"/>
        </w:numPr>
      </w:pPr>
      <w:r w:rsidRPr="009F0173">
        <w:rPr>
          <w:b/>
          <w:bCs/>
        </w:rPr>
        <w:t>Supporting evidence for migration wave planning</w:t>
      </w:r>
    </w:p>
    <w:p w14:paraId="45E61CDF" w14:textId="77777777" w:rsidR="009F0173" w:rsidRPr="009F0173" w:rsidRDefault="009F0173" w:rsidP="009F0173">
      <w:r w:rsidRPr="009F0173">
        <w:t>These outputs ensure that provider decisions are consistent across courts while respecting unique technical, operational, and jurisdictional needs.</w:t>
      </w:r>
    </w:p>
    <w:p w14:paraId="27EE60AB" w14:textId="77777777" w:rsidR="009F0173" w:rsidRPr="009F0173" w:rsidRDefault="009F0173" w:rsidP="009F0173">
      <w:r w:rsidRPr="009F0173">
        <w:pict w14:anchorId="0FAE0711">
          <v:rect id="_x0000_i1290" style="width:0;height:1.5pt" o:hralign="center" o:hrstd="t" o:hr="t" fillcolor="#a0a0a0" stroked="f"/>
        </w:pict>
      </w:r>
    </w:p>
    <w:p w14:paraId="7EFF48CC" w14:textId="77777777" w:rsidR="009F0173" w:rsidRPr="009F0173" w:rsidRDefault="009F0173" w:rsidP="009F0173">
      <w:pPr>
        <w:rPr>
          <w:b/>
          <w:bCs/>
        </w:rPr>
      </w:pPr>
      <w:r w:rsidRPr="009F0173">
        <w:rPr>
          <w:b/>
          <w:bCs/>
        </w:rPr>
        <w:lastRenderedPageBreak/>
        <w:t>V. Summary</w:t>
      </w:r>
    </w:p>
    <w:p w14:paraId="2298C1A8" w14:textId="77777777" w:rsidR="009F0173" w:rsidRPr="009F0173" w:rsidRDefault="009F0173" w:rsidP="009F0173">
      <w:r w:rsidRPr="009F0173">
        <w:t>The Cloud Provider Selection Framework provides a standardized, transparent approach for determining the optimal cloud home for each workload or court. By combining weighted scoring, objective criteria, and governance oversight, the judiciary ensures:</w:t>
      </w:r>
    </w:p>
    <w:p w14:paraId="594A1422" w14:textId="77777777" w:rsidR="009F0173" w:rsidRPr="009F0173" w:rsidRDefault="009F0173" w:rsidP="009F0173">
      <w:pPr>
        <w:numPr>
          <w:ilvl w:val="0"/>
          <w:numId w:val="23"/>
        </w:numPr>
      </w:pPr>
      <w:r w:rsidRPr="009F0173">
        <w:t>Compliance-aligned decisions</w:t>
      </w:r>
    </w:p>
    <w:p w14:paraId="09F34ED8" w14:textId="77777777" w:rsidR="009F0173" w:rsidRPr="009F0173" w:rsidRDefault="009F0173" w:rsidP="009F0173">
      <w:pPr>
        <w:numPr>
          <w:ilvl w:val="0"/>
          <w:numId w:val="23"/>
        </w:numPr>
      </w:pPr>
      <w:r w:rsidRPr="009F0173">
        <w:t>Performance-optimized deployments</w:t>
      </w:r>
    </w:p>
    <w:p w14:paraId="56247CEC" w14:textId="77777777" w:rsidR="009F0173" w:rsidRPr="009F0173" w:rsidRDefault="009F0173" w:rsidP="009F0173">
      <w:pPr>
        <w:numPr>
          <w:ilvl w:val="0"/>
          <w:numId w:val="23"/>
        </w:numPr>
      </w:pPr>
      <w:r w:rsidRPr="009F0173">
        <w:t>Reduced cost and operational overhead</w:t>
      </w:r>
    </w:p>
    <w:p w14:paraId="50D95C60" w14:textId="77777777" w:rsidR="009F0173" w:rsidRPr="009F0173" w:rsidRDefault="009F0173" w:rsidP="009F0173">
      <w:pPr>
        <w:numPr>
          <w:ilvl w:val="0"/>
          <w:numId w:val="23"/>
        </w:numPr>
      </w:pPr>
      <w:r w:rsidRPr="009F0173">
        <w:t>Minimized lock-in and maximized flexibility</w:t>
      </w:r>
    </w:p>
    <w:p w14:paraId="3DB9A545" w14:textId="77777777" w:rsidR="009F0173" w:rsidRPr="009F0173" w:rsidRDefault="009F0173" w:rsidP="009F0173">
      <w:pPr>
        <w:numPr>
          <w:ilvl w:val="0"/>
          <w:numId w:val="23"/>
        </w:numPr>
      </w:pPr>
      <w:r w:rsidRPr="009F0173">
        <w:t>Fully documented, auditable provider choices</w:t>
      </w:r>
    </w:p>
    <w:p w14:paraId="16060C1B" w14:textId="77777777" w:rsidR="009F0173" w:rsidRPr="009F0173" w:rsidRDefault="009F0173" w:rsidP="009F0173">
      <w:r w:rsidRPr="009F0173">
        <w:t>This framework supports the judiciary’s multi-cloud strategy and aligns directly with Zero Trust, FinOps, and modernization priorities.</w:t>
      </w:r>
    </w:p>
    <w:p w14:paraId="2D1FA0B4" w14:textId="77777777" w:rsidR="00786C64" w:rsidRPr="009F0173" w:rsidRDefault="00786C64" w:rsidP="009F0173"/>
    <w:sectPr w:rsidR="00786C64" w:rsidRPr="009F01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F22584"/>
    <w:multiLevelType w:val="multilevel"/>
    <w:tmpl w:val="F54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16D53"/>
    <w:multiLevelType w:val="multilevel"/>
    <w:tmpl w:val="A90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3A15"/>
    <w:multiLevelType w:val="multilevel"/>
    <w:tmpl w:val="D5A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5B2B"/>
    <w:multiLevelType w:val="multilevel"/>
    <w:tmpl w:val="B21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0254"/>
    <w:multiLevelType w:val="multilevel"/>
    <w:tmpl w:val="F29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5645E"/>
    <w:multiLevelType w:val="multilevel"/>
    <w:tmpl w:val="816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57E43"/>
    <w:multiLevelType w:val="multilevel"/>
    <w:tmpl w:val="5AF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C3552"/>
    <w:multiLevelType w:val="multilevel"/>
    <w:tmpl w:val="967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F7BC2"/>
    <w:multiLevelType w:val="multilevel"/>
    <w:tmpl w:val="45B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B4EBA"/>
    <w:multiLevelType w:val="multilevel"/>
    <w:tmpl w:val="E79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77DE7"/>
    <w:multiLevelType w:val="multilevel"/>
    <w:tmpl w:val="B8F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21509"/>
    <w:multiLevelType w:val="multilevel"/>
    <w:tmpl w:val="5DE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96238"/>
    <w:multiLevelType w:val="multilevel"/>
    <w:tmpl w:val="978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55AEB"/>
    <w:multiLevelType w:val="multilevel"/>
    <w:tmpl w:val="5AF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398315">
    <w:abstractNumId w:val="8"/>
  </w:num>
  <w:num w:numId="2" w16cid:durableId="1084256493">
    <w:abstractNumId w:val="6"/>
  </w:num>
  <w:num w:numId="3" w16cid:durableId="1552614090">
    <w:abstractNumId w:val="5"/>
  </w:num>
  <w:num w:numId="4" w16cid:durableId="492186981">
    <w:abstractNumId w:val="4"/>
  </w:num>
  <w:num w:numId="5" w16cid:durableId="930702439">
    <w:abstractNumId w:val="7"/>
  </w:num>
  <w:num w:numId="6" w16cid:durableId="1392535456">
    <w:abstractNumId w:val="3"/>
  </w:num>
  <w:num w:numId="7" w16cid:durableId="130024858">
    <w:abstractNumId w:val="2"/>
  </w:num>
  <w:num w:numId="8" w16cid:durableId="267740069">
    <w:abstractNumId w:val="1"/>
  </w:num>
  <w:num w:numId="9" w16cid:durableId="85465590">
    <w:abstractNumId w:val="0"/>
  </w:num>
  <w:num w:numId="10" w16cid:durableId="1745713929">
    <w:abstractNumId w:val="20"/>
  </w:num>
  <w:num w:numId="11" w16cid:durableId="1756392766">
    <w:abstractNumId w:val="17"/>
  </w:num>
  <w:num w:numId="12" w16cid:durableId="735394311">
    <w:abstractNumId w:val="12"/>
  </w:num>
  <w:num w:numId="13" w16cid:durableId="973019543">
    <w:abstractNumId w:val="14"/>
  </w:num>
  <w:num w:numId="14" w16cid:durableId="1772814820">
    <w:abstractNumId w:val="16"/>
  </w:num>
  <w:num w:numId="15" w16cid:durableId="946161457">
    <w:abstractNumId w:val="9"/>
  </w:num>
  <w:num w:numId="16" w16cid:durableId="396436291">
    <w:abstractNumId w:val="15"/>
  </w:num>
  <w:num w:numId="17" w16cid:durableId="1509909721">
    <w:abstractNumId w:val="18"/>
  </w:num>
  <w:num w:numId="18" w16cid:durableId="2097633258">
    <w:abstractNumId w:val="13"/>
  </w:num>
  <w:num w:numId="19" w16cid:durableId="650214342">
    <w:abstractNumId w:val="22"/>
  </w:num>
  <w:num w:numId="20" w16cid:durableId="771776605">
    <w:abstractNumId w:val="11"/>
  </w:num>
  <w:num w:numId="21" w16cid:durableId="91528">
    <w:abstractNumId w:val="10"/>
  </w:num>
  <w:num w:numId="22" w16cid:durableId="577517217">
    <w:abstractNumId w:val="21"/>
  </w:num>
  <w:num w:numId="23" w16cid:durableId="14066111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6FBD"/>
    <w:rsid w:val="00786C64"/>
    <w:rsid w:val="00943F31"/>
    <w:rsid w:val="009F01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8C621"/>
  <w14:defaultImageDpi w14:val="300"/>
  <w15:docId w15:val="{EAFEF322-B753-4EFB-9D20-C1BA04E7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2025-12-04T17:58:00Z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a7e356c7-fea1-4860-826c-e325ce04ef6b</vt:lpwstr>
  </property>
</Properties>
</file>