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E8E4" w14:textId="77777777" w:rsidR="00CD177E" w:rsidRPr="00864B0F" w:rsidRDefault="00CD177E" w:rsidP="00CD177E">
      <w:pPr>
        <w:shd w:val="clear" w:color="auto" w:fill="FFFFFF"/>
        <w:rPr>
          <w:rFonts w:eastAsia="Times New Roman"/>
          <w:color w:val="000000"/>
        </w:rPr>
      </w:pPr>
      <w:r>
        <w:rPr>
          <w:rFonts w:eastAsia="Times New Roman"/>
          <w:color w:val="000000"/>
        </w:rPr>
        <w:t> </w:t>
      </w:r>
    </w:p>
    <w:p w14:paraId="43A76099"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 xml:space="preserve">High-Level Plan: Extending SQL Always </w:t>
      </w:r>
      <w:proofErr w:type="gramStart"/>
      <w:r w:rsidRPr="00864B0F">
        <w:rPr>
          <w:rFonts w:eastAsia="Times New Roman"/>
          <w:b/>
          <w:bCs/>
          <w:color w:val="000000"/>
        </w:rPr>
        <w:t>On</w:t>
      </w:r>
      <w:proofErr w:type="gramEnd"/>
      <w:r w:rsidRPr="00864B0F">
        <w:rPr>
          <w:rFonts w:eastAsia="Times New Roman"/>
          <w:b/>
          <w:bCs/>
          <w:color w:val="000000"/>
        </w:rPr>
        <w:t xml:space="preserve"> AG to AWS (Single-Subnet Design)</w:t>
      </w:r>
    </w:p>
    <w:p w14:paraId="0731AB65"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Author:</w:t>
      </w:r>
      <w:r w:rsidRPr="00864B0F">
        <w:rPr>
          <w:rFonts w:eastAsia="Times New Roman"/>
          <w:color w:val="000000"/>
        </w:rPr>
        <w:t xml:space="preserve"> </w:t>
      </w:r>
      <w:proofErr w:type="spellStart"/>
      <w:r w:rsidRPr="00864B0F">
        <w:rPr>
          <w:rFonts w:eastAsia="Times New Roman"/>
          <w:color w:val="000000"/>
        </w:rPr>
        <w:t>tgibson</w:t>
      </w:r>
      <w:proofErr w:type="spellEnd"/>
      <w:r w:rsidRPr="00864B0F">
        <w:rPr>
          <w:rFonts w:eastAsia="Times New Roman"/>
          <w:color w:val="000000"/>
        </w:rPr>
        <w:br/>
      </w:r>
      <w:r w:rsidRPr="00864B0F">
        <w:rPr>
          <w:rFonts w:eastAsia="Times New Roman"/>
          <w:b/>
          <w:bCs/>
          <w:color w:val="000000"/>
        </w:rPr>
        <w:t>Date:</w:t>
      </w:r>
      <w:r w:rsidRPr="00864B0F">
        <w:rPr>
          <w:rFonts w:eastAsia="Times New Roman"/>
          <w:color w:val="000000"/>
        </w:rPr>
        <w:t xml:space="preserve"> August 24, 2025</w:t>
      </w:r>
    </w:p>
    <w:p w14:paraId="1789050E"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04888864">
          <v:rect id="_x0000_i1025" style="width:0;height:1.5pt" o:hralign="center" o:hrstd="t" o:hr="t" fillcolor="#a0a0a0" stroked="f"/>
        </w:pict>
      </w:r>
    </w:p>
    <w:p w14:paraId="7E93A8DF"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Executive Summary</w:t>
      </w:r>
    </w:p>
    <w:p w14:paraId="01C27B76" w14:textId="77777777" w:rsidR="00CD177E" w:rsidRPr="00864B0F" w:rsidRDefault="00CD177E" w:rsidP="00CD177E">
      <w:pPr>
        <w:shd w:val="clear" w:color="auto" w:fill="FFFFFF"/>
        <w:spacing w:after="0"/>
        <w:rPr>
          <w:rFonts w:eastAsia="Times New Roman"/>
          <w:color w:val="000000"/>
        </w:rPr>
      </w:pPr>
      <w:r w:rsidRPr="00864B0F">
        <w:rPr>
          <w:rFonts w:eastAsia="Times New Roman"/>
          <w:color w:val="000000"/>
        </w:rPr>
        <w:t xml:space="preserve">We are extending our on-premises Windows Server Failover Cluster (WSFC) with SQL Server Always </w:t>
      </w:r>
      <w:proofErr w:type="gramStart"/>
      <w:r w:rsidRPr="00864B0F">
        <w:rPr>
          <w:rFonts w:eastAsia="Times New Roman"/>
          <w:color w:val="000000"/>
        </w:rPr>
        <w:t>On</w:t>
      </w:r>
      <w:proofErr w:type="gramEnd"/>
      <w:r w:rsidRPr="00864B0F">
        <w:rPr>
          <w:rFonts w:eastAsia="Times New Roman"/>
          <w:color w:val="000000"/>
        </w:rPr>
        <w:t xml:space="preserve"> Availability Groups (AG) into AWS. The goal is to establish a secure, production-ready foundation in AWS while keeping workloads private, minimizing downtime, and aligning with best practices.</w:t>
      </w:r>
    </w:p>
    <w:p w14:paraId="1D070881" w14:textId="77777777" w:rsidR="00CD177E" w:rsidRPr="00864B0F" w:rsidRDefault="00CD177E" w:rsidP="00CD177E">
      <w:pPr>
        <w:shd w:val="clear" w:color="auto" w:fill="FFFFFF"/>
        <w:spacing w:after="0"/>
        <w:rPr>
          <w:rFonts w:eastAsia="Times New Roman"/>
          <w:color w:val="000000"/>
        </w:rPr>
      </w:pPr>
      <w:r w:rsidRPr="00864B0F">
        <w:rPr>
          <w:rFonts w:eastAsia="Times New Roman"/>
          <w:color w:val="000000"/>
        </w:rPr>
        <w:t>Terraform has been used to codify and automate the deployment of all AWS infrastructure components. This ensures consistent, repeatable builds, cost tracking through tags, and simplified teardown when no longer needed.</w:t>
      </w:r>
    </w:p>
    <w:p w14:paraId="31DDFDE8"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04E5127D">
          <v:rect id="_x0000_i1026" style="width:0;height:1.5pt" o:hralign="center" o:hrstd="t" o:hr="t" fillcolor="#a0a0a0" stroked="f"/>
        </w:pict>
      </w:r>
    </w:p>
    <w:p w14:paraId="2C626AE0"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1. Preparation – On-Prem and AWS Prerequisites</w:t>
      </w:r>
    </w:p>
    <w:p w14:paraId="56AAD2B0" w14:textId="77777777" w:rsidR="00CD177E" w:rsidRPr="00864B0F" w:rsidRDefault="00CD177E" w:rsidP="00CD177E">
      <w:pPr>
        <w:numPr>
          <w:ilvl w:val="0"/>
          <w:numId w:val="10"/>
        </w:numPr>
        <w:shd w:val="clear" w:color="auto" w:fill="FFFFFF"/>
        <w:spacing w:after="0" w:line="240" w:lineRule="auto"/>
        <w:rPr>
          <w:rFonts w:eastAsia="Times New Roman"/>
          <w:color w:val="000000"/>
        </w:rPr>
      </w:pPr>
      <w:r w:rsidRPr="00864B0F">
        <w:rPr>
          <w:rFonts w:eastAsia="Times New Roman"/>
          <w:b/>
          <w:bCs/>
          <w:color w:val="000000"/>
        </w:rPr>
        <w:t>On-Premises</w:t>
      </w:r>
    </w:p>
    <w:p w14:paraId="7261966E" w14:textId="77777777" w:rsidR="00CD177E" w:rsidRPr="00864B0F" w:rsidRDefault="00CD177E" w:rsidP="00CD177E">
      <w:pPr>
        <w:numPr>
          <w:ilvl w:val="1"/>
          <w:numId w:val="10"/>
        </w:numPr>
        <w:shd w:val="clear" w:color="auto" w:fill="FFFFFF"/>
        <w:spacing w:after="0" w:line="240" w:lineRule="auto"/>
        <w:rPr>
          <w:rFonts w:eastAsia="Times New Roman"/>
          <w:color w:val="000000"/>
        </w:rPr>
      </w:pPr>
      <w:r w:rsidRPr="00864B0F">
        <w:rPr>
          <w:rFonts w:eastAsia="Times New Roman"/>
          <w:color w:val="000000"/>
        </w:rPr>
        <w:t>Confirm existing SQL Server AG is running on WSFC with Node Majority quorum.</w:t>
      </w:r>
    </w:p>
    <w:p w14:paraId="24D4FAC4" w14:textId="77777777" w:rsidR="00CD177E" w:rsidRPr="00864B0F" w:rsidRDefault="00CD177E" w:rsidP="00CD177E">
      <w:pPr>
        <w:numPr>
          <w:ilvl w:val="1"/>
          <w:numId w:val="10"/>
        </w:numPr>
        <w:shd w:val="clear" w:color="auto" w:fill="FFFFFF"/>
        <w:spacing w:after="0" w:line="240" w:lineRule="auto"/>
        <w:rPr>
          <w:rFonts w:eastAsia="Times New Roman"/>
          <w:color w:val="000000"/>
        </w:rPr>
      </w:pPr>
      <w:r w:rsidRPr="00864B0F">
        <w:rPr>
          <w:rFonts w:eastAsia="Times New Roman"/>
          <w:color w:val="000000"/>
        </w:rPr>
        <w:t>Validate cluster health and establish a backup of all databases.</w:t>
      </w:r>
    </w:p>
    <w:p w14:paraId="19A4EDF9" w14:textId="77777777" w:rsidR="00CD177E" w:rsidRPr="00864B0F" w:rsidRDefault="00CD177E" w:rsidP="00CD177E">
      <w:pPr>
        <w:numPr>
          <w:ilvl w:val="1"/>
          <w:numId w:val="10"/>
        </w:numPr>
        <w:shd w:val="clear" w:color="auto" w:fill="FFFFFF"/>
        <w:spacing w:after="0" w:line="240" w:lineRule="auto"/>
        <w:rPr>
          <w:rFonts w:eastAsia="Times New Roman"/>
          <w:color w:val="000000"/>
        </w:rPr>
      </w:pPr>
      <w:r w:rsidRPr="00864B0F">
        <w:rPr>
          <w:rFonts w:eastAsia="Times New Roman"/>
          <w:color w:val="000000"/>
        </w:rPr>
        <w:t>Ensure Active Directory DNS and time synchronization are healthy (required for WSFC integration).</w:t>
      </w:r>
    </w:p>
    <w:p w14:paraId="674A28D8" w14:textId="77777777" w:rsidR="00CD177E" w:rsidRPr="00864B0F" w:rsidRDefault="00CD177E" w:rsidP="00CD177E">
      <w:pPr>
        <w:numPr>
          <w:ilvl w:val="0"/>
          <w:numId w:val="10"/>
        </w:numPr>
        <w:shd w:val="clear" w:color="auto" w:fill="FFFFFF"/>
        <w:spacing w:after="0" w:line="240" w:lineRule="auto"/>
        <w:rPr>
          <w:rFonts w:eastAsia="Times New Roman"/>
          <w:color w:val="000000"/>
        </w:rPr>
      </w:pPr>
      <w:r w:rsidRPr="00864B0F">
        <w:rPr>
          <w:rFonts w:eastAsia="Times New Roman"/>
          <w:b/>
          <w:bCs/>
          <w:color w:val="000000"/>
        </w:rPr>
        <w:t>AWS</w:t>
      </w:r>
    </w:p>
    <w:p w14:paraId="230DD9EF" w14:textId="77777777" w:rsidR="00CD177E" w:rsidRPr="00864B0F" w:rsidRDefault="00CD177E" w:rsidP="00CD177E">
      <w:pPr>
        <w:numPr>
          <w:ilvl w:val="1"/>
          <w:numId w:val="10"/>
        </w:numPr>
        <w:shd w:val="clear" w:color="auto" w:fill="FFFFFF"/>
        <w:spacing w:after="0" w:line="240" w:lineRule="auto"/>
        <w:rPr>
          <w:rFonts w:eastAsia="Times New Roman"/>
          <w:color w:val="000000"/>
        </w:rPr>
      </w:pPr>
      <w:r w:rsidRPr="00864B0F">
        <w:rPr>
          <w:rFonts w:eastAsia="Times New Roman"/>
          <w:color w:val="000000"/>
        </w:rPr>
        <w:t xml:space="preserve">Terraform </w:t>
      </w:r>
      <w:proofErr w:type="spellStart"/>
      <w:r w:rsidRPr="00864B0F">
        <w:rPr>
          <w:rFonts w:eastAsia="Times New Roman"/>
          <w:color w:val="000000"/>
        </w:rPr>
        <w:t>IaC</w:t>
      </w:r>
      <w:proofErr w:type="spellEnd"/>
      <w:r w:rsidRPr="00864B0F">
        <w:rPr>
          <w:rFonts w:eastAsia="Times New Roman"/>
          <w:color w:val="000000"/>
        </w:rPr>
        <w:t xml:space="preserve"> repository prepared with modules for VPC, security groups, IAM, ALB, ASG, RDS, and S3.</w:t>
      </w:r>
    </w:p>
    <w:p w14:paraId="656E7C24" w14:textId="77777777" w:rsidR="00CD177E" w:rsidRPr="00864B0F" w:rsidRDefault="00CD177E" w:rsidP="00CD177E">
      <w:pPr>
        <w:numPr>
          <w:ilvl w:val="1"/>
          <w:numId w:val="10"/>
        </w:numPr>
        <w:shd w:val="clear" w:color="auto" w:fill="FFFFFF"/>
        <w:spacing w:after="0" w:line="240" w:lineRule="auto"/>
        <w:rPr>
          <w:rFonts w:eastAsia="Times New Roman"/>
          <w:color w:val="000000"/>
        </w:rPr>
      </w:pPr>
      <w:r w:rsidRPr="00864B0F">
        <w:rPr>
          <w:rFonts w:eastAsia="Times New Roman"/>
          <w:color w:val="000000"/>
        </w:rPr>
        <w:t>AWS account with IAM permissions to provision networking, EC2, RDS, and supporting services.</w:t>
      </w:r>
    </w:p>
    <w:p w14:paraId="5A9D5482" w14:textId="77777777" w:rsidR="00CD177E" w:rsidRPr="00864B0F" w:rsidRDefault="00CD177E" w:rsidP="00CD177E">
      <w:pPr>
        <w:numPr>
          <w:ilvl w:val="1"/>
          <w:numId w:val="10"/>
        </w:numPr>
        <w:shd w:val="clear" w:color="auto" w:fill="FFFFFF"/>
        <w:spacing w:after="0" w:line="240" w:lineRule="auto"/>
        <w:rPr>
          <w:rFonts w:eastAsia="Times New Roman"/>
          <w:color w:val="000000"/>
        </w:rPr>
      </w:pPr>
      <w:r w:rsidRPr="00864B0F">
        <w:rPr>
          <w:rFonts w:eastAsia="Times New Roman"/>
          <w:color w:val="000000"/>
        </w:rPr>
        <w:t>Plan for Site-to-Site VPN (initial connectivity) with optional Direct Connect in future.</w:t>
      </w:r>
    </w:p>
    <w:p w14:paraId="60BFDA7D"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Preparation ensures the AWS environment can integrate into the existing cluster with minimal rework.</w:t>
      </w:r>
    </w:p>
    <w:p w14:paraId="3B2DD064"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6302F4B0">
          <v:rect id="_x0000_i1027" style="width:0;height:1.5pt" o:hralign="center" o:hrstd="t" o:hr="t" fillcolor="#a0a0a0" stroked="f"/>
        </w:pict>
      </w:r>
    </w:p>
    <w:p w14:paraId="67A06424"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2. Network Setup – Hybrid Connectivity</w:t>
      </w:r>
    </w:p>
    <w:p w14:paraId="0F2EB4CA" w14:textId="77777777" w:rsidR="00CD177E" w:rsidRPr="00864B0F" w:rsidRDefault="00CD177E" w:rsidP="00CD177E">
      <w:pPr>
        <w:numPr>
          <w:ilvl w:val="0"/>
          <w:numId w:val="11"/>
        </w:numPr>
        <w:shd w:val="clear" w:color="auto" w:fill="FFFFFF"/>
        <w:spacing w:after="0" w:line="240" w:lineRule="auto"/>
        <w:rPr>
          <w:rFonts w:eastAsia="Times New Roman"/>
          <w:color w:val="000000"/>
        </w:rPr>
      </w:pPr>
      <w:r w:rsidRPr="00864B0F">
        <w:rPr>
          <w:rFonts w:eastAsia="Times New Roman"/>
          <w:b/>
          <w:bCs/>
          <w:color w:val="000000"/>
        </w:rPr>
        <w:t>VPC</w:t>
      </w:r>
      <w:r w:rsidRPr="00864B0F">
        <w:rPr>
          <w:rFonts w:eastAsia="Times New Roman"/>
          <w:color w:val="000000"/>
        </w:rPr>
        <w:t xml:space="preserve"> – 10.0.0.0/16 with DNS enabled (critical for WSFC/AG listeners).</w:t>
      </w:r>
    </w:p>
    <w:p w14:paraId="0DDA5897" w14:textId="77777777" w:rsidR="00CD177E" w:rsidRPr="00864B0F" w:rsidRDefault="00CD177E" w:rsidP="00CD177E">
      <w:pPr>
        <w:numPr>
          <w:ilvl w:val="0"/>
          <w:numId w:val="11"/>
        </w:numPr>
        <w:shd w:val="clear" w:color="auto" w:fill="FFFFFF"/>
        <w:spacing w:after="0" w:line="240" w:lineRule="auto"/>
        <w:rPr>
          <w:rFonts w:eastAsia="Times New Roman"/>
          <w:color w:val="000000"/>
        </w:rPr>
      </w:pPr>
      <w:r w:rsidRPr="00864B0F">
        <w:rPr>
          <w:rFonts w:eastAsia="Times New Roman"/>
          <w:b/>
          <w:bCs/>
          <w:color w:val="000000"/>
        </w:rPr>
        <w:t>Subnets</w:t>
      </w:r>
      <w:r w:rsidRPr="00864B0F">
        <w:rPr>
          <w:rFonts w:eastAsia="Times New Roman"/>
          <w:color w:val="000000"/>
        </w:rPr>
        <w:t xml:space="preserve"> –</w:t>
      </w:r>
    </w:p>
    <w:p w14:paraId="0C855CF8" w14:textId="77777777" w:rsidR="00CD177E" w:rsidRPr="00864B0F" w:rsidRDefault="00CD177E" w:rsidP="00CD177E">
      <w:pPr>
        <w:numPr>
          <w:ilvl w:val="1"/>
          <w:numId w:val="11"/>
        </w:numPr>
        <w:shd w:val="clear" w:color="auto" w:fill="FFFFFF"/>
        <w:spacing w:after="0" w:line="240" w:lineRule="auto"/>
        <w:rPr>
          <w:rFonts w:eastAsia="Times New Roman"/>
          <w:color w:val="000000"/>
        </w:rPr>
      </w:pPr>
      <w:r w:rsidRPr="00864B0F">
        <w:rPr>
          <w:rFonts w:eastAsia="Times New Roman"/>
          <w:color w:val="000000"/>
        </w:rPr>
        <w:t>Public (10.0.0.0/24, 10.0.1.0/24) across 2 AZs for ALB + NAT.</w:t>
      </w:r>
    </w:p>
    <w:p w14:paraId="734C4DD6" w14:textId="77777777" w:rsidR="00CD177E" w:rsidRPr="00864B0F" w:rsidRDefault="00CD177E" w:rsidP="00CD177E">
      <w:pPr>
        <w:numPr>
          <w:ilvl w:val="1"/>
          <w:numId w:val="11"/>
        </w:numPr>
        <w:shd w:val="clear" w:color="auto" w:fill="FFFFFF"/>
        <w:spacing w:after="0" w:line="240" w:lineRule="auto"/>
        <w:rPr>
          <w:rFonts w:eastAsia="Times New Roman"/>
          <w:color w:val="000000"/>
        </w:rPr>
      </w:pPr>
      <w:r w:rsidRPr="00864B0F">
        <w:rPr>
          <w:rFonts w:eastAsia="Times New Roman"/>
          <w:color w:val="000000"/>
        </w:rPr>
        <w:t>Private App (10.0.10.0/24, single AZ) for WSFC/SQL nodes.</w:t>
      </w:r>
    </w:p>
    <w:p w14:paraId="51531057" w14:textId="77777777" w:rsidR="00CD177E" w:rsidRPr="00864B0F" w:rsidRDefault="00CD177E" w:rsidP="00CD177E">
      <w:pPr>
        <w:numPr>
          <w:ilvl w:val="1"/>
          <w:numId w:val="11"/>
        </w:numPr>
        <w:shd w:val="clear" w:color="auto" w:fill="FFFFFF"/>
        <w:spacing w:after="0" w:line="240" w:lineRule="auto"/>
        <w:rPr>
          <w:rFonts w:eastAsia="Times New Roman"/>
          <w:color w:val="000000"/>
        </w:rPr>
      </w:pPr>
      <w:r w:rsidRPr="00864B0F">
        <w:rPr>
          <w:rFonts w:eastAsia="Times New Roman"/>
          <w:color w:val="000000"/>
        </w:rPr>
        <w:t>Private DB (10.0.20.0/24) for PostgreSQL (exercise requirement).</w:t>
      </w:r>
    </w:p>
    <w:p w14:paraId="7AA6AE59" w14:textId="77777777" w:rsidR="00CD177E" w:rsidRPr="00864B0F" w:rsidRDefault="00CD177E" w:rsidP="00CD177E">
      <w:pPr>
        <w:numPr>
          <w:ilvl w:val="0"/>
          <w:numId w:val="11"/>
        </w:numPr>
        <w:shd w:val="clear" w:color="auto" w:fill="FFFFFF"/>
        <w:spacing w:after="0" w:line="240" w:lineRule="auto"/>
        <w:rPr>
          <w:rFonts w:eastAsia="Times New Roman"/>
          <w:color w:val="000000"/>
        </w:rPr>
      </w:pPr>
      <w:r w:rsidRPr="00864B0F">
        <w:rPr>
          <w:rFonts w:eastAsia="Times New Roman"/>
          <w:b/>
          <w:bCs/>
          <w:color w:val="000000"/>
        </w:rPr>
        <w:t>Routing</w:t>
      </w:r>
      <w:r w:rsidRPr="00864B0F">
        <w:rPr>
          <w:rFonts w:eastAsia="Times New Roman"/>
          <w:color w:val="000000"/>
        </w:rPr>
        <w:t xml:space="preserve"> – NAT Gateway in public subnet provides egress for private workloads.</w:t>
      </w:r>
    </w:p>
    <w:p w14:paraId="677B76E1" w14:textId="77777777" w:rsidR="00CD177E" w:rsidRPr="00864B0F" w:rsidRDefault="00CD177E" w:rsidP="00CD177E">
      <w:pPr>
        <w:numPr>
          <w:ilvl w:val="0"/>
          <w:numId w:val="11"/>
        </w:numPr>
        <w:shd w:val="clear" w:color="auto" w:fill="FFFFFF"/>
        <w:spacing w:after="0" w:line="240" w:lineRule="auto"/>
        <w:rPr>
          <w:rFonts w:eastAsia="Times New Roman"/>
          <w:color w:val="000000"/>
        </w:rPr>
      </w:pPr>
      <w:r w:rsidRPr="00864B0F">
        <w:rPr>
          <w:rFonts w:eastAsia="Times New Roman"/>
          <w:b/>
          <w:bCs/>
          <w:color w:val="000000"/>
        </w:rPr>
        <w:t>Connectivity</w:t>
      </w:r>
      <w:r w:rsidRPr="00864B0F">
        <w:rPr>
          <w:rFonts w:eastAsia="Times New Roman"/>
          <w:color w:val="000000"/>
        </w:rPr>
        <w:t xml:space="preserve"> – VPN will provide secure on-prem ↔ AWS traffic. Direct Connect can later replace or supplement it.</w:t>
      </w:r>
    </w:p>
    <w:p w14:paraId="068C7AF8" w14:textId="77777777" w:rsidR="00CD177E" w:rsidRPr="00864B0F" w:rsidRDefault="00CD177E" w:rsidP="00CD177E">
      <w:pPr>
        <w:numPr>
          <w:ilvl w:val="0"/>
          <w:numId w:val="11"/>
        </w:numPr>
        <w:shd w:val="clear" w:color="auto" w:fill="FFFFFF"/>
        <w:spacing w:after="0" w:line="240" w:lineRule="auto"/>
        <w:rPr>
          <w:rFonts w:eastAsia="Times New Roman"/>
          <w:color w:val="000000"/>
        </w:rPr>
      </w:pPr>
      <w:r w:rsidRPr="00864B0F">
        <w:rPr>
          <w:rFonts w:eastAsia="Times New Roman"/>
          <w:b/>
          <w:bCs/>
          <w:color w:val="000000"/>
        </w:rPr>
        <w:t>Security Groups</w:t>
      </w:r>
      <w:r w:rsidRPr="00864B0F">
        <w:rPr>
          <w:rFonts w:eastAsia="Times New Roman"/>
          <w:color w:val="000000"/>
        </w:rPr>
        <w:t xml:space="preserve"> –</w:t>
      </w:r>
    </w:p>
    <w:p w14:paraId="56563EC7" w14:textId="77777777" w:rsidR="00CD177E" w:rsidRPr="00864B0F" w:rsidRDefault="00CD177E" w:rsidP="00CD177E">
      <w:pPr>
        <w:numPr>
          <w:ilvl w:val="1"/>
          <w:numId w:val="11"/>
        </w:numPr>
        <w:shd w:val="clear" w:color="auto" w:fill="FFFFFF"/>
        <w:spacing w:after="0" w:line="240" w:lineRule="auto"/>
        <w:rPr>
          <w:rFonts w:eastAsia="Times New Roman"/>
          <w:color w:val="000000"/>
        </w:rPr>
      </w:pPr>
      <w:r w:rsidRPr="00864B0F">
        <w:rPr>
          <w:rFonts w:eastAsia="Times New Roman"/>
          <w:color w:val="000000"/>
        </w:rPr>
        <w:t>ALB SG: inbound 80/443 from world → egress to App SG.</w:t>
      </w:r>
    </w:p>
    <w:p w14:paraId="45B34B75" w14:textId="77777777" w:rsidR="00CD177E" w:rsidRPr="00864B0F" w:rsidRDefault="00CD177E" w:rsidP="00CD177E">
      <w:pPr>
        <w:numPr>
          <w:ilvl w:val="1"/>
          <w:numId w:val="11"/>
        </w:numPr>
        <w:shd w:val="clear" w:color="auto" w:fill="FFFFFF"/>
        <w:spacing w:after="0" w:line="240" w:lineRule="auto"/>
        <w:rPr>
          <w:rFonts w:eastAsia="Times New Roman"/>
          <w:color w:val="000000"/>
        </w:rPr>
      </w:pPr>
      <w:r w:rsidRPr="00864B0F">
        <w:rPr>
          <w:rFonts w:eastAsia="Times New Roman"/>
          <w:color w:val="000000"/>
        </w:rPr>
        <w:t>App SG: inbound 80 from ALB SG → egress 5432 to DB SG.</w:t>
      </w:r>
    </w:p>
    <w:p w14:paraId="0A62A851" w14:textId="77777777" w:rsidR="00CD177E" w:rsidRPr="00864B0F" w:rsidRDefault="00CD177E" w:rsidP="00CD177E">
      <w:pPr>
        <w:numPr>
          <w:ilvl w:val="1"/>
          <w:numId w:val="11"/>
        </w:numPr>
        <w:shd w:val="clear" w:color="auto" w:fill="FFFFFF"/>
        <w:spacing w:after="0" w:line="240" w:lineRule="auto"/>
        <w:rPr>
          <w:rFonts w:eastAsia="Times New Roman"/>
          <w:color w:val="000000"/>
        </w:rPr>
      </w:pPr>
      <w:r w:rsidRPr="00864B0F">
        <w:rPr>
          <w:rFonts w:eastAsia="Times New Roman"/>
          <w:color w:val="000000"/>
        </w:rPr>
        <w:t>DB SG: inbound 5432 only from App SG.</w:t>
      </w:r>
    </w:p>
    <w:p w14:paraId="05DFD29E" w14:textId="77777777" w:rsidR="00CD177E" w:rsidRPr="00864B0F" w:rsidRDefault="00CD177E" w:rsidP="00CD177E">
      <w:pPr>
        <w:numPr>
          <w:ilvl w:val="1"/>
          <w:numId w:val="11"/>
        </w:numPr>
        <w:shd w:val="clear" w:color="auto" w:fill="FFFFFF"/>
        <w:spacing w:after="0" w:line="240" w:lineRule="auto"/>
        <w:rPr>
          <w:rFonts w:eastAsia="Times New Roman"/>
          <w:color w:val="000000"/>
        </w:rPr>
      </w:pPr>
      <w:r w:rsidRPr="00864B0F">
        <w:rPr>
          <w:rFonts w:eastAsia="Times New Roman"/>
          <w:color w:val="000000"/>
        </w:rPr>
        <w:lastRenderedPageBreak/>
        <w:t>WSFC extension: allow TCP 1433, 5022, 3343, RPC/DCOM ranges between nodes.</w:t>
      </w:r>
    </w:p>
    <w:p w14:paraId="769FAACC"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Design balances security (private workloads, least-privilege SGs) with functionality (SQL, WSFC, AG traffic).</w:t>
      </w:r>
    </w:p>
    <w:p w14:paraId="6668452D"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0371F562">
          <v:rect id="_x0000_i1028" style="width:0;height:1.5pt" o:hralign="center" o:hrstd="t" o:hr="t" fillcolor="#a0a0a0" stroked="f"/>
        </w:pict>
      </w:r>
    </w:p>
    <w:p w14:paraId="4932ACEF"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3. AWS VMs &amp; SQL AG – Build and Configuration</w:t>
      </w:r>
    </w:p>
    <w:p w14:paraId="382121A5" w14:textId="77777777" w:rsidR="00CD177E" w:rsidRPr="00864B0F" w:rsidRDefault="00CD177E" w:rsidP="00CD177E">
      <w:pPr>
        <w:numPr>
          <w:ilvl w:val="0"/>
          <w:numId w:val="12"/>
        </w:numPr>
        <w:shd w:val="clear" w:color="auto" w:fill="FFFFFF"/>
        <w:spacing w:after="0" w:line="240" w:lineRule="auto"/>
        <w:rPr>
          <w:rFonts w:eastAsia="Times New Roman"/>
          <w:color w:val="000000"/>
        </w:rPr>
      </w:pPr>
      <w:r w:rsidRPr="00864B0F">
        <w:rPr>
          <w:rFonts w:eastAsia="Times New Roman"/>
          <w:b/>
          <w:bCs/>
          <w:color w:val="000000"/>
        </w:rPr>
        <w:t>Sizing:</w:t>
      </w:r>
    </w:p>
    <w:p w14:paraId="6A148218" w14:textId="77777777" w:rsidR="00CD177E" w:rsidRPr="00864B0F" w:rsidRDefault="00CD177E" w:rsidP="00CD177E">
      <w:pPr>
        <w:numPr>
          <w:ilvl w:val="1"/>
          <w:numId w:val="12"/>
        </w:numPr>
        <w:shd w:val="clear" w:color="auto" w:fill="FFFFFF"/>
        <w:spacing w:after="0" w:line="240" w:lineRule="auto"/>
        <w:rPr>
          <w:rFonts w:eastAsia="Times New Roman"/>
          <w:color w:val="000000"/>
        </w:rPr>
      </w:pPr>
      <w:r w:rsidRPr="00864B0F">
        <w:rPr>
          <w:rFonts w:eastAsia="Times New Roman"/>
          <w:color w:val="000000"/>
        </w:rPr>
        <w:t>EC2 instances sized for SQL AG nodes (e.g., m</w:t>
      </w:r>
      <w:proofErr w:type="gramStart"/>
      <w:r w:rsidRPr="00864B0F">
        <w:rPr>
          <w:rFonts w:eastAsia="Times New Roman"/>
          <w:color w:val="000000"/>
        </w:rPr>
        <w:t>5.xlarge</w:t>
      </w:r>
      <w:proofErr w:type="gramEnd"/>
      <w:r w:rsidRPr="00864B0F">
        <w:rPr>
          <w:rFonts w:eastAsia="Times New Roman"/>
          <w:color w:val="000000"/>
        </w:rPr>
        <w:t>) depending on workload.</w:t>
      </w:r>
    </w:p>
    <w:p w14:paraId="2FCFB3AD" w14:textId="77777777" w:rsidR="00CD177E" w:rsidRPr="00864B0F" w:rsidRDefault="00CD177E" w:rsidP="00CD177E">
      <w:pPr>
        <w:numPr>
          <w:ilvl w:val="1"/>
          <w:numId w:val="12"/>
        </w:numPr>
        <w:shd w:val="clear" w:color="auto" w:fill="FFFFFF"/>
        <w:spacing w:after="0" w:line="240" w:lineRule="auto"/>
        <w:rPr>
          <w:rFonts w:eastAsia="Times New Roman"/>
          <w:color w:val="000000"/>
        </w:rPr>
      </w:pPr>
      <w:r w:rsidRPr="00864B0F">
        <w:rPr>
          <w:rFonts w:eastAsia="Times New Roman"/>
          <w:color w:val="000000"/>
        </w:rPr>
        <w:t>Terraform ASG module provisions Linux instances for web/app workloads.</w:t>
      </w:r>
    </w:p>
    <w:p w14:paraId="4E2CCF56" w14:textId="77777777" w:rsidR="00CD177E" w:rsidRPr="00864B0F" w:rsidRDefault="00CD177E" w:rsidP="00CD177E">
      <w:pPr>
        <w:numPr>
          <w:ilvl w:val="0"/>
          <w:numId w:val="12"/>
        </w:numPr>
        <w:shd w:val="clear" w:color="auto" w:fill="FFFFFF"/>
        <w:spacing w:after="0" w:line="240" w:lineRule="auto"/>
        <w:rPr>
          <w:rFonts w:eastAsia="Times New Roman"/>
          <w:color w:val="000000"/>
        </w:rPr>
      </w:pPr>
      <w:r w:rsidRPr="00864B0F">
        <w:rPr>
          <w:rFonts w:eastAsia="Times New Roman"/>
          <w:b/>
          <w:bCs/>
          <w:color w:val="000000"/>
        </w:rPr>
        <w:t>Build Steps:</w:t>
      </w:r>
    </w:p>
    <w:p w14:paraId="281AE7C4" w14:textId="77777777" w:rsidR="00CD177E" w:rsidRPr="00864B0F" w:rsidRDefault="00CD177E" w:rsidP="00CD177E">
      <w:pPr>
        <w:numPr>
          <w:ilvl w:val="1"/>
          <w:numId w:val="12"/>
        </w:numPr>
        <w:shd w:val="clear" w:color="auto" w:fill="FFFFFF"/>
        <w:spacing w:after="0" w:line="240" w:lineRule="auto"/>
        <w:rPr>
          <w:rFonts w:eastAsia="Times New Roman"/>
          <w:color w:val="000000"/>
        </w:rPr>
      </w:pPr>
      <w:r w:rsidRPr="00864B0F">
        <w:rPr>
          <w:rFonts w:eastAsia="Times New Roman"/>
          <w:color w:val="000000"/>
        </w:rPr>
        <w:t>Launch Windows EC2 instances in private app subnet via Terraform (future Windows module).</w:t>
      </w:r>
    </w:p>
    <w:p w14:paraId="2B3A15A8" w14:textId="77777777" w:rsidR="00CD177E" w:rsidRPr="00864B0F" w:rsidRDefault="00CD177E" w:rsidP="00CD177E">
      <w:pPr>
        <w:numPr>
          <w:ilvl w:val="1"/>
          <w:numId w:val="12"/>
        </w:numPr>
        <w:shd w:val="clear" w:color="auto" w:fill="FFFFFF"/>
        <w:spacing w:after="0" w:line="240" w:lineRule="auto"/>
        <w:rPr>
          <w:rFonts w:eastAsia="Times New Roman"/>
          <w:color w:val="000000"/>
        </w:rPr>
      </w:pPr>
      <w:r w:rsidRPr="00864B0F">
        <w:rPr>
          <w:rFonts w:eastAsia="Times New Roman"/>
          <w:color w:val="000000"/>
        </w:rPr>
        <w:t>Install SQL Server, join to domain, and configure AG replica.</w:t>
      </w:r>
    </w:p>
    <w:p w14:paraId="6E5DA47F" w14:textId="77777777" w:rsidR="00CD177E" w:rsidRPr="00864B0F" w:rsidRDefault="00CD177E" w:rsidP="00CD177E">
      <w:pPr>
        <w:numPr>
          <w:ilvl w:val="1"/>
          <w:numId w:val="12"/>
        </w:numPr>
        <w:shd w:val="clear" w:color="auto" w:fill="FFFFFF"/>
        <w:spacing w:after="0" w:line="240" w:lineRule="auto"/>
        <w:rPr>
          <w:rFonts w:eastAsia="Times New Roman"/>
          <w:color w:val="000000"/>
        </w:rPr>
      </w:pPr>
      <w:r w:rsidRPr="00864B0F">
        <w:rPr>
          <w:rFonts w:eastAsia="Times New Roman"/>
          <w:color w:val="000000"/>
        </w:rPr>
        <w:t>Use SSM Session Manager for admin access (no SSH/RDP exposure).</w:t>
      </w:r>
    </w:p>
    <w:p w14:paraId="197C8D82" w14:textId="77777777" w:rsidR="00CD177E" w:rsidRPr="00864B0F" w:rsidRDefault="00CD177E" w:rsidP="00CD177E">
      <w:pPr>
        <w:numPr>
          <w:ilvl w:val="0"/>
          <w:numId w:val="12"/>
        </w:numPr>
        <w:shd w:val="clear" w:color="auto" w:fill="FFFFFF"/>
        <w:spacing w:after="0" w:line="240" w:lineRule="auto"/>
        <w:rPr>
          <w:rFonts w:eastAsia="Times New Roman"/>
          <w:color w:val="000000"/>
        </w:rPr>
      </w:pPr>
      <w:r w:rsidRPr="00864B0F">
        <w:rPr>
          <w:rFonts w:eastAsia="Times New Roman"/>
          <w:b/>
          <w:bCs/>
          <w:color w:val="000000"/>
        </w:rPr>
        <w:t>Configuration:</w:t>
      </w:r>
    </w:p>
    <w:p w14:paraId="5A4D60F5" w14:textId="77777777" w:rsidR="00CD177E" w:rsidRPr="00864B0F" w:rsidRDefault="00CD177E" w:rsidP="00CD177E">
      <w:pPr>
        <w:numPr>
          <w:ilvl w:val="1"/>
          <w:numId w:val="12"/>
        </w:numPr>
        <w:shd w:val="clear" w:color="auto" w:fill="FFFFFF"/>
        <w:spacing w:after="0" w:line="240" w:lineRule="auto"/>
        <w:rPr>
          <w:rFonts w:eastAsia="Times New Roman"/>
          <w:color w:val="000000"/>
        </w:rPr>
      </w:pPr>
      <w:r w:rsidRPr="00864B0F">
        <w:rPr>
          <w:rFonts w:eastAsia="Times New Roman"/>
          <w:color w:val="000000"/>
        </w:rPr>
        <w:t>Place both AWS SQL nodes in single subnet (per design requirement).</w:t>
      </w:r>
    </w:p>
    <w:p w14:paraId="658D81B3" w14:textId="77777777" w:rsidR="00CD177E" w:rsidRPr="00864B0F" w:rsidRDefault="00CD177E" w:rsidP="00CD177E">
      <w:pPr>
        <w:numPr>
          <w:ilvl w:val="1"/>
          <w:numId w:val="12"/>
        </w:numPr>
        <w:shd w:val="clear" w:color="auto" w:fill="FFFFFF"/>
        <w:spacing w:after="0" w:line="240" w:lineRule="auto"/>
        <w:rPr>
          <w:rFonts w:eastAsia="Times New Roman"/>
          <w:color w:val="000000"/>
        </w:rPr>
      </w:pPr>
      <w:r w:rsidRPr="00864B0F">
        <w:rPr>
          <w:rFonts w:eastAsia="Times New Roman"/>
          <w:color w:val="000000"/>
        </w:rPr>
        <w:t>Ensure AG endpoint TCP 5022 is reachable.</w:t>
      </w:r>
    </w:p>
    <w:p w14:paraId="00B5A30C"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Aligns with scenario constraints while ensuring cluster nodes remain private and manageable.</w:t>
      </w:r>
    </w:p>
    <w:p w14:paraId="533CAFDE"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45DF643A">
          <v:rect id="_x0000_i1029" style="width:0;height:1.5pt" o:hralign="center" o:hrstd="t" o:hr="t" fillcolor="#a0a0a0" stroked="f"/>
        </w:pict>
      </w:r>
    </w:p>
    <w:p w14:paraId="5A33AD71"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4. Cluster Extension &amp; Quorum Management</w:t>
      </w:r>
    </w:p>
    <w:p w14:paraId="0B91AC88" w14:textId="77777777" w:rsidR="00CD177E" w:rsidRPr="00864B0F" w:rsidRDefault="00CD177E" w:rsidP="00CD177E">
      <w:pPr>
        <w:numPr>
          <w:ilvl w:val="0"/>
          <w:numId w:val="13"/>
        </w:numPr>
        <w:shd w:val="clear" w:color="auto" w:fill="FFFFFF"/>
        <w:spacing w:after="0" w:line="240" w:lineRule="auto"/>
        <w:rPr>
          <w:rFonts w:eastAsia="Times New Roman"/>
          <w:color w:val="000000"/>
        </w:rPr>
      </w:pPr>
      <w:r w:rsidRPr="00864B0F">
        <w:rPr>
          <w:rFonts w:eastAsia="Times New Roman"/>
          <w:b/>
          <w:bCs/>
          <w:color w:val="000000"/>
        </w:rPr>
        <w:t>Current State:</w:t>
      </w:r>
      <w:r w:rsidRPr="00864B0F">
        <w:rPr>
          <w:rFonts w:eastAsia="Times New Roman"/>
          <w:color w:val="000000"/>
        </w:rPr>
        <w:t xml:space="preserve"> On-prem cluster uses Node Majority.</w:t>
      </w:r>
    </w:p>
    <w:p w14:paraId="6E94A722" w14:textId="77777777" w:rsidR="00CD177E" w:rsidRPr="00864B0F" w:rsidRDefault="00CD177E" w:rsidP="00CD177E">
      <w:pPr>
        <w:numPr>
          <w:ilvl w:val="0"/>
          <w:numId w:val="13"/>
        </w:numPr>
        <w:shd w:val="clear" w:color="auto" w:fill="FFFFFF"/>
        <w:spacing w:after="0" w:line="240" w:lineRule="auto"/>
        <w:rPr>
          <w:rFonts w:eastAsia="Times New Roman"/>
          <w:color w:val="000000"/>
        </w:rPr>
      </w:pPr>
      <w:r w:rsidRPr="00864B0F">
        <w:rPr>
          <w:rFonts w:eastAsia="Times New Roman"/>
          <w:b/>
          <w:bCs/>
          <w:color w:val="000000"/>
        </w:rPr>
        <w:t>Adjustment:</w:t>
      </w:r>
      <w:r w:rsidRPr="00864B0F">
        <w:rPr>
          <w:rFonts w:eastAsia="Times New Roman"/>
          <w:color w:val="000000"/>
        </w:rPr>
        <w:t xml:space="preserve"> Move to </w:t>
      </w:r>
      <w:r w:rsidRPr="00864B0F">
        <w:rPr>
          <w:rFonts w:eastAsia="Times New Roman"/>
          <w:b/>
          <w:bCs/>
          <w:color w:val="000000"/>
        </w:rPr>
        <w:t>Node + File Share Witness (FSW)</w:t>
      </w:r>
      <w:r w:rsidRPr="00864B0F">
        <w:rPr>
          <w:rFonts w:eastAsia="Times New Roman"/>
          <w:color w:val="000000"/>
        </w:rPr>
        <w:t xml:space="preserve"> for better resiliency.</w:t>
      </w:r>
    </w:p>
    <w:p w14:paraId="57DCB95D" w14:textId="77777777" w:rsidR="00CD177E" w:rsidRPr="00864B0F" w:rsidRDefault="00CD177E" w:rsidP="00CD177E">
      <w:pPr>
        <w:numPr>
          <w:ilvl w:val="0"/>
          <w:numId w:val="13"/>
        </w:numPr>
        <w:shd w:val="clear" w:color="auto" w:fill="FFFFFF"/>
        <w:spacing w:after="0" w:line="240" w:lineRule="auto"/>
        <w:rPr>
          <w:rFonts w:eastAsia="Times New Roman"/>
          <w:color w:val="000000"/>
        </w:rPr>
      </w:pPr>
      <w:r w:rsidRPr="00864B0F">
        <w:rPr>
          <w:rFonts w:eastAsia="Times New Roman"/>
          <w:b/>
          <w:bCs/>
          <w:color w:val="000000"/>
        </w:rPr>
        <w:t>FSW Location:</w:t>
      </w:r>
      <w:r w:rsidRPr="00864B0F">
        <w:rPr>
          <w:rFonts w:eastAsia="Times New Roman"/>
          <w:color w:val="000000"/>
        </w:rPr>
        <w:t xml:space="preserve"> Can reside on-prem or in Azure/AWS S3-backed witness for hybrid quorum stability.</w:t>
      </w:r>
    </w:p>
    <w:p w14:paraId="49C001EC" w14:textId="77777777" w:rsidR="00CD177E" w:rsidRPr="00864B0F" w:rsidRDefault="00CD177E" w:rsidP="00CD177E">
      <w:pPr>
        <w:numPr>
          <w:ilvl w:val="0"/>
          <w:numId w:val="13"/>
        </w:numPr>
        <w:shd w:val="clear" w:color="auto" w:fill="FFFFFF"/>
        <w:spacing w:after="0" w:line="240" w:lineRule="auto"/>
        <w:rPr>
          <w:rFonts w:eastAsia="Times New Roman"/>
          <w:color w:val="000000"/>
        </w:rPr>
      </w:pPr>
      <w:r w:rsidRPr="00864B0F">
        <w:rPr>
          <w:rFonts w:eastAsia="Times New Roman"/>
          <w:b/>
          <w:bCs/>
          <w:color w:val="000000"/>
        </w:rPr>
        <w:t>Vote Management:</w:t>
      </w:r>
      <w:r w:rsidRPr="00864B0F">
        <w:rPr>
          <w:rFonts w:eastAsia="Times New Roman"/>
          <w:color w:val="000000"/>
        </w:rPr>
        <w:t xml:space="preserve"> Disable votes on secondary AWS nodes initially to prevent split-brain during testing; re-enable once stable.</w:t>
      </w:r>
    </w:p>
    <w:p w14:paraId="66168C1B"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Proper quorum configuration is critical to avoiding cluster split-brain when stretching across geographies.</w:t>
      </w:r>
    </w:p>
    <w:p w14:paraId="0A09CBB1"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2614E4AE">
          <v:rect id="_x0000_i1030" style="width:0;height:1.5pt" o:hralign="center" o:hrstd="t" o:hr="t" fillcolor="#a0a0a0" stroked="f"/>
        </w:pict>
      </w:r>
    </w:p>
    <w:p w14:paraId="34D7FDA6"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5. Load Balancer &amp; Listener</w:t>
      </w:r>
    </w:p>
    <w:p w14:paraId="5D2A938F" w14:textId="77777777" w:rsidR="00CD177E" w:rsidRPr="00864B0F" w:rsidRDefault="00CD177E" w:rsidP="00CD177E">
      <w:pPr>
        <w:numPr>
          <w:ilvl w:val="0"/>
          <w:numId w:val="14"/>
        </w:numPr>
        <w:shd w:val="clear" w:color="auto" w:fill="FFFFFF"/>
        <w:spacing w:after="0" w:line="240" w:lineRule="auto"/>
        <w:rPr>
          <w:rFonts w:eastAsia="Times New Roman"/>
          <w:color w:val="000000"/>
        </w:rPr>
      </w:pPr>
      <w:r w:rsidRPr="00864B0F">
        <w:rPr>
          <w:rFonts w:eastAsia="Times New Roman"/>
          <w:b/>
          <w:bCs/>
          <w:color w:val="000000"/>
        </w:rPr>
        <w:t>Terraform ALB Module</w:t>
      </w:r>
      <w:r w:rsidRPr="00864B0F">
        <w:rPr>
          <w:rFonts w:eastAsia="Times New Roman"/>
          <w:color w:val="000000"/>
        </w:rPr>
        <w:t xml:space="preserve"> provisions ALB across public subnets with HTTP listener.</w:t>
      </w:r>
    </w:p>
    <w:p w14:paraId="456BAF03" w14:textId="77777777" w:rsidR="00CD177E" w:rsidRPr="00864B0F" w:rsidRDefault="00CD177E" w:rsidP="00CD177E">
      <w:pPr>
        <w:numPr>
          <w:ilvl w:val="0"/>
          <w:numId w:val="14"/>
        </w:numPr>
        <w:shd w:val="clear" w:color="auto" w:fill="FFFFFF"/>
        <w:spacing w:after="0" w:line="240" w:lineRule="auto"/>
        <w:rPr>
          <w:rFonts w:eastAsia="Times New Roman"/>
          <w:color w:val="000000"/>
        </w:rPr>
      </w:pPr>
      <w:r w:rsidRPr="00864B0F">
        <w:rPr>
          <w:rFonts w:eastAsia="Times New Roman"/>
          <w:b/>
          <w:bCs/>
          <w:color w:val="000000"/>
        </w:rPr>
        <w:t>For SQL Listener:</w:t>
      </w:r>
    </w:p>
    <w:p w14:paraId="4F25ECAB" w14:textId="77777777" w:rsidR="00CD177E" w:rsidRPr="00864B0F" w:rsidRDefault="00CD177E" w:rsidP="00CD177E">
      <w:pPr>
        <w:numPr>
          <w:ilvl w:val="1"/>
          <w:numId w:val="14"/>
        </w:numPr>
        <w:shd w:val="clear" w:color="auto" w:fill="FFFFFF"/>
        <w:spacing w:after="0" w:line="240" w:lineRule="auto"/>
        <w:rPr>
          <w:rFonts w:eastAsia="Times New Roman"/>
          <w:color w:val="000000"/>
        </w:rPr>
      </w:pPr>
      <w:r w:rsidRPr="00864B0F">
        <w:rPr>
          <w:rFonts w:eastAsia="Times New Roman"/>
          <w:color w:val="000000"/>
        </w:rPr>
        <w:t>In a single subnet, use AWS Network Load Balancer (NLB) or ALB with static IP mapping to direct traffic to active SQL replica.</w:t>
      </w:r>
    </w:p>
    <w:p w14:paraId="7CF52925" w14:textId="77777777" w:rsidR="00CD177E" w:rsidRPr="00864B0F" w:rsidRDefault="00CD177E" w:rsidP="00CD177E">
      <w:pPr>
        <w:numPr>
          <w:ilvl w:val="1"/>
          <w:numId w:val="14"/>
        </w:numPr>
        <w:shd w:val="clear" w:color="auto" w:fill="FFFFFF"/>
        <w:spacing w:after="0" w:line="240" w:lineRule="auto"/>
        <w:rPr>
          <w:rFonts w:eastAsia="Times New Roman"/>
          <w:color w:val="000000"/>
        </w:rPr>
      </w:pPr>
      <w:r w:rsidRPr="00864B0F">
        <w:rPr>
          <w:rFonts w:eastAsia="Times New Roman"/>
          <w:color w:val="000000"/>
        </w:rPr>
        <w:t>Virtual Network Name (VNN) listener will be registered in DNS.</w:t>
      </w:r>
    </w:p>
    <w:p w14:paraId="64386627" w14:textId="77777777" w:rsidR="00CD177E" w:rsidRPr="00864B0F" w:rsidRDefault="00CD177E" w:rsidP="00CD177E">
      <w:pPr>
        <w:numPr>
          <w:ilvl w:val="0"/>
          <w:numId w:val="14"/>
        </w:numPr>
        <w:shd w:val="clear" w:color="auto" w:fill="FFFFFF"/>
        <w:spacing w:after="0" w:line="240" w:lineRule="auto"/>
        <w:rPr>
          <w:rFonts w:eastAsia="Times New Roman"/>
          <w:color w:val="000000"/>
        </w:rPr>
      </w:pPr>
      <w:r w:rsidRPr="00864B0F">
        <w:rPr>
          <w:rFonts w:eastAsia="Times New Roman"/>
          <w:b/>
          <w:bCs/>
          <w:color w:val="000000"/>
        </w:rPr>
        <w:t>Trade-off:</w:t>
      </w:r>
      <w:r w:rsidRPr="00864B0F">
        <w:rPr>
          <w:rFonts w:eastAsia="Times New Roman"/>
          <w:color w:val="000000"/>
        </w:rPr>
        <w:t xml:space="preserve"> No Distributed Network Name (DNN) option here due to single-subnet constraint.</w:t>
      </w:r>
    </w:p>
    <w:p w14:paraId="62B3CDCB"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Ensures client connections fail over smoothly even in a stretched cluster.</w:t>
      </w:r>
    </w:p>
    <w:p w14:paraId="26EAC69B"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0A95B85D">
          <v:rect id="_x0000_i1031" style="width:0;height:1.5pt" o:hralign="center" o:hrstd="t" o:hr="t" fillcolor="#a0a0a0" stroked="f"/>
        </w:pict>
      </w:r>
    </w:p>
    <w:p w14:paraId="17D1E454"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6. SQL Configuration – Joining AWS Replicas</w:t>
      </w:r>
    </w:p>
    <w:p w14:paraId="6A3130F2" w14:textId="77777777" w:rsidR="00CD177E" w:rsidRPr="00864B0F" w:rsidRDefault="00CD177E" w:rsidP="00CD177E">
      <w:pPr>
        <w:numPr>
          <w:ilvl w:val="0"/>
          <w:numId w:val="15"/>
        </w:numPr>
        <w:shd w:val="clear" w:color="auto" w:fill="FFFFFF"/>
        <w:spacing w:after="0" w:line="240" w:lineRule="auto"/>
        <w:rPr>
          <w:rFonts w:eastAsia="Times New Roman"/>
          <w:color w:val="000000"/>
        </w:rPr>
      </w:pPr>
      <w:r w:rsidRPr="00864B0F">
        <w:rPr>
          <w:rFonts w:eastAsia="Times New Roman"/>
          <w:b/>
          <w:bCs/>
          <w:color w:val="000000"/>
        </w:rPr>
        <w:t>Steps:</w:t>
      </w:r>
    </w:p>
    <w:p w14:paraId="7C2FAA39" w14:textId="77777777" w:rsidR="00CD177E" w:rsidRPr="00864B0F" w:rsidRDefault="00CD177E" w:rsidP="00CD177E">
      <w:pPr>
        <w:numPr>
          <w:ilvl w:val="1"/>
          <w:numId w:val="15"/>
        </w:numPr>
        <w:shd w:val="clear" w:color="auto" w:fill="FFFFFF"/>
        <w:spacing w:after="0" w:line="240" w:lineRule="auto"/>
        <w:rPr>
          <w:rFonts w:eastAsia="Times New Roman"/>
          <w:color w:val="000000"/>
        </w:rPr>
      </w:pPr>
      <w:r w:rsidRPr="00864B0F">
        <w:rPr>
          <w:rFonts w:eastAsia="Times New Roman"/>
          <w:color w:val="000000"/>
        </w:rPr>
        <w:t>Join AWS SQL VMs to Active Directory.</w:t>
      </w:r>
    </w:p>
    <w:p w14:paraId="4BA245A4" w14:textId="77777777" w:rsidR="00CD177E" w:rsidRPr="00864B0F" w:rsidRDefault="00CD177E" w:rsidP="00CD177E">
      <w:pPr>
        <w:numPr>
          <w:ilvl w:val="1"/>
          <w:numId w:val="15"/>
        </w:numPr>
        <w:shd w:val="clear" w:color="auto" w:fill="FFFFFF"/>
        <w:spacing w:after="0" w:line="240" w:lineRule="auto"/>
        <w:rPr>
          <w:rFonts w:eastAsia="Times New Roman"/>
          <w:color w:val="000000"/>
        </w:rPr>
      </w:pPr>
      <w:r w:rsidRPr="00864B0F">
        <w:rPr>
          <w:rFonts w:eastAsia="Times New Roman"/>
          <w:color w:val="000000"/>
        </w:rPr>
        <w:lastRenderedPageBreak/>
        <w:t>Add them as replicas in the AG.</w:t>
      </w:r>
    </w:p>
    <w:p w14:paraId="2B568503" w14:textId="77777777" w:rsidR="00CD177E" w:rsidRPr="00864B0F" w:rsidRDefault="00CD177E" w:rsidP="00CD177E">
      <w:pPr>
        <w:numPr>
          <w:ilvl w:val="1"/>
          <w:numId w:val="15"/>
        </w:numPr>
        <w:shd w:val="clear" w:color="auto" w:fill="FFFFFF"/>
        <w:spacing w:after="0" w:line="240" w:lineRule="auto"/>
        <w:rPr>
          <w:rFonts w:eastAsia="Times New Roman"/>
          <w:color w:val="000000"/>
        </w:rPr>
      </w:pPr>
      <w:r w:rsidRPr="00864B0F">
        <w:rPr>
          <w:rFonts w:eastAsia="Times New Roman"/>
          <w:color w:val="000000"/>
        </w:rPr>
        <w:t>Configure automatic seeding or initialize with full backup/restore.</w:t>
      </w:r>
    </w:p>
    <w:p w14:paraId="3139952A" w14:textId="77777777" w:rsidR="00CD177E" w:rsidRPr="00864B0F" w:rsidRDefault="00CD177E" w:rsidP="00CD177E">
      <w:pPr>
        <w:numPr>
          <w:ilvl w:val="0"/>
          <w:numId w:val="15"/>
        </w:numPr>
        <w:shd w:val="clear" w:color="auto" w:fill="FFFFFF"/>
        <w:spacing w:after="0" w:line="240" w:lineRule="auto"/>
        <w:rPr>
          <w:rFonts w:eastAsia="Times New Roman"/>
          <w:color w:val="000000"/>
        </w:rPr>
      </w:pPr>
      <w:r w:rsidRPr="00864B0F">
        <w:rPr>
          <w:rFonts w:eastAsia="Times New Roman"/>
          <w:b/>
          <w:bCs/>
          <w:color w:val="000000"/>
        </w:rPr>
        <w:t>Validation:</w:t>
      </w:r>
      <w:r w:rsidRPr="00864B0F">
        <w:rPr>
          <w:rFonts w:eastAsia="Times New Roman"/>
          <w:color w:val="000000"/>
        </w:rPr>
        <w:t xml:space="preserve"> Confirm replicas synchronize across VPN tunnel.</w:t>
      </w:r>
    </w:p>
    <w:p w14:paraId="091C3445"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Matches enterprise SQL AG configuration while extending replication into AWS.</w:t>
      </w:r>
    </w:p>
    <w:p w14:paraId="1A0DDD89"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2CCE7066">
          <v:rect id="_x0000_i1032" style="width:0;height:1.5pt" o:hralign="center" o:hrstd="t" o:hr="t" fillcolor="#a0a0a0" stroked="f"/>
        </w:pict>
      </w:r>
    </w:p>
    <w:p w14:paraId="20F89987"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7. Testing – Failover and Validation</w:t>
      </w:r>
    </w:p>
    <w:p w14:paraId="7C2691D4" w14:textId="77777777" w:rsidR="00CD177E" w:rsidRPr="00864B0F" w:rsidRDefault="00CD177E" w:rsidP="00CD177E">
      <w:pPr>
        <w:numPr>
          <w:ilvl w:val="0"/>
          <w:numId w:val="16"/>
        </w:numPr>
        <w:shd w:val="clear" w:color="auto" w:fill="FFFFFF"/>
        <w:spacing w:after="0" w:line="240" w:lineRule="auto"/>
        <w:rPr>
          <w:rFonts w:eastAsia="Times New Roman"/>
          <w:color w:val="000000"/>
        </w:rPr>
      </w:pPr>
      <w:r w:rsidRPr="00864B0F">
        <w:rPr>
          <w:rFonts w:eastAsia="Times New Roman"/>
          <w:b/>
          <w:bCs/>
          <w:color w:val="000000"/>
        </w:rPr>
        <w:t>Planned Tests:</w:t>
      </w:r>
    </w:p>
    <w:p w14:paraId="6EB55E49" w14:textId="77777777" w:rsidR="00CD177E" w:rsidRPr="00864B0F" w:rsidRDefault="00CD177E" w:rsidP="00CD177E">
      <w:pPr>
        <w:numPr>
          <w:ilvl w:val="1"/>
          <w:numId w:val="16"/>
        </w:numPr>
        <w:shd w:val="clear" w:color="auto" w:fill="FFFFFF"/>
        <w:spacing w:after="0" w:line="240" w:lineRule="auto"/>
        <w:rPr>
          <w:rFonts w:eastAsia="Times New Roman"/>
          <w:color w:val="000000"/>
        </w:rPr>
      </w:pPr>
      <w:r w:rsidRPr="00864B0F">
        <w:rPr>
          <w:rFonts w:eastAsia="Times New Roman"/>
          <w:color w:val="000000"/>
        </w:rPr>
        <w:t>Manual AG failover to AWS replica.</w:t>
      </w:r>
    </w:p>
    <w:p w14:paraId="3EEF027E" w14:textId="77777777" w:rsidR="00CD177E" w:rsidRPr="00864B0F" w:rsidRDefault="00CD177E" w:rsidP="00CD177E">
      <w:pPr>
        <w:numPr>
          <w:ilvl w:val="1"/>
          <w:numId w:val="16"/>
        </w:numPr>
        <w:shd w:val="clear" w:color="auto" w:fill="FFFFFF"/>
        <w:spacing w:after="0" w:line="240" w:lineRule="auto"/>
        <w:rPr>
          <w:rFonts w:eastAsia="Times New Roman"/>
          <w:color w:val="000000"/>
        </w:rPr>
      </w:pPr>
      <w:r w:rsidRPr="00864B0F">
        <w:rPr>
          <w:rFonts w:eastAsia="Times New Roman"/>
          <w:color w:val="000000"/>
        </w:rPr>
        <w:t>Client connection validation through VNN listener.</w:t>
      </w:r>
    </w:p>
    <w:p w14:paraId="723F6BDE" w14:textId="77777777" w:rsidR="00CD177E" w:rsidRPr="00864B0F" w:rsidRDefault="00CD177E" w:rsidP="00CD177E">
      <w:pPr>
        <w:numPr>
          <w:ilvl w:val="1"/>
          <w:numId w:val="16"/>
        </w:numPr>
        <w:shd w:val="clear" w:color="auto" w:fill="FFFFFF"/>
        <w:spacing w:after="0" w:line="240" w:lineRule="auto"/>
        <w:rPr>
          <w:rFonts w:eastAsia="Times New Roman"/>
          <w:color w:val="000000"/>
        </w:rPr>
      </w:pPr>
      <w:r w:rsidRPr="00864B0F">
        <w:rPr>
          <w:rFonts w:eastAsia="Times New Roman"/>
          <w:color w:val="000000"/>
        </w:rPr>
        <w:t>Simulate VPN disruption to validate quorum behavior.</w:t>
      </w:r>
    </w:p>
    <w:p w14:paraId="061A2A86" w14:textId="77777777" w:rsidR="00CD177E" w:rsidRPr="00864B0F" w:rsidRDefault="00CD177E" w:rsidP="00CD177E">
      <w:pPr>
        <w:numPr>
          <w:ilvl w:val="1"/>
          <w:numId w:val="16"/>
        </w:numPr>
        <w:shd w:val="clear" w:color="auto" w:fill="FFFFFF"/>
        <w:spacing w:after="0" w:line="240" w:lineRule="auto"/>
        <w:rPr>
          <w:rFonts w:eastAsia="Times New Roman"/>
          <w:color w:val="000000"/>
        </w:rPr>
      </w:pPr>
      <w:r w:rsidRPr="00864B0F">
        <w:rPr>
          <w:rFonts w:eastAsia="Times New Roman"/>
          <w:color w:val="000000"/>
        </w:rPr>
        <w:t>Application end-to-end testing through ALB.</w:t>
      </w:r>
    </w:p>
    <w:p w14:paraId="34DE085C"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Demonstrates cluster resiliency, validates networking/security rules, and builds operational confidence.</w:t>
      </w:r>
    </w:p>
    <w:p w14:paraId="44F3754F"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06BABDC5">
          <v:rect id="_x0000_i1033" style="width:0;height:1.5pt" o:hralign="center" o:hrstd="t" o:hr="t" fillcolor="#a0a0a0" stroked="f"/>
        </w:pict>
      </w:r>
    </w:p>
    <w:p w14:paraId="4AE820E7"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8. Migration Strategy – Cutover Approach</w:t>
      </w:r>
    </w:p>
    <w:p w14:paraId="46432984" w14:textId="77777777" w:rsidR="00CD177E" w:rsidRPr="00864B0F" w:rsidRDefault="00CD177E" w:rsidP="00CD177E">
      <w:pPr>
        <w:numPr>
          <w:ilvl w:val="0"/>
          <w:numId w:val="17"/>
        </w:numPr>
        <w:shd w:val="clear" w:color="auto" w:fill="FFFFFF"/>
        <w:spacing w:after="0" w:line="240" w:lineRule="auto"/>
        <w:rPr>
          <w:rFonts w:eastAsia="Times New Roman"/>
          <w:color w:val="000000"/>
        </w:rPr>
      </w:pPr>
      <w:r w:rsidRPr="00864B0F">
        <w:rPr>
          <w:rFonts w:eastAsia="Times New Roman"/>
          <w:b/>
          <w:bCs/>
          <w:color w:val="000000"/>
        </w:rPr>
        <w:t>Phased Migration:</w:t>
      </w:r>
    </w:p>
    <w:p w14:paraId="199C8080" w14:textId="77777777" w:rsidR="00CD177E" w:rsidRPr="00864B0F" w:rsidRDefault="00CD177E" w:rsidP="00CD177E">
      <w:pPr>
        <w:numPr>
          <w:ilvl w:val="1"/>
          <w:numId w:val="17"/>
        </w:numPr>
        <w:shd w:val="clear" w:color="auto" w:fill="FFFFFF"/>
        <w:spacing w:after="0" w:line="240" w:lineRule="auto"/>
        <w:rPr>
          <w:rFonts w:eastAsia="Times New Roman"/>
          <w:color w:val="000000"/>
        </w:rPr>
      </w:pPr>
      <w:r w:rsidRPr="00864B0F">
        <w:rPr>
          <w:rFonts w:eastAsia="Times New Roman"/>
          <w:color w:val="000000"/>
        </w:rPr>
        <w:t>Deploy AWS infra with Terraform (repeatable, idempotent).</w:t>
      </w:r>
    </w:p>
    <w:p w14:paraId="23FA7649" w14:textId="77777777" w:rsidR="00CD177E" w:rsidRPr="00864B0F" w:rsidRDefault="00CD177E" w:rsidP="00CD177E">
      <w:pPr>
        <w:numPr>
          <w:ilvl w:val="1"/>
          <w:numId w:val="17"/>
        </w:numPr>
        <w:shd w:val="clear" w:color="auto" w:fill="FFFFFF"/>
        <w:spacing w:after="0" w:line="240" w:lineRule="auto"/>
        <w:rPr>
          <w:rFonts w:eastAsia="Times New Roman"/>
          <w:color w:val="000000"/>
        </w:rPr>
      </w:pPr>
      <w:r w:rsidRPr="00864B0F">
        <w:rPr>
          <w:rFonts w:eastAsia="Times New Roman"/>
          <w:color w:val="000000"/>
        </w:rPr>
        <w:t>Extend AG with async replicas in AWS.</w:t>
      </w:r>
    </w:p>
    <w:p w14:paraId="5A988272" w14:textId="77777777" w:rsidR="00CD177E" w:rsidRPr="00864B0F" w:rsidRDefault="00CD177E" w:rsidP="00CD177E">
      <w:pPr>
        <w:numPr>
          <w:ilvl w:val="1"/>
          <w:numId w:val="17"/>
        </w:numPr>
        <w:shd w:val="clear" w:color="auto" w:fill="FFFFFF"/>
        <w:spacing w:after="0" w:line="240" w:lineRule="auto"/>
        <w:rPr>
          <w:rFonts w:eastAsia="Times New Roman"/>
          <w:color w:val="000000"/>
        </w:rPr>
      </w:pPr>
      <w:r w:rsidRPr="00864B0F">
        <w:rPr>
          <w:rFonts w:eastAsia="Times New Roman"/>
          <w:color w:val="000000"/>
        </w:rPr>
        <w:t>Validate replication and failover.</w:t>
      </w:r>
    </w:p>
    <w:p w14:paraId="27D12489" w14:textId="77777777" w:rsidR="00CD177E" w:rsidRPr="00864B0F" w:rsidRDefault="00CD177E" w:rsidP="00CD177E">
      <w:pPr>
        <w:numPr>
          <w:ilvl w:val="1"/>
          <w:numId w:val="17"/>
        </w:numPr>
        <w:shd w:val="clear" w:color="auto" w:fill="FFFFFF"/>
        <w:spacing w:after="0" w:line="240" w:lineRule="auto"/>
        <w:rPr>
          <w:rFonts w:eastAsia="Times New Roman"/>
          <w:color w:val="000000"/>
        </w:rPr>
      </w:pPr>
      <w:r w:rsidRPr="00864B0F">
        <w:rPr>
          <w:rFonts w:eastAsia="Times New Roman"/>
          <w:color w:val="000000"/>
        </w:rPr>
        <w:t>Schedule planned downtime.</w:t>
      </w:r>
    </w:p>
    <w:p w14:paraId="1D735C6F" w14:textId="77777777" w:rsidR="00CD177E" w:rsidRPr="00864B0F" w:rsidRDefault="00CD177E" w:rsidP="00CD177E">
      <w:pPr>
        <w:numPr>
          <w:ilvl w:val="1"/>
          <w:numId w:val="17"/>
        </w:numPr>
        <w:shd w:val="clear" w:color="auto" w:fill="FFFFFF"/>
        <w:spacing w:after="0" w:line="240" w:lineRule="auto"/>
        <w:rPr>
          <w:rFonts w:eastAsia="Times New Roman"/>
          <w:color w:val="000000"/>
        </w:rPr>
      </w:pPr>
      <w:r w:rsidRPr="00864B0F">
        <w:rPr>
          <w:rFonts w:eastAsia="Times New Roman"/>
          <w:color w:val="000000"/>
        </w:rPr>
        <w:t>Promote AWS replica to primary.</w:t>
      </w:r>
    </w:p>
    <w:p w14:paraId="6DADDECB" w14:textId="77777777" w:rsidR="00CD177E" w:rsidRPr="00864B0F" w:rsidRDefault="00CD177E" w:rsidP="00CD177E">
      <w:pPr>
        <w:numPr>
          <w:ilvl w:val="1"/>
          <w:numId w:val="17"/>
        </w:numPr>
        <w:shd w:val="clear" w:color="auto" w:fill="FFFFFF"/>
        <w:spacing w:after="0" w:line="240" w:lineRule="auto"/>
        <w:rPr>
          <w:rFonts w:eastAsia="Times New Roman"/>
          <w:color w:val="000000"/>
        </w:rPr>
      </w:pPr>
      <w:r w:rsidRPr="00864B0F">
        <w:rPr>
          <w:rFonts w:eastAsia="Times New Roman"/>
          <w:color w:val="000000"/>
        </w:rPr>
        <w:t>Redirect application traffic via updated listener/DNS.</w:t>
      </w:r>
    </w:p>
    <w:p w14:paraId="42491518" w14:textId="77777777" w:rsidR="00CD177E" w:rsidRPr="00864B0F" w:rsidRDefault="00CD177E" w:rsidP="00CD177E">
      <w:pPr>
        <w:numPr>
          <w:ilvl w:val="0"/>
          <w:numId w:val="17"/>
        </w:numPr>
        <w:shd w:val="clear" w:color="auto" w:fill="FFFFFF"/>
        <w:spacing w:after="0" w:line="240" w:lineRule="auto"/>
        <w:rPr>
          <w:rFonts w:eastAsia="Times New Roman"/>
          <w:color w:val="000000"/>
        </w:rPr>
      </w:pPr>
      <w:r w:rsidRPr="00864B0F">
        <w:rPr>
          <w:rFonts w:eastAsia="Times New Roman"/>
          <w:b/>
          <w:bCs/>
          <w:color w:val="000000"/>
        </w:rPr>
        <w:t>Downtime Goal:</w:t>
      </w:r>
      <w:r w:rsidRPr="00864B0F">
        <w:rPr>
          <w:rFonts w:eastAsia="Times New Roman"/>
          <w:color w:val="000000"/>
        </w:rPr>
        <w:t xml:space="preserve"> Minutes, limited to final cutover window.</w:t>
      </w:r>
    </w:p>
    <w:p w14:paraId="08BB2399" w14:textId="77777777" w:rsidR="00CD177E" w:rsidRPr="00864B0F" w:rsidRDefault="00CD177E" w:rsidP="00CD177E">
      <w:pPr>
        <w:numPr>
          <w:ilvl w:val="0"/>
          <w:numId w:val="17"/>
        </w:numPr>
        <w:shd w:val="clear" w:color="auto" w:fill="FFFFFF"/>
        <w:spacing w:after="0" w:line="240" w:lineRule="auto"/>
        <w:rPr>
          <w:rFonts w:eastAsia="Times New Roman"/>
          <w:color w:val="000000"/>
        </w:rPr>
      </w:pPr>
      <w:r w:rsidRPr="00864B0F">
        <w:rPr>
          <w:rFonts w:eastAsia="Times New Roman"/>
          <w:b/>
          <w:bCs/>
          <w:color w:val="000000"/>
        </w:rPr>
        <w:t>Rollback:</w:t>
      </w:r>
      <w:r w:rsidRPr="00864B0F">
        <w:rPr>
          <w:rFonts w:eastAsia="Times New Roman"/>
          <w:color w:val="000000"/>
        </w:rPr>
        <w:t xml:space="preserve"> Fail back to on-premises primary if issues arise.</w:t>
      </w:r>
    </w:p>
    <w:p w14:paraId="0E514AF3" w14:textId="77777777" w:rsidR="00CD177E" w:rsidRPr="00864B0F" w:rsidRDefault="00CD177E" w:rsidP="00CD177E">
      <w:pPr>
        <w:shd w:val="clear" w:color="auto" w:fill="FFFFFF"/>
        <w:spacing w:after="0"/>
        <w:rPr>
          <w:rFonts w:eastAsia="Times New Roman"/>
          <w:color w:val="000000"/>
        </w:rPr>
      </w:pPr>
      <w:r w:rsidRPr="00864B0F">
        <w:rPr>
          <w:rFonts w:eastAsia="Times New Roman"/>
          <w:b/>
          <w:bCs/>
          <w:color w:val="000000"/>
        </w:rPr>
        <w:t>Why:</w:t>
      </w:r>
      <w:r w:rsidRPr="00864B0F">
        <w:rPr>
          <w:rFonts w:eastAsia="Times New Roman"/>
          <w:color w:val="000000"/>
        </w:rPr>
        <w:t xml:space="preserve"> Minimizes risk and ensures business continuity.</w:t>
      </w:r>
    </w:p>
    <w:p w14:paraId="5FB4FFC0"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450ED155">
          <v:rect id="_x0000_i1034" style="width:0;height:1.5pt" o:hralign="center" o:hrstd="t" o:hr="t" fillcolor="#a0a0a0" stroked="f"/>
        </w:pict>
      </w:r>
    </w:p>
    <w:p w14:paraId="3DC460C9"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Design Choices &amp; Trade-Offs</w:t>
      </w:r>
    </w:p>
    <w:p w14:paraId="31C1D869" w14:textId="77777777" w:rsidR="00CD177E" w:rsidRPr="00864B0F" w:rsidRDefault="00CD177E" w:rsidP="00CD177E">
      <w:pPr>
        <w:numPr>
          <w:ilvl w:val="0"/>
          <w:numId w:val="18"/>
        </w:numPr>
        <w:shd w:val="clear" w:color="auto" w:fill="FFFFFF"/>
        <w:spacing w:after="0" w:line="240" w:lineRule="auto"/>
        <w:rPr>
          <w:rFonts w:eastAsia="Times New Roman"/>
          <w:color w:val="000000"/>
        </w:rPr>
      </w:pPr>
      <w:r w:rsidRPr="00864B0F">
        <w:rPr>
          <w:rFonts w:eastAsia="Times New Roman"/>
          <w:b/>
          <w:bCs/>
          <w:color w:val="000000"/>
        </w:rPr>
        <w:t>Single Subnet Constraint:</w:t>
      </w:r>
      <w:r w:rsidRPr="00864B0F">
        <w:rPr>
          <w:rFonts w:eastAsia="Times New Roman"/>
          <w:color w:val="000000"/>
        </w:rPr>
        <w:t xml:space="preserve"> Simplifies DNS/listener setup, but reduces multi-AZ resiliency. Future extension to 2 subnets possible.</w:t>
      </w:r>
    </w:p>
    <w:p w14:paraId="7498025E" w14:textId="77777777" w:rsidR="00CD177E" w:rsidRPr="00864B0F" w:rsidRDefault="00CD177E" w:rsidP="00CD177E">
      <w:pPr>
        <w:numPr>
          <w:ilvl w:val="0"/>
          <w:numId w:val="18"/>
        </w:numPr>
        <w:shd w:val="clear" w:color="auto" w:fill="FFFFFF"/>
        <w:spacing w:after="0" w:line="240" w:lineRule="auto"/>
        <w:rPr>
          <w:rFonts w:eastAsia="Times New Roman"/>
          <w:color w:val="000000"/>
        </w:rPr>
      </w:pPr>
      <w:r w:rsidRPr="00864B0F">
        <w:rPr>
          <w:rFonts w:eastAsia="Times New Roman"/>
          <w:b/>
          <w:bCs/>
          <w:color w:val="000000"/>
        </w:rPr>
        <w:t>NAT Gateway vs Instance:</w:t>
      </w:r>
      <w:r w:rsidRPr="00864B0F">
        <w:rPr>
          <w:rFonts w:eastAsia="Times New Roman"/>
          <w:color w:val="000000"/>
        </w:rPr>
        <w:t xml:space="preserve"> NAT Gateway chosen for reliability, at slight cost increase.</w:t>
      </w:r>
    </w:p>
    <w:p w14:paraId="069FC245" w14:textId="77777777" w:rsidR="00CD177E" w:rsidRPr="00864B0F" w:rsidRDefault="00CD177E" w:rsidP="00CD177E">
      <w:pPr>
        <w:numPr>
          <w:ilvl w:val="0"/>
          <w:numId w:val="18"/>
        </w:numPr>
        <w:shd w:val="clear" w:color="auto" w:fill="FFFFFF"/>
        <w:spacing w:after="0" w:line="240" w:lineRule="auto"/>
        <w:rPr>
          <w:rFonts w:eastAsia="Times New Roman"/>
          <w:color w:val="000000"/>
        </w:rPr>
      </w:pPr>
      <w:r w:rsidRPr="00864B0F">
        <w:rPr>
          <w:rFonts w:eastAsia="Times New Roman"/>
          <w:b/>
          <w:bCs/>
          <w:color w:val="000000"/>
        </w:rPr>
        <w:t>SSM Access:</w:t>
      </w:r>
      <w:r w:rsidRPr="00864B0F">
        <w:rPr>
          <w:rFonts w:eastAsia="Times New Roman"/>
          <w:color w:val="000000"/>
        </w:rPr>
        <w:t xml:space="preserve"> More secure than SSH/RDP; aligns with modern AWS practices.</w:t>
      </w:r>
    </w:p>
    <w:p w14:paraId="39EC76C2" w14:textId="77777777" w:rsidR="00CD177E" w:rsidRPr="00864B0F" w:rsidRDefault="00CD177E" w:rsidP="00CD177E">
      <w:pPr>
        <w:numPr>
          <w:ilvl w:val="0"/>
          <w:numId w:val="18"/>
        </w:numPr>
        <w:shd w:val="clear" w:color="auto" w:fill="FFFFFF"/>
        <w:spacing w:after="0" w:line="240" w:lineRule="auto"/>
        <w:rPr>
          <w:rFonts w:eastAsia="Times New Roman"/>
          <w:color w:val="000000"/>
        </w:rPr>
      </w:pPr>
      <w:r w:rsidRPr="00864B0F">
        <w:rPr>
          <w:rFonts w:eastAsia="Times New Roman"/>
          <w:b/>
          <w:bCs/>
          <w:color w:val="000000"/>
        </w:rPr>
        <w:t>Terraform Modules:</w:t>
      </w:r>
      <w:r w:rsidRPr="00864B0F">
        <w:rPr>
          <w:rFonts w:eastAsia="Times New Roman"/>
          <w:color w:val="000000"/>
        </w:rPr>
        <w:t xml:space="preserve"> Provides modularity, reusability, and automated tagging for cost governance.</w:t>
      </w:r>
    </w:p>
    <w:p w14:paraId="3F94B1F7" w14:textId="77777777" w:rsidR="00CD177E" w:rsidRPr="00864B0F" w:rsidRDefault="00CD177E" w:rsidP="00CD177E">
      <w:pPr>
        <w:shd w:val="clear" w:color="auto" w:fill="FFFFFF"/>
        <w:rPr>
          <w:rFonts w:eastAsia="Times New Roman"/>
          <w:color w:val="000000"/>
        </w:rPr>
      </w:pPr>
      <w:r w:rsidRPr="00864B0F">
        <w:rPr>
          <w:rFonts w:eastAsia="Times New Roman"/>
          <w:color w:val="000000"/>
        </w:rPr>
        <w:pict w14:anchorId="64818E81">
          <v:rect id="_x0000_i1035" style="width:0;height:1.5pt" o:hralign="center" o:hrstd="t" o:hr="t" fillcolor="#a0a0a0" stroked="f"/>
        </w:pict>
      </w:r>
    </w:p>
    <w:p w14:paraId="467C2121" w14:textId="77777777" w:rsidR="00CD177E" w:rsidRPr="00864B0F" w:rsidRDefault="00CD177E" w:rsidP="00CD177E">
      <w:pPr>
        <w:shd w:val="clear" w:color="auto" w:fill="FFFFFF"/>
        <w:spacing w:after="0"/>
        <w:rPr>
          <w:rFonts w:eastAsia="Times New Roman"/>
          <w:b/>
          <w:bCs/>
          <w:color w:val="000000"/>
        </w:rPr>
      </w:pPr>
      <w:r w:rsidRPr="00864B0F">
        <w:rPr>
          <w:rFonts w:eastAsia="Times New Roman"/>
          <w:b/>
          <w:bCs/>
          <w:color w:val="000000"/>
        </w:rPr>
        <w:t>Conclusion</w:t>
      </w:r>
    </w:p>
    <w:p w14:paraId="230FC502" w14:textId="77777777" w:rsidR="00CD177E" w:rsidRPr="00864B0F" w:rsidRDefault="00CD177E" w:rsidP="00CD177E">
      <w:pPr>
        <w:shd w:val="clear" w:color="auto" w:fill="FFFFFF"/>
        <w:spacing w:after="0"/>
        <w:rPr>
          <w:rFonts w:eastAsia="Times New Roman"/>
          <w:color w:val="000000"/>
        </w:rPr>
      </w:pPr>
      <w:r w:rsidRPr="00864B0F">
        <w:rPr>
          <w:rFonts w:eastAsia="Times New Roman"/>
          <w:color w:val="000000"/>
        </w:rPr>
        <w:t>This design delivers a secure, production-ready AWS foundation for extending SQL AG into the cloud. Terraform codifies infrastructure for repeatability, and the plan balances immediate business needs with long-term flexibility.</w:t>
      </w:r>
    </w:p>
    <w:p w14:paraId="2F05A549" w14:textId="77777777" w:rsidR="00CD177E" w:rsidRPr="00864B0F" w:rsidRDefault="00CD177E" w:rsidP="00CD177E">
      <w:pPr>
        <w:shd w:val="clear" w:color="auto" w:fill="FFFFFF"/>
        <w:spacing w:after="0"/>
        <w:rPr>
          <w:rFonts w:eastAsia="Times New Roman"/>
          <w:color w:val="000000"/>
        </w:rPr>
      </w:pPr>
      <w:r w:rsidRPr="00864B0F">
        <w:rPr>
          <w:rFonts w:eastAsia="Times New Roman"/>
          <w:color w:val="000000"/>
        </w:rPr>
        <w:t>Next steps: conduct joint testing with IT and DB teams, finalize quorum placement, and prepare migration schedule.</w:t>
      </w:r>
    </w:p>
    <w:p w14:paraId="07698737" w14:textId="3E52AB75" w:rsidR="00F045DF" w:rsidRPr="00CD177E" w:rsidRDefault="00F045DF" w:rsidP="00CD177E"/>
    <w:sectPr w:rsidR="00F045DF" w:rsidRPr="00CD17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7566C4"/>
    <w:multiLevelType w:val="multilevel"/>
    <w:tmpl w:val="7A580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E5F82"/>
    <w:multiLevelType w:val="multilevel"/>
    <w:tmpl w:val="B2B0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32F47"/>
    <w:multiLevelType w:val="multilevel"/>
    <w:tmpl w:val="03C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463E9"/>
    <w:multiLevelType w:val="multilevel"/>
    <w:tmpl w:val="3BB0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15746"/>
    <w:multiLevelType w:val="multilevel"/>
    <w:tmpl w:val="9E2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01D96"/>
    <w:multiLevelType w:val="multilevel"/>
    <w:tmpl w:val="8E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0682C"/>
    <w:multiLevelType w:val="multilevel"/>
    <w:tmpl w:val="3642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467C3"/>
    <w:multiLevelType w:val="multilevel"/>
    <w:tmpl w:val="E94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44317"/>
    <w:multiLevelType w:val="multilevel"/>
    <w:tmpl w:val="14EC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197142">
    <w:abstractNumId w:val="8"/>
  </w:num>
  <w:num w:numId="2" w16cid:durableId="393741910">
    <w:abstractNumId w:val="6"/>
  </w:num>
  <w:num w:numId="3" w16cid:durableId="1256786450">
    <w:abstractNumId w:val="5"/>
  </w:num>
  <w:num w:numId="4" w16cid:durableId="1031489438">
    <w:abstractNumId w:val="4"/>
  </w:num>
  <w:num w:numId="5" w16cid:durableId="466045073">
    <w:abstractNumId w:val="7"/>
  </w:num>
  <w:num w:numId="6" w16cid:durableId="997928856">
    <w:abstractNumId w:val="3"/>
  </w:num>
  <w:num w:numId="7" w16cid:durableId="2077436301">
    <w:abstractNumId w:val="2"/>
  </w:num>
  <w:num w:numId="8" w16cid:durableId="1157844938">
    <w:abstractNumId w:val="1"/>
  </w:num>
  <w:num w:numId="9" w16cid:durableId="1784766578">
    <w:abstractNumId w:val="0"/>
  </w:num>
  <w:num w:numId="10" w16cid:durableId="1311403266">
    <w:abstractNumId w:val="12"/>
  </w:num>
  <w:num w:numId="11" w16cid:durableId="2038891448">
    <w:abstractNumId w:val="10"/>
  </w:num>
  <w:num w:numId="12" w16cid:durableId="124127137">
    <w:abstractNumId w:val="15"/>
  </w:num>
  <w:num w:numId="13" w16cid:durableId="2000502493">
    <w:abstractNumId w:val="13"/>
  </w:num>
  <w:num w:numId="14" w16cid:durableId="260990506">
    <w:abstractNumId w:val="17"/>
  </w:num>
  <w:num w:numId="15" w16cid:durableId="1417627367">
    <w:abstractNumId w:val="11"/>
  </w:num>
  <w:num w:numId="16" w16cid:durableId="821585707">
    <w:abstractNumId w:val="14"/>
  </w:num>
  <w:num w:numId="17" w16cid:durableId="1028262837">
    <w:abstractNumId w:val="9"/>
  </w:num>
  <w:num w:numId="18" w16cid:durableId="18959695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E85"/>
    <w:rsid w:val="0006063C"/>
    <w:rsid w:val="0015074B"/>
    <w:rsid w:val="0029639D"/>
    <w:rsid w:val="00326F90"/>
    <w:rsid w:val="00AA1D8D"/>
    <w:rsid w:val="00B47730"/>
    <w:rsid w:val="00CB0664"/>
    <w:rsid w:val="00CD177E"/>
    <w:rsid w:val="00F045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40784"/>
  <w14:defaultImageDpi w14:val="300"/>
  <w15:docId w15:val="{27AC4CB3-5472-4EDA-9590-8046ECB8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Theodore Gibson</cp:lastModifiedBy>
  <cp:revision>2</cp:revision>
  <dcterms:created xsi:type="dcterms:W3CDTF">2013-12-23T23:15:00Z</dcterms:created>
  <dcterms:modified xsi:type="dcterms:W3CDTF">2025-08-24T23:33:00Z</dcterms:modified>
  <cp:category/>
</cp:coreProperties>
</file>