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APFAF Kampala Ecosystem-based Adaptation Concept</w:t>
      </w:r>
    </w:p>
    <w:p>
      <w:pPr>
        <w:pStyle w:val="Heading1"/>
      </w:pPr>
      <w:r>
        <w:rPr>
          <w:b w:val="0"/>
        </w:rPr>
        <w:t>Internal concept-development and proposal-writing brief</w:t>
      </w:r>
    </w:p>
    <w:p>
      <w:r>
        <w:rPr>
          <w:b w:val="0"/>
        </w:rPr>
      </w:r>
      <w:r>
        <w:rPr>
          <w:b/>
        </w:rPr>
        <w:t>Prepared for:</w:t>
      </w:r>
      <w:r>
        <w:rPr>
          <w:b w:val="0"/>
        </w:rPr>
        <w:t xml:space="preserve"> A Pen For Africa (APFAF) proposal-development team</w:t>
      </w:r>
    </w:p>
    <w:p>
      <w:r>
        <w:rPr>
          <w:b w:val="0"/>
        </w:rPr>
      </w:r>
      <w:r>
        <w:rPr>
          <w:b/>
        </w:rPr>
        <w:t>Prepared:</w:t>
      </w:r>
      <w:r>
        <w:rPr>
          <w:b w:val="0"/>
        </w:rPr>
        <w:t xml:space="preserve"> 10 October 2026</w:t>
      </w:r>
    </w:p>
    <w:p>
      <w:r>
        <w:rPr>
          <w:b w:val="0"/>
        </w:rPr>
      </w:r>
      <w:r>
        <w:rPr>
          <w:b/>
        </w:rPr>
        <w:t>Priority opportunity:</w:t>
      </w:r>
      <w:r>
        <w:rPr>
          <w:b w:val="0"/>
        </w:rPr>
        <w:t xml:space="preserve"> Global EbA Fund — 8th Call for Small-Size Grants</w:t>
      </w:r>
    </w:p>
    <w:p>
      <w:r>
        <w:rPr>
          <w:b w:val="0"/>
        </w:rPr>
      </w:r>
      <w:r>
        <w:rPr>
          <w:b/>
        </w:rPr>
        <w:t>Status:</w:t>
      </w:r>
      <w:r>
        <w:rPr>
          <w:b w:val="0"/>
        </w:rPr>
        <w:t xml:space="preserve"> Working concept for validation; not a completed application or confirmation of eligibility.</w:t>
      </w:r>
    </w:p>
    <w:p>
      <w:pPr>
        <w:pStyle w:val="Quote"/>
      </w:pPr>
      <w:r>
        <w:rPr>
          <w:b w:val="0"/>
        </w:rPr>
      </w:r>
      <w:r>
        <w:rPr>
          <w:b/>
        </w:rPr>
        <w:t>Central recommendation:</w:t>
      </w:r>
      <w:r>
        <w:rPr>
          <w:b w:val="0"/>
        </w:rPr>
        <w:t xml:space="preserve"> Develop a Kampala-linked small-grant proposal only if the 2024 APFAF survey provides a credible and relevant starting point, a specific ecosystem-based adaptation opportunity can be demonstrated, and a suitably qualified technical partner is secured. Do not present the survey as a climate-risk assessment unless its methods and evidence support that description.</w:t>
      </w:r>
    </w:p>
    <w:p>
      <w:pPr>
        <w:pStyle w:val="Heading1"/>
      </w:pPr>
      <w:r>
        <w:rPr>
          <w:b w:val="0"/>
        </w:rPr>
        <w:t>1. Purpose of this brief</w:t>
      </w:r>
    </w:p>
    <w:p>
      <w:r>
        <w:rPr>
          <w:b w:val="0"/>
        </w:rPr>
        <w:t>This document gives APFAF’s team a common basis for developing the actual application. It provides a proposed project direction, draft narrative, evidence requirements, results framework, partnership structure, budget envelope and writing assignments.</w:t>
      </w:r>
    </w:p>
    <w:p>
      <w:r>
        <w:rPr>
          <w:b w:val="0"/>
        </w:rPr>
        <w:t>The team should distinguish throughout the application between:</w:t>
      </w:r>
    </w:p>
    <w:p>
      <w:pPr>
        <w:pStyle w:val="ListBullet"/>
      </w:pPr>
      <w:r>
        <w:rPr>
          <w:b w:val="0"/>
        </w:rPr>
      </w:r>
      <w:r>
        <w:rPr>
          <w:b/>
        </w:rPr>
        <w:t>Published organisational information:</w:t>
      </w:r>
      <w:r>
        <w:rPr>
          <w:b w:val="0"/>
        </w:rPr>
        <w:t xml:space="preserve"> what APFAF’s website states about its mandate and activities.</w:t>
      </w:r>
    </w:p>
    <w:p>
      <w:pPr>
        <w:pStyle w:val="ListBullet"/>
      </w:pPr>
      <w:r>
        <w:rPr>
          <w:b w:val="0"/>
        </w:rPr>
      </w:r>
      <w:r>
        <w:rPr>
          <w:b/>
        </w:rPr>
        <w:t>Verified project evidence:</w:t>
      </w:r>
      <w:r>
        <w:rPr>
          <w:b w:val="0"/>
        </w:rPr>
        <w:t xml:space="preserve"> findings supported by reports, data, consultation records or authoritative technical sources.</w:t>
      </w:r>
    </w:p>
    <w:p>
      <w:pPr>
        <w:pStyle w:val="ListBullet"/>
      </w:pPr>
      <w:r>
        <w:rPr>
          <w:b w:val="0"/>
        </w:rPr>
      </w:r>
      <w:r>
        <w:rPr>
          <w:b/>
        </w:rPr>
        <w:t>Proposed activities and targets:</w:t>
      </w:r>
      <w:r>
        <w:rPr>
          <w:b w:val="0"/>
        </w:rPr>
        <w:t xml:space="preserve"> what the new project intends to deliver.</w:t>
      </w:r>
    </w:p>
    <w:p>
      <w:pPr>
        <w:pStyle w:val="ListBullet"/>
      </w:pPr>
      <w:r>
        <w:rPr>
          <w:b w:val="0"/>
        </w:rPr>
      </w:r>
      <w:r>
        <w:rPr>
          <w:b/>
        </w:rPr>
        <w:t>Assumptions requiring validation:</w:t>
      </w:r>
      <w:r>
        <w:rPr>
          <w:b w:val="0"/>
        </w:rPr>
        <w:t xml:space="preserve"> matters not yet demonstrated.</w:t>
      </w:r>
    </w:p>
    <w:p>
      <w:r>
        <w:rPr>
          <w:b w:val="0"/>
        </w:rPr>
        <w:t>Bracketed text in this brief must be replaced with verified information. Suggested targets and budget figures are planning examples, not donor requirements or established commitments.</w:t>
      </w:r>
    </w:p>
    <w:p>
      <w:pPr>
        <w:pStyle w:val="Heading1"/>
      </w:pPr>
      <w:r>
        <w:rPr>
          <w:b w:val="0"/>
        </w:rPr>
        <w:t>2. Executive concept summary</w:t>
      </w:r>
    </w:p>
    <w:p>
      <w:pPr>
        <w:pStyle w:val="Heading2"/>
      </w:pPr>
      <w:r>
        <w:rPr>
          <w:b w:val="0"/>
        </w:rPr>
        <w:t>Proposed working title</w:t>
      </w:r>
    </w:p>
    <w:p>
      <w:r>
        <w:rPr>
          <w:b w:val="0"/>
        </w:rPr>
      </w:r>
      <w:r>
        <w:rPr>
          <w:b/>
        </w:rPr>
        <w:t>Rights-Based Ecosystem Governance for Climate and Health Resilience in Vulnerable Kampala Communities</w:t>
      </w:r>
      <w:r>
        <w:rPr>
          <w:b w:val="0"/>
        </w:rPr>
      </w:r>
    </w:p>
    <w:p>
      <w:pPr>
        <w:pStyle w:val="Heading2"/>
      </w:pPr>
      <w:r>
        <w:rPr>
          <w:b w:val="0"/>
        </w:rPr>
        <w:t>Proposed project parameters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Working position</w:t>
            </w:r>
          </w:p>
        </w:tc>
      </w:tr>
      <w:tr>
        <w:tc>
          <w:tcPr>
            <w:tcW w:type="dxa" w:w="4320"/>
          </w:tcPr>
          <w:p>
            <w:r>
              <w:rPr>
                <w:b w:val="0"/>
              </w:rPr>
              <w:t>Funding window</w:t>
            </w:r>
          </w:p>
        </w:tc>
        <w:tc>
          <w:tcPr>
            <w:tcW w:type="dxa" w:w="4320"/>
          </w:tcPr>
          <w:p>
            <w:r>
              <w:rPr>
                <w:b w:val="0"/>
              </w:rPr>
              <w:t>Global EbA Fund small-size grants</w:t>
            </w:r>
          </w:p>
        </w:tc>
      </w:tr>
      <w:tr>
        <w:tc>
          <w:tcPr>
            <w:tcW w:type="dxa" w:w="4320"/>
          </w:tcPr>
          <w:p>
            <w:r>
              <w:rPr>
                <w:b w:val="0"/>
              </w:rPr>
              <w:t>Duration</w:t>
            </w:r>
          </w:p>
        </w:tc>
        <w:tc>
          <w:tcPr>
            <w:tcW w:type="dxa" w:w="4320"/>
          </w:tcPr>
          <w:p>
            <w:r>
              <w:rPr>
                <w:b w:val="0"/>
              </w:rPr>
              <w:t>24 months, subject to final design and approval</w:t>
            </w:r>
          </w:p>
        </w:tc>
      </w:tr>
      <w:tr>
        <w:tc>
          <w:tcPr>
            <w:tcW w:type="dxa" w:w="4320"/>
          </w:tcPr>
          <w:p>
            <w:r>
              <w:rPr>
                <w:b w:val="0"/>
              </w:rPr>
              <w:t>Illustrative request</w:t>
            </w:r>
          </w:p>
        </w:tc>
        <w:tc>
          <w:tcPr>
            <w:tcW w:type="dxa" w:w="4320"/>
          </w:tcPr>
          <w:p>
            <w:r>
              <w:rPr>
                <w:b w:val="0"/>
              </w:rPr>
              <w:t>USD 230,000; revise after costing and capacity review</w:t>
            </w:r>
          </w:p>
        </w:tc>
      </w:tr>
      <w:tr>
        <w:tc>
          <w:tcPr>
            <w:tcW w:type="dxa" w:w="4320"/>
          </w:tcPr>
          <w:p>
            <w:r>
              <w:rPr>
                <w:b w:val="0"/>
              </w:rPr>
              <w:t>Geographic scope</w:t>
            </w:r>
          </w:p>
        </w:tc>
        <w:tc>
          <w:tcPr>
            <w:tcW w:type="dxa" w:w="4320"/>
          </w:tcPr>
          <w:p>
            <w:r>
              <w:rPr>
                <w:b w:val="0"/>
              </w:rPr>
              <w:t>One clearly defined Kampala ecosystem/catchment area and associated communities, selected through evidence review</w:t>
            </w:r>
          </w:p>
        </w:tc>
      </w:tr>
      <w:tr>
        <w:tc>
          <w:tcPr>
            <w:tcW w:type="dxa" w:w="4320"/>
          </w:tcPr>
          <w:p>
            <w:r>
              <w:rPr>
                <w:b w:val="0"/>
              </w:rPr>
              <w:t>Lead applicant</w:t>
            </w:r>
          </w:p>
        </w:tc>
        <w:tc>
          <w:tcPr>
            <w:tcW w:type="dxa" w:w="4320"/>
          </w:tcPr>
          <w:p>
            <w:r>
              <w:rPr>
                <w:b w:val="0"/>
              </w:rPr>
              <w:t>APFAF if due diligence and delivery capacity are demonstrated; otherwise an experienced eligible lead with APFAF in a substantive consortium role</w:t>
            </w:r>
          </w:p>
        </w:tc>
      </w:tr>
      <w:tr>
        <w:tc>
          <w:tcPr>
            <w:tcW w:type="dxa" w:w="4320"/>
          </w:tcPr>
          <w:p>
            <w:r>
              <w:rPr>
                <w:b w:val="0"/>
              </w:rPr>
              <w:t>Priority participants</w:t>
            </w:r>
          </w:p>
        </w:tc>
        <w:tc>
          <w:tcPr>
            <w:tcW w:type="dxa" w:w="4320"/>
          </w:tcPr>
          <w:p>
            <w:r>
              <w:rPr>
                <w:b w:val="0"/>
              </w:rPr>
              <w:t>Locally identified climate-vulnerable residents, including women, youth and structurally excluded groups; exact groups must be justified by evidence</w:t>
            </w:r>
          </w:p>
        </w:tc>
      </w:tr>
      <w:tr>
        <w:tc>
          <w:tcPr>
            <w:tcW w:type="dxa" w:w="4320"/>
          </w:tcPr>
          <w:p>
            <w:r>
              <w:rPr>
                <w:b w:val="0"/>
              </w:rPr>
              <w:t>Primary strategic objective</w:t>
            </w:r>
          </w:p>
        </w:tc>
        <w:tc>
          <w:tcPr>
            <w:tcW w:type="dxa" w:w="4320"/>
          </w:tcPr>
          <w:p>
            <w:r>
              <w:rPr>
                <w:b w:val="0"/>
              </w:rPr>
              <w:t>Objective 1: awareness, knowledge/evidence and institutional capacity</w:t>
            </w:r>
          </w:p>
        </w:tc>
      </w:tr>
      <w:tr>
        <w:tc>
          <w:tcPr>
            <w:tcW w:type="dxa" w:w="4320"/>
          </w:tcPr>
          <w:p>
            <w:r>
              <w:rPr>
                <w:b w:val="0"/>
              </w:rPr>
              <w:t>Proposed action pillars</w:t>
            </w:r>
          </w:p>
        </w:tc>
        <w:tc>
          <w:tcPr>
            <w:tcW w:type="dxa" w:w="4320"/>
          </w:tcPr>
          <w:p>
            <w:r>
              <w:rPr>
                <w:b w:val="0"/>
              </w:rPr>
              <w:t>Pillar 1: education/capacity-building; Pillar 2: functional data and science</w:t>
            </w:r>
          </w:p>
        </w:tc>
      </w:tr>
      <w:tr>
        <w:tc>
          <w:tcPr>
            <w:tcW w:type="dxa" w:w="4320"/>
          </w:tcPr>
          <w:p>
            <w:r>
              <w:rPr>
                <w:b w:val="0"/>
              </w:rPr>
              <w:t>Main outcome</w:t>
            </w:r>
          </w:p>
        </w:tc>
        <w:tc>
          <w:tcPr>
            <w:tcW w:type="dxa" w:w="4320"/>
          </w:tcPr>
          <w:p>
            <w:r>
              <w:rPr>
                <w:b w:val="0"/>
              </w:rPr>
              <w:t>Responsible institutions and community structures adopt and begin using a rights-based, evidence-informed approach to ecosystem-based adaptation</w:t>
            </w:r>
          </w:p>
        </w:tc>
      </w:tr>
    </w:tbl>
    <w:p/>
    <w:p>
      <w:r>
        <w:rPr>
          <w:b w:val="0"/>
        </w:rPr>
      </w:r>
      <w:r>
        <w:rPr>
          <w:b/>
        </w:rPr>
        <w:t>Alternative objective:</w:t>
      </w:r>
      <w:r>
        <w:rPr>
          <w:b w:val="0"/>
        </w:rPr>
        <w:t xml:space="preserve"> If governance reform becomes the central result rather than institutional capacity, select Strategic Objective 2 instead. Choose one objective; do not combine objectives indiscriminately.</w:t>
      </w:r>
    </w:p>
    <w:p>
      <w:pPr>
        <w:pStyle w:val="Heading2"/>
      </w:pPr>
      <w:r>
        <w:rPr>
          <w:b w:val="0"/>
        </w:rPr>
        <w:t>Draft summary for adaptation into the application</w:t>
      </w:r>
    </w:p>
    <w:p>
      <w:r>
        <w:rPr>
          <w:b w:val="0"/>
        </w:rPr>
        <w:t>A Pen For Africa proposes to strengthen the enabling conditions for ecosystem-based adaptation in [selected Kampala location], where [verified climate hazard] affects [identified vulnerable groups] and where the condition or management of [specified ecosystem] influences [relevant ecosystem service]. Building on its 2024 community survey and subsequent validated evidence, APFAF will work with [technical partner], local community organisations and relevant public institutions to address [specific evidence, capacity or governance barrier] preventing wider uptake of ecosystem-based adaptation.</w:t>
      </w:r>
    </w:p>
    <w:p>
      <w:r>
        <w:rPr>
          <w:b w:val="0"/>
        </w:rPr>
        <w:t>The project will combine participatory climate-risk and ecosystem-service assessment, rights-based analysis, practical capacity-building, and institutional adoption of a locally appropriate management and monitoring approach. Limited field validation may be included where essential to test the approach, but the project will not primarily finance restoration works, drainage infrastructure, waste collection or tree planting. Its principal contribution will be to help institutions and communities make, implement and sustain better adaptation decisions.</w:t>
      </w:r>
    </w:p>
    <w:p>
      <w:r>
        <w:rPr>
          <w:b w:val="0"/>
        </w:rPr>
        <w:t>Within 24 months, the project intends to establish a technically credible evidence base, strengthen inclusive management arrangements, and secure an operational pathway for continued implementation and financing. Longer-term contributions may include reduced climate vulnerability and improved ecosystem services; the project will not claim population-level health or flood-risk reductions without an appropriate measurement basis.</w:t>
      </w:r>
    </w:p>
    <w:p>
      <w:pPr>
        <w:pStyle w:val="Heading1"/>
      </w:pPr>
      <w:r>
        <w:rPr>
          <w:b w:val="0"/>
        </w:rPr>
        <w:t>3. Why this concept fits APFAF</w:t>
      </w:r>
    </w:p>
    <w:p>
      <w:r>
        <w:rPr>
          <w:b w:val="0"/>
        </w:rPr>
        <w:t>APFAF’s official website describes a women-led, rights-based organisation working on health access equity, climate justice, economic empowerment, and legal and protection services. Its Projects page reports a 2024 survey in Kampala suburbs, participation in tree planting, climate advocacy, and rights-based institutional training. These provide a potential organisational foundation, but not automatic proof of EbA expertise or grant-management capacity. [1–3]</w:t>
      </w:r>
    </w:p>
    <w:p>
      <w:r>
        <w:rPr>
          <w:b w:val="0"/>
        </w:rPr>
        <w:t>APFAF’s strongest proposed contribution is the connection between:</w:t>
      </w:r>
    </w:p>
    <w:p>
      <w:r>
        <w:rPr>
          <w:b w:val="0"/>
        </w:rPr>
        <w:t xml:space="preserve">1. </w:t>
      </w:r>
      <w:r>
        <w:rPr>
          <w:b/>
        </w:rPr>
        <w:t>Rights and inclusion:</w:t>
      </w:r>
      <w:r>
        <w:rPr>
          <w:b w:val="0"/>
        </w:rPr>
        <w:t xml:space="preserve"> who participates in ecosystem decisions and who bears their costs.</w:t>
      </w:r>
    </w:p>
    <w:p>
      <w:r>
        <w:rPr>
          <w:b w:val="0"/>
        </w:rPr>
        <w:t xml:space="preserve">2. </w:t>
      </w:r>
      <w:r>
        <w:rPr>
          <w:b/>
        </w:rPr>
        <w:t>Community evidence:</w:t>
      </w:r>
      <w:r>
        <w:rPr>
          <w:b w:val="0"/>
        </w:rPr>
        <w:t xml:space="preserve"> how residents experience climate risks and ecosystem change.</w:t>
      </w:r>
    </w:p>
    <w:p>
      <w:r>
        <w:rPr>
          <w:b w:val="0"/>
        </w:rPr>
        <w:t xml:space="preserve">3. </w:t>
      </w:r>
      <w:r>
        <w:rPr>
          <w:b/>
        </w:rPr>
        <w:t>Institutional capacity:</w:t>
      </w:r>
      <w:r>
        <w:rPr>
          <w:b w:val="0"/>
        </w:rPr>
        <w:t xml:space="preserve"> whether responsible organisations can use evidence and implement fair management arrangements.</w:t>
      </w:r>
    </w:p>
    <w:p>
      <w:r>
        <w:rPr>
          <w:b w:val="0"/>
        </w:rPr>
        <w:t xml:space="preserve">4. </w:t>
      </w:r>
      <w:r>
        <w:rPr>
          <w:b/>
        </w:rPr>
        <w:t>Health equity:</w:t>
      </w:r>
      <w:r>
        <w:rPr>
          <w:b w:val="0"/>
        </w:rPr>
        <w:t xml:space="preserve"> how climate exposure affects people differently, including people with chronic illness or limited access to services where locally relevant.</w:t>
      </w:r>
    </w:p>
    <w:p>
      <w:r>
        <w:rPr>
          <w:b w:val="0"/>
        </w:rPr>
        <w:t>The technical partner must supply capabilities APFAF cannot substantiate internally, particularly ecosystem assessment, climate-risk analysis and scientifically defensible adaptation design.</w:t>
      </w:r>
    </w:p>
    <w:p>
      <w:pPr>
        <w:pStyle w:val="Heading1"/>
      </w:pPr>
      <w:r>
        <w:rPr>
          <w:b w:val="0"/>
        </w:rPr>
        <w:t>4. Mandatory concept-validation gates</w:t>
      </w:r>
    </w:p>
    <w:p>
      <w:pPr>
        <w:pStyle w:val="Heading2"/>
      </w:pPr>
      <w:r>
        <w:rPr>
          <w:b w:val="0"/>
        </w:rPr>
        <w:t>Gate A — Is the 2024 survey a credible foundation?</w:t>
      </w:r>
    </w:p>
    <w:p>
      <w:r>
        <w:rPr>
          <w:b w:val="0"/>
        </w:rPr>
        <w:t>Obtain and review:</w:t>
      </w:r>
    </w:p>
    <w:p>
      <w:pPr>
        <w:pStyle w:val="ListBullet"/>
      </w:pPr>
      <w:r>
        <w:rPr>
          <w:b w:val="0"/>
        </w:rPr>
        <w:t>Full report, date, authors and commissioning arrangements.</w:t>
      </w:r>
    </w:p>
    <w:p>
      <w:pPr>
        <w:pStyle w:val="ListBullet"/>
      </w:pPr>
      <w:r>
        <w:rPr>
          <w:b w:val="0"/>
        </w:rPr>
        <w:t>Survey locations and their relationship to the proposed project area.</w:t>
      </w:r>
    </w:p>
    <w:p>
      <w:pPr>
        <w:pStyle w:val="ListBullet"/>
      </w:pPr>
      <w:r>
        <w:rPr>
          <w:b w:val="0"/>
        </w:rPr>
        <w:t>Research questions, sampling approach, sample size and limitations.</w:t>
      </w:r>
    </w:p>
    <w:p>
      <w:pPr>
        <w:pStyle w:val="ListBullet"/>
      </w:pPr>
      <w:r>
        <w:rPr>
          <w:b w:val="0"/>
        </w:rPr>
        <w:t>Questionnaires, observation checklists and available anonymised data.</w:t>
      </w:r>
    </w:p>
    <w:p>
      <w:pPr>
        <w:pStyle w:val="ListBullet"/>
      </w:pPr>
      <w:r>
        <w:rPr>
          <w:b w:val="0"/>
        </w:rPr>
        <w:t>Consent, data protection and permissions for reuse.</w:t>
      </w:r>
    </w:p>
    <w:p>
      <w:pPr>
        <w:pStyle w:val="ListBullet"/>
      </w:pPr>
      <w:r>
        <w:rPr>
          <w:b w:val="0"/>
        </w:rPr>
        <w:t>Findings on environmental conditions, vulnerability and institutional response.</w:t>
      </w:r>
    </w:p>
    <w:p>
      <w:pPr>
        <w:pStyle w:val="ListBullet"/>
      </w:pPr>
      <w:r>
        <w:rPr>
          <w:b w:val="0"/>
        </w:rPr>
        <w:t>Evidence of follow-up, community engagement or institutional use.</w:t>
      </w:r>
    </w:p>
    <w:p>
      <w:r>
        <w:rPr>
          <w:b w:val="0"/>
        </w:rPr>
      </w:r>
      <w:r>
        <w:rPr>
          <w:b/>
        </w:rPr>
        <w:t>What the survey may support:</w:t>
      </w:r>
      <w:r>
        <w:rPr>
          <w:b w:val="0"/>
        </w:rPr>
        <w:t xml:space="preserve"> community concerns, observed environmental conditions, institutional gaps and locally identified priorities.</w:t>
      </w:r>
    </w:p>
    <w:p>
      <w:r>
        <w:rPr>
          <w:b w:val="0"/>
        </w:rPr>
      </w:r>
      <w:r>
        <w:rPr>
          <w:b/>
        </w:rPr>
        <w:t>What it may not establish:</w:t>
      </w:r>
      <w:r>
        <w:rPr>
          <w:b w:val="0"/>
        </w:rPr>
        <w:t xml:space="preserve"> climate-change attribution, flood probability, wetland function, hydrological causation, disease causation or the effectiveness of a proposed ecosystem intervention.</w:t>
      </w:r>
    </w:p>
    <w:p>
      <w:r>
        <w:rPr>
          <w:b w:val="0"/>
        </w:rPr>
        <w:t>If it is primarily a plastic-pollution survey, describe it accurately as an entry point for further investigation. Plastic pollution is not itself a climate hazard. A project focused only on plastic enforcement or waste management is not automatically EbA.</w:t>
      </w:r>
    </w:p>
    <w:p>
      <w:r>
        <w:rPr>
          <w:b w:val="0"/>
        </w:rPr>
      </w:r>
      <w:r>
        <w:rPr>
          <w:b/>
        </w:rPr>
        <w:t>Decision:</w:t>
      </w:r>
      <w:r>
        <w:rPr>
          <w:b w:val="0"/>
        </w:rPr>
        <w:t xml:space="preserve"> Proceed only where the survey and supplementary evidence support a credible connection to an existing local initiative and a specific adaptation opportunity. If the survey is weak but other verified existing work provides a foundation, reassess transparently. If neither exists, do not force this concept into the call.</w:t>
      </w:r>
    </w:p>
    <w:p>
      <w:pPr>
        <w:pStyle w:val="Heading2"/>
      </w:pPr>
      <w:r>
        <w:rPr>
          <w:b w:val="0"/>
        </w:rPr>
        <w:t>Gate B — Is there a defensible ecosystem-based adaptation pathway?</w:t>
      </w:r>
    </w:p>
    <w:p>
      <w:r>
        <w:rPr>
          <w:b w:val="0"/>
        </w:rPr>
        <w:t>The technical partner must confirm:</w:t>
      </w:r>
    </w:p>
    <w:p>
      <w:pPr>
        <w:pStyle w:val="ListBullet"/>
      </w:pPr>
      <w:r>
        <w:rPr>
          <w:b w:val="0"/>
        </w:rPr>
        <w:t>A named climate hazard, using current and future risk information where available.</w:t>
      </w:r>
    </w:p>
    <w:p>
      <w:pPr>
        <w:pStyle w:val="ListBullet"/>
      </w:pPr>
      <w:r>
        <w:rPr>
          <w:b w:val="0"/>
        </w:rPr>
        <w:t>The populations exposed and reasons for their vulnerability.</w:t>
      </w:r>
    </w:p>
    <w:p>
      <w:pPr>
        <w:pStyle w:val="ListBullet"/>
      </w:pPr>
      <w:r>
        <w:rPr>
          <w:b w:val="0"/>
        </w:rPr>
        <w:t>A specific ecosystem and the service relevant to reducing risk.</w:t>
      </w:r>
    </w:p>
    <w:p>
      <w:pPr>
        <w:pStyle w:val="ListBullet"/>
      </w:pPr>
      <w:r>
        <w:rPr>
          <w:b w:val="0"/>
        </w:rPr>
        <w:t>A technically plausible management approach.</w:t>
      </w:r>
    </w:p>
    <w:p>
      <w:pPr>
        <w:pStyle w:val="ListBullet"/>
      </w:pPr>
      <w:r>
        <w:rPr>
          <w:b w:val="0"/>
        </w:rPr>
        <w:t>The barrier this project will remove.</w:t>
      </w:r>
    </w:p>
    <w:p>
      <w:pPr>
        <w:pStyle w:val="ListBullet"/>
      </w:pPr>
      <w:r>
        <w:rPr>
          <w:b w:val="0"/>
        </w:rPr>
        <w:t>A credible link between improved decisions and subsequent adaptation benefits.</w:t>
      </w:r>
    </w:p>
    <w:p>
      <w:r>
        <w:rPr>
          <w:b w:val="0"/>
        </w:rPr>
        <w:t>Example to test, not assume:</w:t>
      </w:r>
    </w:p>
    <w:p>
      <w:pPr>
        <w:pStyle w:val="Quote"/>
      </w:pPr>
      <w:r>
        <w:rPr>
          <w:b w:val="0"/>
        </w:rPr>
        <w:t>Heavy-rainfall risk + vulnerable residents + degraded wetland or riparian functions → reduced water regulation → governance/evidence barriers prevent appropriate management → project improves evidence, inclusive coordination and institutional practice → more effective and sustained EbA uptake.</w:t>
      </w:r>
    </w:p>
    <w:p>
      <w:r>
        <w:rPr>
          <w:b w:val="0"/>
        </w:rPr>
        <w:t>Assess competing explanations and the interaction with built drainage, land use and upstream/downstream conditions. Do not promise that ecosystem measures alone can solve all flooding.</w:t>
      </w:r>
    </w:p>
    <w:p>
      <w:pPr>
        <w:pStyle w:val="Heading2"/>
      </w:pPr>
      <w:r>
        <w:rPr>
          <w:b w:val="0"/>
        </w:rPr>
        <w:t>Gate C — Is a suitable technical partner available?</w:t>
      </w:r>
    </w:p>
    <w:p>
      <w:r>
        <w:rPr>
          <w:b w:val="0"/>
        </w:rPr>
        <w:t>Require evidence of:</w:t>
      </w:r>
    </w:p>
    <w:p>
      <w:pPr>
        <w:pStyle w:val="ListBullet"/>
      </w:pPr>
      <w:r>
        <w:rPr>
          <w:b w:val="0"/>
        </w:rPr>
        <w:t>Comparable urban ecosystem, catchment, wetland or climate-adaptation work.</w:t>
      </w:r>
    </w:p>
    <w:p>
      <w:pPr>
        <w:pStyle w:val="ListBullet"/>
      </w:pPr>
      <w:r>
        <w:rPr>
          <w:b w:val="0"/>
        </w:rPr>
        <w:t>Qualified named personnel with time allocated to the proposal and delivery.</w:t>
      </w:r>
    </w:p>
    <w:p>
      <w:pPr>
        <w:pStyle w:val="ListBullet"/>
      </w:pPr>
      <w:r>
        <w:rPr>
          <w:b w:val="0"/>
        </w:rPr>
        <w:t>Ability to assess ecosystem services and adaptation benefits.</w:t>
      </w:r>
    </w:p>
    <w:p>
      <w:pPr>
        <w:pStyle w:val="ListBullet"/>
      </w:pPr>
      <w:r>
        <w:rPr>
          <w:b w:val="0"/>
        </w:rPr>
        <w:t>Participatory research and safeguards competence.</w:t>
      </w:r>
    </w:p>
    <w:p>
      <w:pPr>
        <w:pStyle w:val="ListBullet"/>
      </w:pPr>
      <w:r>
        <w:rPr>
          <w:b w:val="0"/>
        </w:rPr>
        <w:t>Financial/legal eligibility for its proposed role.</w:t>
      </w:r>
    </w:p>
    <w:p>
      <w:pPr>
        <w:pStyle w:val="ListBullet"/>
      </w:pPr>
      <w:r>
        <w:rPr>
          <w:b w:val="0"/>
        </w:rPr>
        <w:t>A clear scope, budget, deliverables and quality-assurance responsibilities.</w:t>
      </w:r>
    </w:p>
    <w:p>
      <w:r>
        <w:rPr>
          <w:b w:val="0"/>
        </w:rPr>
        <w:t>A letter of support without delivery commitments is insufficient. If considering a public university or statutory institute, clarify its treatment under the Fund’s prohibition on funding government entities before allocating funds.</w:t>
      </w:r>
    </w:p>
    <w:p>
      <w:pPr>
        <w:pStyle w:val="Heading2"/>
      </w:pPr>
      <w:r>
        <w:rPr>
          <w:b w:val="0"/>
        </w:rPr>
        <w:t>Gate D — Can the applicant manage the grant?</w:t>
      </w:r>
    </w:p>
    <w:p>
      <w:r>
        <w:rPr>
          <w:b w:val="0"/>
        </w:rPr>
        <w:t>Review legal registration, authority to operate, governance, accounting, procurement, audited statements, relevant project history, staffing and cash flow. The manual asks for descriptions of at least five recent relevant programmes/projects/activities. Seek clarification where requirements cannot be met; do not invent experience. Funded consortium partners remain subject to applicable eligibility requirements. [6]</w:t>
      </w:r>
    </w:p>
    <w:p>
      <w:pPr>
        <w:pStyle w:val="Heading1"/>
      </w:pPr>
      <w:r>
        <w:rPr>
          <w:b w:val="0"/>
        </w:rPr>
        <w:t>5. Problem statement: writing instructions</w:t>
      </w:r>
    </w:p>
    <w:p>
      <w:r>
        <w:rPr>
          <w:b w:val="0"/>
        </w:rPr>
        <w:t>Build the problem statement in five short sections:</w:t>
      </w:r>
    </w:p>
    <w:p>
      <w:r>
        <w:rPr>
          <w:b w:val="0"/>
        </w:rPr>
        <w:t xml:space="preserve">1. </w:t>
      </w:r>
      <w:r>
        <w:rPr>
          <w:b/>
        </w:rPr>
        <w:t>Location and people:</w:t>
      </w:r>
      <w:r>
        <w:rPr>
          <w:b w:val="0"/>
        </w:rPr>
        <w:t xml:space="preserve"> identify the area, population and excluded groups using reliable sources.</w:t>
      </w:r>
    </w:p>
    <w:p>
      <w:r>
        <w:rPr>
          <w:b w:val="0"/>
        </w:rPr>
        <w:t xml:space="preserve">2. </w:t>
      </w:r>
      <w:r>
        <w:rPr>
          <w:b/>
        </w:rPr>
        <w:t>Climate risk:</w:t>
      </w:r>
      <w:r>
        <w:rPr>
          <w:b w:val="0"/>
        </w:rPr>
        <w:t xml:space="preserve"> describe the hazard, exposure, vulnerability and available projections.</w:t>
      </w:r>
    </w:p>
    <w:p>
      <w:r>
        <w:rPr>
          <w:b w:val="0"/>
        </w:rPr>
        <w:t xml:space="preserve">3. </w:t>
      </w:r>
      <w:r>
        <w:rPr>
          <w:b/>
        </w:rPr>
        <w:t>Ecosystem function:</w:t>
      </w:r>
      <w:r>
        <w:rPr>
          <w:b w:val="0"/>
        </w:rPr>
        <w:t xml:space="preserve"> explain the relevant service and evidence of its condition.</w:t>
      </w:r>
    </w:p>
    <w:p>
      <w:r>
        <w:rPr>
          <w:b w:val="0"/>
        </w:rPr>
        <w:t xml:space="preserve">4. </w:t>
      </w:r>
      <w:r>
        <w:rPr>
          <w:b/>
        </w:rPr>
        <w:t>Systemic barrier:</w:t>
      </w:r>
      <w:r>
        <w:rPr>
          <w:b w:val="0"/>
        </w:rPr>
        <w:t xml:space="preserve"> identify the specific institutional, knowledge, rights or capacity gap.</w:t>
      </w:r>
    </w:p>
    <w:p>
      <w:r>
        <w:rPr>
          <w:b w:val="0"/>
        </w:rPr>
        <w:t xml:space="preserve">5. </w:t>
      </w:r>
      <w:r>
        <w:rPr>
          <w:b/>
        </w:rPr>
        <w:t>Existing work and additionality:</w:t>
      </w:r>
      <w:r>
        <w:rPr>
          <w:b w:val="0"/>
        </w:rPr>
        <w:t xml:space="preserve"> explain what already exists and what this grant adds without duplicating another project.</w:t>
      </w:r>
    </w:p>
    <w:p>
      <w:pPr>
        <w:pStyle w:val="Heading2"/>
      </w:pPr>
      <w:r>
        <w:rPr>
          <w:b w:val="0"/>
        </w:rPr>
        <w:t>Draft structure</w:t>
      </w:r>
    </w:p>
    <w:p>
      <w:r>
        <w:rPr>
          <w:b w:val="0"/>
        </w:rPr>
        <w:t>“In [location], [source/year] identifies [hazard] affecting [population]. Evidence from [technical source] indicates that [ecosystem/service] plays a relevant role in [adaptation function]. APFAF’s 2024 survey documented [verified finding, with limitations]. However, [named institutions/community structures] currently lack [specific capability, evidence or coordination arrangement], limiting uptake of [technically justified EbA approach]. The proposed project addresses this barrier by [targeted intervention], building on [existing initiative] and creating a pathway for [institutional adoption, continuation or replication].”</w:t>
      </w:r>
    </w:p>
    <w:p>
      <w:r>
        <w:rPr>
          <w:b w:val="0"/>
        </w:rPr>
        <w:t>Avoid using public-health claims beyond the evidence. APFAF’s health mandate establishes organisational relevance, not proof that the proposed ecosystem measures will reduce a particular disease.</w:t>
      </w:r>
    </w:p>
    <w:p>
      <w:pPr>
        <w:pStyle w:val="Heading1"/>
      </w:pPr>
      <w:r>
        <w:rPr>
          <w:b w:val="0"/>
        </w:rPr>
        <w:t>6. Theory of change</w:t>
      </w:r>
    </w:p>
    <w:p>
      <w:r>
        <w:rPr>
          <w:b w:val="0"/>
        </w:rPr>
      </w:r>
      <w:r>
        <w:rPr>
          <w:b/>
        </w:rPr>
        <w:t>If</w:t>
      </w:r>
      <w:r>
        <w:rPr>
          <w:b w:val="0"/>
        </w:rPr>
        <w:t xml:space="preserve"> communities and responsible institutions gain a shared, technically credible understanding of climate risk and ecosystem services; </w:t>
      </w:r>
      <w:r>
        <w:rPr>
          <w:b/>
        </w:rPr>
        <w:t>and if</w:t>
      </w:r>
      <w:r>
        <w:rPr>
          <w:b w:val="0"/>
        </w:rPr>
        <w:t xml:space="preserve"> they have inclusive, workable management and monitoring arrangements; </w:t>
      </w:r>
      <w:r>
        <w:rPr>
          <w:b/>
        </w:rPr>
        <w:t>then</w:t>
      </w:r>
      <w:r>
        <w:rPr>
          <w:b w:val="0"/>
        </w:rPr>
        <w:t xml:space="preserve"> they can adopt and sustain more appropriate ecosystem-based adaptation practices, </w:t>
      </w:r>
      <w:r>
        <w:rPr>
          <w:b/>
        </w:rPr>
        <w:t>because</w:t>
      </w:r>
      <w:r>
        <w:rPr>
          <w:b w:val="0"/>
        </w:rPr>
        <w:t xml:space="preserve"> the evidence, capacity and accountability barriers currently preventing uptake will have been reduced.</w:t>
      </w:r>
    </w:p>
    <w:p>
      <w:pPr>
        <w:pStyle w:val="Heading2"/>
      </w:pPr>
      <w:r>
        <w:rPr>
          <w:b w:val="0"/>
        </w:rPr>
        <w:t>Assumptions to test</w:t>
      </w:r>
    </w:p>
    <w:p>
      <w:pPr>
        <w:pStyle w:val="ListBullet"/>
      </w:pPr>
      <w:r>
        <w:rPr>
          <w:b w:val="0"/>
        </w:rPr>
        <w:t>Relevant institutions have authority and willingness to use the results.</w:t>
      </w:r>
    </w:p>
    <w:p>
      <w:pPr>
        <w:pStyle w:val="ListBullet"/>
      </w:pPr>
      <w:r>
        <w:rPr>
          <w:b w:val="0"/>
        </w:rPr>
        <w:t>Community participation is voluntary, safe and representative.</w:t>
      </w:r>
    </w:p>
    <w:p>
      <w:pPr>
        <w:pStyle w:val="ListBullet"/>
      </w:pPr>
      <w:r>
        <w:rPr>
          <w:b w:val="0"/>
        </w:rPr>
        <w:t>Proposed measures are ecologically suitable and legally feasible.</w:t>
      </w:r>
    </w:p>
    <w:p>
      <w:pPr>
        <w:pStyle w:val="ListBullet"/>
      </w:pPr>
      <w:r>
        <w:rPr>
          <w:b w:val="0"/>
        </w:rPr>
        <w:t>Tenure and resource-use disputes can be addressed without harmful restrictions.</w:t>
      </w:r>
    </w:p>
    <w:p>
      <w:pPr>
        <w:pStyle w:val="ListBullet"/>
      </w:pPr>
      <w:r>
        <w:rPr>
          <w:b w:val="0"/>
        </w:rPr>
        <w:t>Maintenance responsibilities and continuation resources are realistic.</w:t>
      </w:r>
    </w:p>
    <w:p>
      <w:pPr>
        <w:pStyle w:val="ListBullet"/>
      </w:pPr>
      <w:r>
        <w:rPr>
          <w:b w:val="0"/>
        </w:rPr>
        <w:t>Additional investment can be pursued without assuming it is already secured.</w:t>
      </w:r>
    </w:p>
    <w:p>
      <w:pPr>
        <w:pStyle w:val="Heading1"/>
      </w:pPr>
      <w:r>
        <w:rPr>
          <w:b w:val="0"/>
        </w:rPr>
        <w:t>7. Proposed results framework</w:t>
      </w:r>
    </w:p>
    <w:p>
      <w:r>
        <w:rPr>
          <w:b w:val="0"/>
        </w:rPr>
        <w:t>The Fund’s manual calls for one outcome, a maximum of four outputs (preferably one or two), and no more than five activities per output. The following uses two outputs and five activities each. [6]</w:t>
      </w:r>
    </w:p>
    <w:p>
      <w:pPr>
        <w:pStyle w:val="Heading2"/>
      </w:pPr>
      <w:r>
        <w:rPr>
          <w:b w:val="0"/>
        </w:rPr>
        <w:t>Long-term contribution</w:t>
      </w:r>
    </w:p>
    <w:p>
      <w:r>
        <w:rPr>
          <w:b w:val="0"/>
        </w:rPr>
        <w:t>More equitable climate resilience supported by functioning ecosystems in the selected Kampala landscape.</w:t>
      </w:r>
    </w:p>
    <w:p>
      <w:r>
        <w:rPr>
          <w:b w:val="0"/>
        </w:rPr>
        <w:t>This is a contribution-level ambition, not a claim of attributable citywide impact during the grant.</w:t>
      </w:r>
    </w:p>
    <w:p>
      <w:pPr>
        <w:pStyle w:val="Heading2"/>
      </w:pPr>
      <w:r>
        <w:rPr>
          <w:b w:val="0"/>
        </w:rPr>
        <w:t>Single project outcome</w:t>
      </w:r>
    </w:p>
    <w:p>
      <w:r>
        <w:rPr>
          <w:b w:val="0"/>
        </w:rPr>
        <w:t>By month 24, participating institutions and community structures have adopted and begun using a rights-based, evidence-informed EbA management and monitoring approach in the selected project area.</w:t>
      </w:r>
    </w:p>
    <w:p>
      <w:r>
        <w:rPr>
          <w:b w:val="0"/>
        </w:rPr>
      </w:r>
      <w:r>
        <w:rPr>
          <w:b/>
        </w:rPr>
        <w:t>Illustrative outcome measures:</w:t>
      </w:r>
      <w:r>
        <w:rPr>
          <w:b w:val="0"/>
        </w:rPr>
      </w:r>
    </w:p>
    <w:p>
      <w:pPr>
        <w:pStyle w:val="ListBullet"/>
      </w:pPr>
      <w:r>
        <w:rPr>
          <w:b w:val="0"/>
        </w:rPr>
        <w:t>At least one relevant management/planning instrument formally adopted and accompanied by evidence of initial use.</w:t>
      </w:r>
    </w:p>
    <w:p>
      <w:pPr>
        <w:pStyle w:val="ListBullet"/>
      </w:pPr>
      <w:r>
        <w:rPr>
          <w:b w:val="0"/>
        </w:rPr>
        <w:t>Responsible bodies assigned and an operational coordination arrangement maintained through the final implementation period.</w:t>
      </w:r>
    </w:p>
    <w:p>
      <w:pPr>
        <w:pStyle w:val="ListBullet"/>
      </w:pPr>
      <w:r>
        <w:rPr>
          <w:b w:val="0"/>
        </w:rPr>
        <w:t>A documented continuation plan with identified owners and evidenced resource commitments, distinguishing secured resources from prospective finance.</w:t>
      </w:r>
    </w:p>
    <w:p>
      <w:r>
        <w:rPr>
          <w:b w:val="0"/>
        </w:rPr>
        <w:t>Targets require agreement with partners and verification of approval processes. If formal adoption is uncertain, agree a realistic milestone and report its actual stage rather than calling a draft “adopted.”</w:t>
      </w:r>
    </w:p>
    <w:p>
      <w:pPr>
        <w:pStyle w:val="Heading2"/>
      </w:pPr>
      <w:r>
        <w:rPr>
          <w:b w:val="0"/>
        </w:rPr>
        <w:t>Output 1 — Practical evidence and implementation capacity established</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Activity</w:t>
            </w:r>
          </w:p>
        </w:tc>
        <w:tc>
          <w:tcPr>
            <w:tcW w:type="dxa" w:w="4320"/>
          </w:tcPr>
          <w:p>
            <w:r>
              <w:rPr>
                <w:b/>
              </w:rPr>
              <w:t>Intended deliverable</w:t>
            </w:r>
          </w:p>
        </w:tc>
      </w:tr>
      <w:tr>
        <w:tc>
          <w:tcPr>
            <w:tcW w:type="dxa" w:w="4320"/>
          </w:tcPr>
          <w:p>
            <w:r>
              <w:rPr>
                <w:b w:val="0"/>
              </w:rPr>
              <w:t>1.1 Review the 2024 survey and existing technical evidence; confirm scope</w:t>
            </w:r>
          </w:p>
        </w:tc>
        <w:tc>
          <w:tcPr>
            <w:tcW w:type="dxa" w:w="4320"/>
          </w:tcPr>
          <w:p>
            <w:r>
              <w:rPr>
                <w:b w:val="0"/>
              </w:rPr>
              <w:t>Evidence inventory, limitations note and site-selection justification</w:t>
            </w:r>
          </w:p>
        </w:tc>
      </w:tr>
      <w:tr>
        <w:tc>
          <w:tcPr>
            <w:tcW w:type="dxa" w:w="4320"/>
          </w:tcPr>
          <w:p>
            <w:r>
              <w:rPr>
                <w:b w:val="0"/>
              </w:rPr>
              <w:t>1.2 Undertake participatory climate-risk, ecosystem-service and vulnerability assessment</w:t>
            </w:r>
          </w:p>
        </w:tc>
        <w:tc>
          <w:tcPr>
            <w:tcW w:type="dxa" w:w="4320"/>
          </w:tcPr>
          <w:p>
            <w:r>
              <w:rPr>
                <w:b w:val="0"/>
              </w:rPr>
              <w:t>Technically reviewed assessment, maps and baseline</w:t>
            </w:r>
          </w:p>
        </w:tc>
      </w:tr>
      <w:tr>
        <w:tc>
          <w:tcPr>
            <w:tcW w:type="dxa" w:w="4320"/>
          </w:tcPr>
          <w:p>
            <w:r>
              <w:rPr>
                <w:b w:val="0"/>
              </w:rPr>
              <w:t>1.3 Analyse governance, rights, gender and stakeholder roles</w:t>
            </w:r>
          </w:p>
        </w:tc>
        <w:tc>
          <w:tcPr>
            <w:tcW w:type="dxa" w:w="4320"/>
          </w:tcPr>
          <w:p>
            <w:r>
              <w:rPr>
                <w:b w:val="0"/>
              </w:rPr>
              <w:t>Barrier analysis and inclusion/safeguards recommendations</w:t>
            </w:r>
          </w:p>
        </w:tc>
      </w:tr>
      <w:tr>
        <w:tc>
          <w:tcPr>
            <w:tcW w:type="dxa" w:w="4320"/>
          </w:tcPr>
          <w:p>
            <w:r>
              <w:rPr>
                <w:b w:val="0"/>
              </w:rPr>
              <w:t>1.4 Co-design and deliver targeted practitioner/community capacity-building</w:t>
            </w:r>
          </w:p>
        </w:tc>
        <w:tc>
          <w:tcPr>
            <w:tcW w:type="dxa" w:w="4320"/>
          </w:tcPr>
          <w:p>
            <w:r>
              <w:rPr>
                <w:b w:val="0"/>
              </w:rPr>
              <w:t>Practical training package, participant records and demonstrated learning/application</w:t>
            </w:r>
          </w:p>
        </w:tc>
      </w:tr>
      <w:tr>
        <w:tc>
          <w:tcPr>
            <w:tcW w:type="dxa" w:w="4320"/>
          </w:tcPr>
          <w:p>
            <w:r>
              <w:rPr>
                <w:b w:val="0"/>
              </w:rPr>
              <w:t>1.5 Validate the proposed management approach through technical review and, only if necessary, limited demonstration</w:t>
            </w:r>
          </w:p>
        </w:tc>
        <w:tc>
          <w:tcPr>
            <w:tcW w:type="dxa" w:w="4320"/>
          </w:tcPr>
          <w:p>
            <w:r>
              <w:rPr>
                <w:b w:val="0"/>
              </w:rPr>
              <w:t>Tested guidance and validation report</w:t>
            </w:r>
          </w:p>
        </w:tc>
      </w:tr>
    </w:tbl>
    <w:p/>
    <w:p>
      <w:r>
        <w:rPr>
          <w:b w:val="0"/>
        </w:rPr>
      </w:r>
      <w:r>
        <w:rPr>
          <w:b/>
        </w:rPr>
        <w:t>Indicative output measures:</w:t>
      </w:r>
      <w:r>
        <w:rPr>
          <w:b w:val="0"/>
        </w:rPr>
        <w:t xml:space="preserve"> one integrated assessment; one usable guidance package; a costed, realistic training target disaggregated appropriately; evidence that intended users can apply the guidance.</w:t>
      </w:r>
    </w:p>
    <w:p>
      <w:pPr>
        <w:pStyle w:val="Heading2"/>
      </w:pPr>
      <w:r>
        <w:rPr>
          <w:b w:val="0"/>
        </w:rPr>
        <w:t>Output 2 — Inclusive institutional adoption and continuation arrangements operational</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Activity</w:t>
            </w:r>
          </w:p>
        </w:tc>
        <w:tc>
          <w:tcPr>
            <w:tcW w:type="dxa" w:w="4320"/>
          </w:tcPr>
          <w:p>
            <w:r>
              <w:rPr>
                <w:b/>
              </w:rPr>
              <w:t>Intended deliverable</w:t>
            </w:r>
          </w:p>
        </w:tc>
      </w:tr>
      <w:tr>
        <w:tc>
          <w:tcPr>
            <w:tcW w:type="dxa" w:w="4320"/>
          </w:tcPr>
          <w:p>
            <w:r>
              <w:rPr>
                <w:b w:val="0"/>
              </w:rPr>
              <w:t>2.1 Strengthen an existing coordination body, or establish one only where needed</w:t>
            </w:r>
          </w:p>
        </w:tc>
        <w:tc>
          <w:tcPr>
            <w:tcW w:type="dxa" w:w="4320"/>
          </w:tcPr>
          <w:p>
            <w:r>
              <w:rPr>
                <w:b w:val="0"/>
              </w:rPr>
              <w:t>Mandate, membership, meeting procedures and responsibilities</w:t>
            </w:r>
          </w:p>
        </w:tc>
      </w:tr>
      <w:tr>
        <w:tc>
          <w:tcPr>
            <w:tcW w:type="dxa" w:w="4320"/>
          </w:tcPr>
          <w:p>
            <w:r>
              <w:rPr>
                <w:b w:val="0"/>
              </w:rPr>
              <w:t>2.2 Co-develop and advance the management/planning instrument through the appropriate process</w:t>
            </w:r>
          </w:p>
        </w:tc>
        <w:tc>
          <w:tcPr>
            <w:tcW w:type="dxa" w:w="4320"/>
          </w:tcPr>
          <w:p>
            <w:r>
              <w:rPr>
                <w:b w:val="0"/>
              </w:rPr>
              <w:t>Instrument with documented consultation and approval status</w:t>
            </w:r>
          </w:p>
        </w:tc>
      </w:tr>
      <w:tr>
        <w:tc>
          <w:tcPr>
            <w:tcW w:type="dxa" w:w="4320"/>
          </w:tcPr>
          <w:p>
            <w:r>
              <w:rPr>
                <w:b w:val="0"/>
              </w:rPr>
              <w:t>2.3 Establish and use an EbA monitoring and learning instrument</w:t>
            </w:r>
          </w:p>
        </w:tc>
        <w:tc>
          <w:tcPr>
            <w:tcW w:type="dxa" w:w="4320"/>
          </w:tcPr>
          <w:p>
            <w:r>
              <w:rPr>
                <w:b w:val="0"/>
              </w:rPr>
              <w:t>Operational monitoring protocol, data ownership and maintenance arrangements</w:t>
            </w:r>
          </w:p>
        </w:tc>
      </w:tr>
      <w:tr>
        <w:tc>
          <w:tcPr>
            <w:tcW w:type="dxa" w:w="4320"/>
          </w:tcPr>
          <w:p>
            <w:r>
              <w:rPr>
                <w:b w:val="0"/>
              </w:rPr>
              <w:t>2.4 Prepare a costed continuation and replication pathway</w:t>
            </w:r>
          </w:p>
        </w:tc>
        <w:tc>
          <w:tcPr>
            <w:tcW w:type="dxa" w:w="4320"/>
          </w:tcPr>
          <w:p>
            <w:r>
              <w:rPr>
                <w:b w:val="0"/>
              </w:rPr>
              <w:t>Implementation responsibilities, resource needs and financing engagement records</w:t>
            </w:r>
          </w:p>
        </w:tc>
      </w:tr>
      <w:tr>
        <w:tc>
          <w:tcPr>
            <w:tcW w:type="dxa" w:w="4320"/>
          </w:tcPr>
          <w:p>
            <w:r>
              <w:rPr>
                <w:b w:val="0"/>
              </w:rPr>
              <w:t>2.5 Document results, support uptake and complete handover</w:t>
            </w:r>
          </w:p>
        </w:tc>
        <w:tc>
          <w:tcPr>
            <w:tcW w:type="dxa" w:w="4320"/>
          </w:tcPr>
          <w:p>
            <w:r>
              <w:rPr>
                <w:b w:val="0"/>
              </w:rPr>
              <w:t>Lessons package, handover records and continuation commitments</w:t>
            </w:r>
          </w:p>
        </w:tc>
      </w:tr>
    </w:tbl>
    <w:p/>
    <w:p>
      <w:r>
        <w:rPr>
          <w:b w:val="0"/>
        </w:rPr>
      </w:r>
      <w:r>
        <w:rPr>
          <w:b/>
        </w:rPr>
        <w:t>Indicative output measures:</w:t>
      </w:r>
      <w:r>
        <w:rPr>
          <w:b w:val="0"/>
        </w:rPr>
        <w:t xml:space="preserve"> one operational coordination mechanism; one monitoring instrument in use; one costed continuation plan; documented evidence of institutional uptake.</w:t>
      </w:r>
    </w:p>
    <w:p>
      <w:pPr>
        <w:pStyle w:val="Heading2"/>
      </w:pPr>
      <w:r>
        <w:rPr>
          <w:b w:val="0"/>
        </w:rPr>
        <w:t>Core Indicator Framework alignment</w:t>
      </w:r>
    </w:p>
    <w:p>
      <w:r>
        <w:rPr>
          <w:b w:val="0"/>
        </w:rPr>
        <w:t>Potential indicators are:</w:t>
      </w:r>
    </w:p>
    <w:p>
      <w:pPr>
        <w:pStyle w:val="ListBullet"/>
      </w:pPr>
      <w:r>
        <w:rPr>
          <w:b w:val="0"/>
        </w:rPr>
      </w:r>
      <w:r>
        <w:rPr>
          <w:b/>
        </w:rPr>
        <w:t>Indicator 1:</w:t>
      </w:r>
      <w:r>
        <w:rPr>
          <w:b w:val="0"/>
        </w:rPr>
        <w:t xml:space="preserve"> policies or policy instruments developed or influenced.</w:t>
      </w:r>
    </w:p>
    <w:p>
      <w:pPr>
        <w:pStyle w:val="ListBullet"/>
      </w:pPr>
      <w:r>
        <w:rPr>
          <w:b w:val="0"/>
        </w:rPr>
      </w:r>
      <w:r>
        <w:rPr>
          <w:b/>
        </w:rPr>
        <w:t>Indicator 2:</w:t>
      </w:r>
      <w:r>
        <w:rPr>
          <w:b w:val="0"/>
        </w:rPr>
        <w:t xml:space="preserve"> new or improved institutionalised coordination mechanisms.</w:t>
      </w:r>
    </w:p>
    <w:p>
      <w:pPr>
        <w:pStyle w:val="ListBullet"/>
      </w:pPr>
      <w:r>
        <w:rPr>
          <w:b w:val="0"/>
        </w:rPr>
      </w:r>
      <w:r>
        <w:rPr>
          <w:b/>
        </w:rPr>
        <w:t>Indicator 3:</w:t>
      </w:r>
      <w:r>
        <w:rPr>
          <w:b w:val="0"/>
        </w:rPr>
        <w:t xml:space="preserve"> monitoring, evaluation and learning instruments introduced or improved.</w:t>
      </w:r>
    </w:p>
    <w:p>
      <w:r>
        <w:rPr>
          <w:b w:val="0"/>
        </w:rPr>
        <w:t>At least three relevant core indicators are required. Confirm exact definitions in the official framework and retain them in the final logframe. A workshop is not an institutionalised mechanism; a research report is not automatically a policy instrument. Do not count the same deliverable under multiple indicators. Establish baselines, targets, verification sources, reporting frequency and a responsible officer for every project indicator. [7]</w:t>
      </w:r>
    </w:p>
    <w:p>
      <w:pPr>
        <w:pStyle w:val="Heading1"/>
      </w:pPr>
      <w:r>
        <w:rPr>
          <w:b w:val="0"/>
        </w:rPr>
        <w:t>8. Partner and governance structure</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Proposed responsibilities</w:t>
            </w:r>
          </w:p>
        </w:tc>
      </w:tr>
      <w:tr>
        <w:tc>
          <w:tcPr>
            <w:tcW w:type="dxa" w:w="4320"/>
          </w:tcPr>
          <w:p>
            <w:r>
              <w:rPr>
                <w:b w:val="0"/>
              </w:rPr>
              <w:t>Lead applicant</w:t>
            </w:r>
          </w:p>
        </w:tc>
        <w:tc>
          <w:tcPr>
            <w:tcW w:type="dxa" w:w="4320"/>
          </w:tcPr>
          <w:p>
            <w:r>
              <w:rPr>
                <w:b w:val="0"/>
              </w:rPr>
              <w:t>Contract, financial control, consolidated reporting, compliance and risk ownership</w:t>
            </w:r>
          </w:p>
        </w:tc>
      </w:tr>
      <w:tr>
        <w:tc>
          <w:tcPr>
            <w:tcW w:type="dxa" w:w="4320"/>
          </w:tcPr>
          <w:p>
            <w:r>
              <w:rPr>
                <w:b w:val="0"/>
              </w:rPr>
              <w:t>APFAF</w:t>
            </w:r>
          </w:p>
        </w:tc>
        <w:tc>
          <w:tcPr>
            <w:tcW w:type="dxa" w:w="4320"/>
          </w:tcPr>
          <w:p>
            <w:r>
              <w:rPr>
                <w:b w:val="0"/>
              </w:rPr>
              <w:t>Community engagement, rights and inclusion analysis, advocacy, capacity-building and accountability</w:t>
            </w:r>
          </w:p>
        </w:tc>
      </w:tr>
      <w:tr>
        <w:tc>
          <w:tcPr>
            <w:tcW w:type="dxa" w:w="4320"/>
          </w:tcPr>
          <w:p>
            <w:r>
              <w:rPr>
                <w:b w:val="0"/>
              </w:rPr>
              <w:t>Technical partner</w:t>
            </w:r>
          </w:p>
        </w:tc>
        <w:tc>
          <w:tcPr>
            <w:tcW w:type="dxa" w:w="4320"/>
          </w:tcPr>
          <w:p>
            <w:r>
              <w:rPr>
                <w:b w:val="0"/>
              </w:rPr>
              <w:t>Climate/ecosystem assessment, design quality, technical baseline, validation and specialist monitoring</w:t>
            </w:r>
          </w:p>
        </w:tc>
      </w:tr>
      <w:tr>
        <w:tc>
          <w:tcPr>
            <w:tcW w:type="dxa" w:w="4320"/>
          </w:tcPr>
          <w:p>
            <w:r>
              <w:rPr>
                <w:b w:val="0"/>
              </w:rPr>
              <w:t>Local community organisations</w:t>
            </w:r>
          </w:p>
        </w:tc>
        <w:tc>
          <w:tcPr>
            <w:tcW w:type="dxa" w:w="4320"/>
          </w:tcPr>
          <w:p>
            <w:r>
              <w:rPr>
                <w:b w:val="0"/>
              </w:rPr>
              <w:t>Co-design, representation, local knowledge, feedback and continuity</w:t>
            </w:r>
          </w:p>
        </w:tc>
      </w:tr>
      <w:tr>
        <w:tc>
          <w:tcPr>
            <w:tcW w:type="dxa" w:w="4320"/>
          </w:tcPr>
          <w:p>
            <w:r>
              <w:rPr>
                <w:b w:val="0"/>
              </w:rPr>
              <w:t>Relevant public institutions</w:t>
            </w:r>
          </w:p>
        </w:tc>
        <w:tc>
          <w:tcPr>
            <w:tcW w:type="dxa" w:w="4320"/>
          </w:tcPr>
          <w:p>
            <w:r>
              <w:rPr>
                <w:b w:val="0"/>
              </w:rPr>
              <w:t>Technical/planning engagement, institutional adoption and integration within their mandates, without receiving prohibited grant transfers</w:t>
            </w:r>
          </w:p>
        </w:tc>
      </w:tr>
    </w:tbl>
    <w:p/>
    <w:p>
      <w:r>
        <w:rPr>
          <w:b w:val="0"/>
        </w:rPr>
        <w:t>Partners are not confirmed by this brief. Obtain mandates or agreements specifying roles, outputs, budgets, data ownership, safeguarding, dispute resolution and post-project responsibilities.</w:t>
      </w:r>
    </w:p>
    <w:p>
      <w:r>
        <w:rPr>
          <w:b w:val="0"/>
        </w:rPr>
        <w:t>Government collaboration is encouraged, but direct grants or sub-grants to government entities are prohibited. Obtain written guidance on ambiguous participation costs rather than assuming all such costs are eligible. [4,6]</w:t>
      </w:r>
    </w:p>
    <w:p>
      <w:pPr>
        <w:pStyle w:val="Heading1"/>
      </w:pPr>
      <w:r>
        <w:rPr>
          <w:b w:val="0"/>
        </w:rPr>
        <w:t>9. Safeguards, rights and inclusion</w:t>
      </w:r>
    </w:p>
    <w:p>
      <w:r>
        <w:rPr>
          <w:b w:val="0"/>
        </w:rPr>
        <w:t>Budget and design for meaningful participation rather than attendance alone.</w:t>
      </w:r>
    </w:p>
    <w:p>
      <w:r>
        <w:rPr>
          <w:b w:val="0"/>
        </w:rPr>
        <w:t>Minimum considerations:</w:t>
      </w:r>
    </w:p>
    <w:p>
      <w:pPr>
        <w:pStyle w:val="ListBullet"/>
      </w:pPr>
      <w:r>
        <w:rPr>
          <w:b w:val="0"/>
        </w:rPr>
        <w:t>Transparent selection of community representatives, including groups vulnerable to exclusion.</w:t>
      </w:r>
    </w:p>
    <w:p>
      <w:pPr>
        <w:pStyle w:val="ListBullet"/>
      </w:pPr>
      <w:r>
        <w:rPr>
          <w:b w:val="0"/>
        </w:rPr>
        <w:t>Accessible formats, appropriate languages and practical arrangements supporting participation.</w:t>
      </w:r>
    </w:p>
    <w:p>
      <w:pPr>
        <w:pStyle w:val="ListBullet"/>
      </w:pPr>
      <w:r>
        <w:rPr>
          <w:b w:val="0"/>
        </w:rPr>
        <w:t>Gender analysis and prevention of harassment, exploitation and gender-based violence.</w:t>
      </w:r>
    </w:p>
    <w:p>
      <w:pPr>
        <w:pStyle w:val="ListBullet"/>
      </w:pPr>
      <w:r>
        <w:rPr>
          <w:b w:val="0"/>
        </w:rPr>
        <w:t>Confidential, accessible complaints and referral channels.</w:t>
      </w:r>
    </w:p>
    <w:p>
      <w:pPr>
        <w:pStyle w:val="ListBullet"/>
      </w:pPr>
      <w:r>
        <w:rPr>
          <w:b w:val="0"/>
        </w:rPr>
        <w:t>Protection of health information, geolocation and other sensitive personal data.</w:t>
      </w:r>
    </w:p>
    <w:p>
      <w:pPr>
        <w:pStyle w:val="ListBullet"/>
      </w:pPr>
      <w:r>
        <w:rPr>
          <w:b w:val="0"/>
        </w:rPr>
        <w:t>Appropriate consent and safeguarding if children or young people participate.</w:t>
      </w:r>
    </w:p>
    <w:p>
      <w:pPr>
        <w:pStyle w:val="ListBullet"/>
      </w:pPr>
      <w:r>
        <w:rPr>
          <w:b w:val="0"/>
        </w:rPr>
        <w:t>Respect for tenure, customary use and livelihood access; no coercive displacement or harmful enforcement activity.</w:t>
      </w:r>
    </w:p>
    <w:p>
      <w:pPr>
        <w:pStyle w:val="ListBullet"/>
      </w:pPr>
      <w:r>
        <w:rPr>
          <w:b w:val="0"/>
        </w:rPr>
        <w:t>Upstream/downstream and neighbouring-community impacts.</w:t>
      </w:r>
    </w:p>
    <w:p>
      <w:pPr>
        <w:pStyle w:val="ListBullet"/>
      </w:pPr>
      <w:r>
        <w:rPr>
          <w:b w:val="0"/>
        </w:rPr>
        <w:t>Ecological suitability, invasive-species risks and safe fieldwork.</w:t>
      </w:r>
    </w:p>
    <w:p>
      <w:pPr>
        <w:pStyle w:val="ListBullet"/>
      </w:pPr>
      <w:r>
        <w:rPr>
          <w:b w:val="0"/>
        </w:rPr>
        <w:t>Free, prior and informed consent where applicable to Indigenous Peoples.</w:t>
      </w:r>
    </w:p>
    <w:p>
      <w:r>
        <w:rPr>
          <w:b w:val="0"/>
        </w:rPr>
        <w:t>Avoid publishing information that could expose informal residents to eviction or retaliation. The Fund excludes projects classified as high risk under its environmental and social screening. The shortlisted-stage questionnaire should be informed by safeguards work undertaken during design, not treated as a late administrative formality. [6]</w:t>
      </w:r>
    </w:p>
    <w:p>
      <w:pPr>
        <w:pStyle w:val="Heading1"/>
      </w:pPr>
      <w:r>
        <w:rPr>
          <w:b w:val="0"/>
        </w:rPr>
        <w:t>10. Implementation sequence</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Period</w:t>
            </w:r>
          </w:p>
        </w:tc>
        <w:tc>
          <w:tcPr>
            <w:tcW w:type="dxa" w:w="4320"/>
          </w:tcPr>
          <w:p>
            <w:r>
              <w:rPr>
                <w:b/>
              </w:rPr>
              <w:t>Main emphasis</w:t>
            </w:r>
          </w:p>
        </w:tc>
      </w:tr>
      <w:tr>
        <w:tc>
          <w:tcPr>
            <w:tcW w:type="dxa" w:w="4320"/>
          </w:tcPr>
          <w:p>
            <w:r>
              <w:rPr>
                <w:b w:val="0"/>
              </w:rPr>
              <w:t>Before submission</w:t>
            </w:r>
          </w:p>
        </w:tc>
        <w:tc>
          <w:tcPr>
            <w:tcW w:type="dxa" w:w="4320"/>
          </w:tcPr>
          <w:p>
            <w:r>
              <w:rPr>
                <w:b w:val="0"/>
              </w:rPr>
              <w:t>Confirm eligibility, survey credibility, preliminary climate/ecosystem evidence, local support and technical partnership</w:t>
            </w:r>
          </w:p>
        </w:tc>
      </w:tr>
      <w:tr>
        <w:tc>
          <w:tcPr>
            <w:tcW w:type="dxa" w:w="4320"/>
          </w:tcPr>
          <w:p>
            <w:r>
              <w:rPr>
                <w:b w:val="0"/>
              </w:rPr>
              <w:t>Months 1–3</w:t>
            </w:r>
          </w:p>
        </w:tc>
        <w:tc>
          <w:tcPr>
            <w:tcW w:type="dxa" w:w="4320"/>
          </w:tcPr>
          <w:p>
            <w:r>
              <w:rPr>
                <w:b w:val="0"/>
              </w:rPr>
              <w:t>Inception, refined baseline, stakeholder agreements, safeguards and detailed assessment planning</w:t>
            </w:r>
          </w:p>
        </w:tc>
      </w:tr>
      <w:tr>
        <w:tc>
          <w:tcPr>
            <w:tcW w:type="dxa" w:w="4320"/>
          </w:tcPr>
          <w:p>
            <w:r>
              <w:rPr>
                <w:b w:val="0"/>
              </w:rPr>
              <w:t>Months 4–6</w:t>
            </w:r>
          </w:p>
        </w:tc>
        <w:tc>
          <w:tcPr>
            <w:tcW w:type="dxa" w:w="4320"/>
          </w:tcPr>
          <w:p>
            <w:r>
              <w:rPr>
                <w:b w:val="0"/>
              </w:rPr>
              <w:t>Integrated assessments and co-design of guidance, management arrangements and monitoring</w:t>
            </w:r>
          </w:p>
        </w:tc>
      </w:tr>
      <w:tr>
        <w:tc>
          <w:tcPr>
            <w:tcW w:type="dxa" w:w="4320"/>
          </w:tcPr>
          <w:p>
            <w:r>
              <w:rPr>
                <w:b w:val="0"/>
              </w:rPr>
              <w:t>Months 7–12</w:t>
            </w:r>
          </w:p>
        </w:tc>
        <w:tc>
          <w:tcPr>
            <w:tcW w:type="dxa" w:w="4320"/>
          </w:tcPr>
          <w:p>
            <w:r>
              <w:rPr>
                <w:b w:val="0"/>
              </w:rPr>
              <w:t>Capacity-building, justified validation and institutional drafting/engagement</w:t>
            </w:r>
          </w:p>
        </w:tc>
      </w:tr>
      <w:tr>
        <w:tc>
          <w:tcPr>
            <w:tcW w:type="dxa" w:w="4320"/>
          </w:tcPr>
          <w:p>
            <w:r>
              <w:rPr>
                <w:b w:val="0"/>
              </w:rPr>
              <w:t>Months 13–18</w:t>
            </w:r>
          </w:p>
        </w:tc>
        <w:tc>
          <w:tcPr>
            <w:tcW w:type="dxa" w:w="4320"/>
          </w:tcPr>
          <w:p>
            <w:r>
              <w:rPr>
                <w:b w:val="0"/>
              </w:rPr>
              <w:t>Use and refinement of coordination/monitoring arrangements; advance adoption; engage continuation partners</w:t>
            </w:r>
          </w:p>
        </w:tc>
      </w:tr>
      <w:tr>
        <w:tc>
          <w:tcPr>
            <w:tcW w:type="dxa" w:w="4320"/>
          </w:tcPr>
          <w:p>
            <w:r>
              <w:rPr>
                <w:b w:val="0"/>
              </w:rPr>
              <w:t>Months 19–24</w:t>
            </w:r>
          </w:p>
        </w:tc>
        <w:tc>
          <w:tcPr>
            <w:tcW w:type="dxa" w:w="4320"/>
          </w:tcPr>
          <w:p>
            <w:r>
              <w:rPr>
                <w:b w:val="0"/>
              </w:rPr>
              <w:t>Verify uptake, complete handover, document learning and finalise continuation arrangements</w:t>
            </w:r>
          </w:p>
        </w:tc>
      </w:tr>
    </w:tbl>
    <w:p/>
    <w:p>
      <w:r>
        <w:rPr>
          <w:b w:val="0"/>
        </w:rPr>
        <w:t>A detailed inception assessment is acceptable as project work, but the application must already show enough evidence to justify its climate-adaptation pathway. Do not postpone all concept validation until after award.</w:t>
      </w:r>
    </w:p>
    <w:p>
      <w:pPr>
        <w:pStyle w:val="Heading1"/>
      </w:pPr>
      <w:r>
        <w:rPr>
          <w:b w:val="0"/>
        </w:rPr>
        <w:t>11. Illustrative budget envelope</w:t>
      </w:r>
    </w:p>
    <w:p>
      <w:r>
        <w:rPr>
          <w:b w:val="0"/>
        </w:rPr>
      </w:r>
      <w:r>
        <w:rPr>
          <w:b/>
        </w:rPr>
        <w:t>Planning total: USD 230,000 over 24 months.</w:t>
      </w:r>
      <w:r>
        <w:rPr>
          <w:b w:val="0"/>
        </w:rPr>
        <w:t xml:space="preserve"> This is not a recommended allocation until local costs, staffing and partner scopes are checked. Translate all lines into the official budget template with unit costs and activity links.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Planning category</w:t>
            </w:r>
          </w:p>
        </w:tc>
        <w:tc>
          <w:tcPr>
            <w:tcW w:type="dxa" w:w="4320"/>
          </w:tcPr>
          <w:p>
            <w:r>
              <w:rPr>
                <w:b/>
              </w:rPr>
              <w:t>USD</w:t>
            </w:r>
          </w:p>
        </w:tc>
      </w:tr>
      <w:tr>
        <w:tc>
          <w:tcPr>
            <w:tcW w:type="dxa" w:w="4320"/>
          </w:tcPr>
          <w:p>
            <w:r>
              <w:rPr>
                <w:b w:val="0"/>
              </w:rPr>
              <w:t>Project personnel and coordination, with documented time allocation</w:t>
            </w:r>
          </w:p>
        </w:tc>
        <w:tc>
          <w:tcPr>
            <w:tcW w:type="dxa" w:w="4320"/>
          </w:tcPr>
          <w:p>
            <w:r>
              <w:rPr>
                <w:b w:val="0"/>
              </w:rPr>
              <w:t>52,000</w:t>
            </w:r>
          </w:p>
        </w:tc>
      </w:tr>
      <w:tr>
        <w:tc>
          <w:tcPr>
            <w:tcW w:type="dxa" w:w="4320"/>
          </w:tcPr>
          <w:p>
            <w:r>
              <w:rPr>
                <w:b w:val="0"/>
              </w:rPr>
              <w:t>Specialist climate, ecosystem and governance assessments</w:t>
            </w:r>
          </w:p>
        </w:tc>
        <w:tc>
          <w:tcPr>
            <w:tcW w:type="dxa" w:w="4320"/>
          </w:tcPr>
          <w:p>
            <w:r>
              <w:rPr>
                <w:b w:val="0"/>
              </w:rPr>
              <w:t>42,000</w:t>
            </w:r>
          </w:p>
        </w:tc>
      </w:tr>
      <w:tr>
        <w:tc>
          <w:tcPr>
            <w:tcW w:type="dxa" w:w="4320"/>
          </w:tcPr>
          <w:p>
            <w:r>
              <w:rPr>
                <w:b w:val="0"/>
              </w:rPr>
              <w:t>Community co-design, inclusion and targeted capacity-building</w:t>
            </w:r>
          </w:p>
        </w:tc>
        <w:tc>
          <w:tcPr>
            <w:tcW w:type="dxa" w:w="4320"/>
          </w:tcPr>
          <w:p>
            <w:r>
              <w:rPr>
                <w:b w:val="0"/>
              </w:rPr>
              <w:t>30,000</w:t>
            </w:r>
          </w:p>
        </w:tc>
      </w:tr>
      <w:tr>
        <w:tc>
          <w:tcPr>
            <w:tcW w:type="dxa" w:w="4320"/>
          </w:tcPr>
          <w:p>
            <w:r>
              <w:rPr>
                <w:b w:val="0"/>
              </w:rPr>
              <w:t>Limited technical validation/demonstration, only if justified and approved</w:t>
            </w:r>
          </w:p>
        </w:tc>
        <w:tc>
          <w:tcPr>
            <w:tcW w:type="dxa" w:w="4320"/>
          </w:tcPr>
          <w:p>
            <w:r>
              <w:rPr>
                <w:b w:val="0"/>
              </w:rPr>
              <w:t>15,000</w:t>
            </w:r>
          </w:p>
        </w:tc>
      </w:tr>
      <w:tr>
        <w:tc>
          <w:tcPr>
            <w:tcW w:type="dxa" w:w="4320"/>
          </w:tcPr>
          <w:p>
            <w:r>
              <w:rPr>
                <w:b w:val="0"/>
              </w:rPr>
              <w:t>Institutional uptake, guidance and coordination support</w:t>
            </w:r>
          </w:p>
        </w:tc>
        <w:tc>
          <w:tcPr>
            <w:tcW w:type="dxa" w:w="4320"/>
          </w:tcPr>
          <w:p>
            <w:r>
              <w:rPr>
                <w:b w:val="0"/>
              </w:rPr>
              <w:t>22,000</w:t>
            </w:r>
          </w:p>
        </w:tc>
      </w:tr>
      <w:tr>
        <w:tc>
          <w:tcPr>
            <w:tcW w:type="dxa" w:w="4320"/>
          </w:tcPr>
          <w:p>
            <w:r>
              <w:rPr>
                <w:b w:val="0"/>
              </w:rPr>
              <w:t>Monitoring, evaluation, data management and learning</w:t>
            </w:r>
          </w:p>
        </w:tc>
        <w:tc>
          <w:tcPr>
            <w:tcW w:type="dxa" w:w="4320"/>
          </w:tcPr>
          <w:p>
            <w:r>
              <w:rPr>
                <w:b w:val="0"/>
              </w:rPr>
              <w:t>22,000</w:t>
            </w:r>
          </w:p>
        </w:tc>
      </w:tr>
      <w:tr>
        <w:tc>
          <w:tcPr>
            <w:tcW w:type="dxa" w:w="4320"/>
          </w:tcPr>
          <w:p>
            <w:r>
              <w:rPr>
                <w:b w:val="0"/>
              </w:rPr>
              <w:t>Safeguards, accessibility, complaints and specialist support</w:t>
            </w:r>
          </w:p>
        </w:tc>
        <w:tc>
          <w:tcPr>
            <w:tcW w:type="dxa" w:w="4320"/>
          </w:tcPr>
          <w:p>
            <w:r>
              <w:rPr>
                <w:b w:val="0"/>
              </w:rPr>
              <w:t>12,000</w:t>
            </w:r>
          </w:p>
        </w:tc>
      </w:tr>
      <w:tr>
        <w:tc>
          <w:tcPr>
            <w:tcW w:type="dxa" w:w="4320"/>
          </w:tcPr>
          <w:p>
            <w:r>
              <w:rPr>
                <w:b w:val="0"/>
              </w:rPr>
              <w:t>Local travel and field logistics</w:t>
            </w:r>
          </w:p>
        </w:tc>
        <w:tc>
          <w:tcPr>
            <w:tcW w:type="dxa" w:w="4320"/>
          </w:tcPr>
          <w:p>
            <w:r>
              <w:rPr>
                <w:b w:val="0"/>
              </w:rPr>
              <w:t>15,000</w:t>
            </w:r>
          </w:p>
        </w:tc>
      </w:tr>
      <w:tr>
        <w:tc>
          <w:tcPr>
            <w:tcW w:type="dxa" w:w="4320"/>
          </w:tcPr>
          <w:p>
            <w:r>
              <w:rPr>
                <w:b w:val="0"/>
              </w:rPr>
              <w:t>External project audit</w:t>
            </w:r>
          </w:p>
        </w:tc>
        <w:tc>
          <w:tcPr>
            <w:tcW w:type="dxa" w:w="4320"/>
          </w:tcPr>
          <w:p>
            <w:r>
              <w:rPr>
                <w:b w:val="0"/>
              </w:rPr>
              <w:t>6,000</w:t>
            </w:r>
          </w:p>
        </w:tc>
      </w:tr>
      <w:tr>
        <w:tc>
          <w:tcPr>
            <w:tcW w:type="dxa" w:w="4320"/>
          </w:tcPr>
          <w:p>
            <w:r>
              <w:rPr>
                <w:b w:val="0"/>
              </w:rPr>
              <w:t>Necessary project-attributable administration and communications</w:t>
            </w:r>
          </w:p>
        </w:tc>
        <w:tc>
          <w:tcPr>
            <w:tcW w:type="dxa" w:w="4320"/>
          </w:tcPr>
          <w:p>
            <w:r>
              <w:rPr>
                <w:b w:val="0"/>
              </w:rPr>
              <w:t>14,000</w:t>
            </w:r>
          </w:p>
        </w:tc>
      </w:tr>
      <w:tr>
        <w:tc>
          <w:tcPr>
            <w:tcW w:type="dxa" w:w="4320"/>
          </w:tcPr>
          <w:p>
            <w:r>
              <w:rPr>
                <w:b w:val="0"/>
              </w:rPr>
            </w:r>
            <w:r>
              <w:rPr>
                <w:b/>
              </w:rPr>
              <w:t>Total</w:t>
            </w:r>
            <w:r>
              <w:rPr>
                <w:b w:val="0"/>
              </w:rPr>
            </w:r>
          </w:p>
        </w:tc>
        <w:tc>
          <w:tcPr>
            <w:tcW w:type="dxa" w:w="4320"/>
          </w:tcPr>
          <w:p>
            <w:r>
              <w:rPr>
                <w:b w:val="0"/>
              </w:rPr>
            </w:r>
            <w:r>
              <w:rPr>
                <w:b/>
              </w:rPr>
              <w:t>230,000</w:t>
            </w:r>
            <w:r>
              <w:rPr>
                <w:b w:val="0"/>
              </w:rPr>
            </w:r>
          </w:p>
        </w:tc>
      </w:tr>
    </w:tbl>
    <w:p/>
    <w:p>
      <w:pPr>
        <w:pStyle w:val="Heading2"/>
      </w:pPr>
      <w:r>
        <w:rPr>
          <w:b w:val="0"/>
        </w:rPr>
        <w:t>Budget controls</w:t>
      </w:r>
    </w:p>
    <w:p>
      <w:pPr>
        <w:pStyle w:val="ListBullet"/>
      </w:pPr>
      <w:r>
        <w:rPr>
          <w:b w:val="0"/>
        </w:rPr>
        <w:t>Avoid double-counting staff, consultancy, training and travel costs across lines.</w:t>
      </w:r>
    </w:p>
    <w:p>
      <w:pPr>
        <w:pStyle w:val="ListBullet"/>
      </w:pPr>
      <w:r>
        <w:rPr>
          <w:b w:val="0"/>
        </w:rPr>
        <w:t>Check template guidance for applicable cost limits; this brief does not establish an overhead allowance.</w:t>
      </w:r>
    </w:p>
    <w:p>
      <w:pPr>
        <w:pStyle w:val="ListBullet"/>
      </w:pPr>
      <w:r>
        <w:rPr>
          <w:b w:val="0"/>
        </w:rPr>
        <w:t>Reassign or remove the demonstration allocation if field validation is unnecessary.</w:t>
      </w:r>
    </w:p>
    <w:p>
      <w:pPr>
        <w:pStyle w:val="ListBullet"/>
      </w:pPr>
      <w:r>
        <w:rPr>
          <w:b w:val="0"/>
        </w:rPr>
        <w:t>Do not include seed-grant schemes, prohibited transfers, unrelated service delivery or unsupported expenses.</w:t>
      </w:r>
    </w:p>
    <w:p>
      <w:pPr>
        <w:pStyle w:val="ListBullet"/>
      </w:pPr>
      <w:r>
        <w:rPr>
          <w:b w:val="0"/>
        </w:rPr>
        <w:t>Include the required external audit and realistic reporting costs.</w:t>
      </w:r>
    </w:p>
    <w:p>
      <w:pPr>
        <w:pStyle w:val="ListBullet"/>
      </w:pPr>
      <w:r>
        <w:rPr>
          <w:b w:val="0"/>
        </w:rPr>
        <w:t>Do not assume proposal-preparation expenses will be reimbursed.</w:t>
      </w:r>
    </w:p>
    <w:p>
      <w:pPr>
        <w:pStyle w:val="ListBullet"/>
      </w:pPr>
      <w:r>
        <w:rPr>
          <w:b w:val="0"/>
        </w:rPr>
        <w:t>Record any co-financing accurately; the manual does not make it mandatory.</w:t>
      </w:r>
    </w:p>
    <w:p>
      <w:r>
        <w:rPr>
          <w:b w:val="0"/>
        </w:rPr>
        <w:t>The manual describes an initial 30% disbursement, subsequent disbursements subject to reporting and expenditure conditions, and a final withholding of at least 10% pending acceptance of final financial and audit reporting. Model the resulting cash-flow needs before choosing the grant amount. Final contractual terms govern. [6]</w:t>
      </w:r>
    </w:p>
    <w:p>
      <w:pPr>
        <w:pStyle w:val="Heading1"/>
      </w:pPr>
      <w:r>
        <w:rPr>
          <w:b w:val="0"/>
        </w:rPr>
        <w:t>12. Sustainability and exit strategy</w:t>
      </w:r>
    </w:p>
    <w:p>
      <w:r>
        <w:rPr>
          <w:b w:val="0"/>
        </w:rPr>
        <w:t>Start the exit strategy at inception. For each result, specify an owner, continuing function, resource source and handover evidence.</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Result</w:t>
            </w:r>
          </w:p>
        </w:tc>
        <w:tc>
          <w:tcPr>
            <w:tcW w:type="dxa" w:w="4320"/>
          </w:tcPr>
          <w:p>
            <w:r>
              <w:rPr>
                <w:b/>
              </w:rPr>
              <w:t>Continuation question</w:t>
            </w:r>
          </w:p>
        </w:tc>
      </w:tr>
      <w:tr>
        <w:tc>
          <w:tcPr>
            <w:tcW w:type="dxa" w:w="4320"/>
          </w:tcPr>
          <w:p>
            <w:r>
              <w:rPr>
                <w:b w:val="0"/>
              </w:rPr>
              <w:t>Assessment and maps</w:t>
            </w:r>
          </w:p>
        </w:tc>
        <w:tc>
          <w:tcPr>
            <w:tcW w:type="dxa" w:w="4320"/>
          </w:tcPr>
          <w:p>
            <w:r>
              <w:rPr>
                <w:b w:val="0"/>
              </w:rPr>
              <w:t>Who stores, updates and uses the information?</w:t>
            </w:r>
          </w:p>
        </w:tc>
      </w:tr>
      <w:tr>
        <w:tc>
          <w:tcPr>
            <w:tcW w:type="dxa" w:w="4320"/>
          </w:tcPr>
          <w:p>
            <w:r>
              <w:rPr>
                <w:b w:val="0"/>
              </w:rPr>
              <w:t>Practitioner guidance</w:t>
            </w:r>
          </w:p>
        </w:tc>
        <w:tc>
          <w:tcPr>
            <w:tcW w:type="dxa" w:w="4320"/>
          </w:tcPr>
          <w:p>
            <w:r>
              <w:rPr>
                <w:b w:val="0"/>
              </w:rPr>
              <w:t>Which institution incorporates it into regular training or procedures?</w:t>
            </w:r>
          </w:p>
        </w:tc>
      </w:tr>
      <w:tr>
        <w:tc>
          <w:tcPr>
            <w:tcW w:type="dxa" w:w="4320"/>
          </w:tcPr>
          <w:p>
            <w:r>
              <w:rPr>
                <w:b w:val="0"/>
              </w:rPr>
              <w:t>Coordination mechanism</w:t>
            </w:r>
          </w:p>
        </w:tc>
        <w:tc>
          <w:tcPr>
            <w:tcW w:type="dxa" w:w="4320"/>
          </w:tcPr>
          <w:p>
            <w:r>
              <w:rPr>
                <w:b w:val="0"/>
              </w:rPr>
              <w:t>Who convenes it, and how are recurring costs covered?</w:t>
            </w:r>
          </w:p>
        </w:tc>
      </w:tr>
      <w:tr>
        <w:tc>
          <w:tcPr>
            <w:tcW w:type="dxa" w:w="4320"/>
          </w:tcPr>
          <w:p>
            <w:r>
              <w:rPr>
                <w:b w:val="0"/>
              </w:rPr>
              <w:t>Management instrument</w:t>
            </w:r>
          </w:p>
        </w:tc>
        <w:tc>
          <w:tcPr>
            <w:tcW w:type="dxa" w:w="4320"/>
          </w:tcPr>
          <w:p>
            <w:r>
              <w:rPr>
                <w:b w:val="0"/>
              </w:rPr>
              <w:t>Who implements it within an established mandate?</w:t>
            </w:r>
          </w:p>
        </w:tc>
      </w:tr>
      <w:tr>
        <w:tc>
          <w:tcPr>
            <w:tcW w:type="dxa" w:w="4320"/>
          </w:tcPr>
          <w:p>
            <w:r>
              <w:rPr>
                <w:b w:val="0"/>
              </w:rPr>
              <w:t>Monitoring system</w:t>
            </w:r>
          </w:p>
        </w:tc>
        <w:tc>
          <w:tcPr>
            <w:tcW w:type="dxa" w:w="4320"/>
          </w:tcPr>
          <w:p>
            <w:r>
              <w:rPr>
                <w:b w:val="0"/>
              </w:rPr>
              <w:t>Who collects data, maintains tools and acts on findings?</w:t>
            </w:r>
          </w:p>
        </w:tc>
      </w:tr>
      <w:tr>
        <w:tc>
          <w:tcPr>
            <w:tcW w:type="dxa" w:w="4320"/>
          </w:tcPr>
          <w:p>
            <w:r>
              <w:rPr>
                <w:b w:val="0"/>
              </w:rPr>
              <w:t>Any demonstration</w:t>
            </w:r>
          </w:p>
        </w:tc>
        <w:tc>
          <w:tcPr>
            <w:tcW w:type="dxa" w:w="4320"/>
          </w:tcPr>
          <w:p>
            <w:r>
              <w:rPr>
                <w:b w:val="0"/>
              </w:rPr>
              <w:t>Who owns, maintains and finances it?</w:t>
            </w:r>
          </w:p>
        </w:tc>
      </w:tr>
    </w:tbl>
    <w:p/>
    <w:p>
      <w:r>
        <w:rPr>
          <w:b w:val="0"/>
        </w:rPr>
        <w:t>Distinguish signed commitments, proposed budget allocations and exploratory donor conversations. Do not describe a funding pipeline as secured investment.</w:t>
      </w:r>
    </w:p>
    <w:p>
      <w:pPr>
        <w:pStyle w:val="Heading1"/>
      </w:pPr>
      <w:r>
        <w:rPr>
          <w:b w:val="0"/>
        </w:rPr>
        <w:t>13. Evidence and writing assignments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Workstream</w:t>
            </w:r>
          </w:p>
        </w:tc>
        <w:tc>
          <w:tcPr>
            <w:tcW w:type="dxa" w:w="2880"/>
          </w:tcPr>
          <w:p>
            <w:r>
              <w:rPr>
                <w:b/>
              </w:rPr>
              <w:t>Lead role</w:t>
            </w:r>
          </w:p>
        </w:tc>
        <w:tc>
          <w:tcPr>
            <w:tcW w:type="dxa" w:w="2880"/>
          </w:tcPr>
          <w:p>
            <w:r>
              <w:rPr>
                <w:b/>
              </w:rPr>
              <w:t>Material required</w:t>
            </w:r>
          </w:p>
        </w:tc>
      </w:tr>
      <w:tr>
        <w:tc>
          <w:tcPr>
            <w:tcW w:type="dxa" w:w="2880"/>
          </w:tcPr>
          <w:p>
            <w:r>
              <w:rPr>
                <w:b w:val="0"/>
              </w:rPr>
              <w:t>Organisational eligibility</w:t>
            </w:r>
          </w:p>
        </w:tc>
        <w:tc>
          <w:tcPr>
            <w:tcW w:type="dxa" w:w="2880"/>
          </w:tcPr>
          <w:p>
            <w:r>
              <w:rPr>
                <w:b w:val="0"/>
              </w:rPr>
              <w:t>APFAF management/finance</w:t>
            </w:r>
          </w:p>
        </w:tc>
        <w:tc>
          <w:tcPr>
            <w:tcW w:type="dxa" w:w="2880"/>
          </w:tcPr>
          <w:p>
            <w:r>
              <w:rPr>
                <w:b w:val="0"/>
              </w:rPr>
              <w:t>Registration, governing documents, legal authority, budgets, financial records, controls and project history</w:t>
            </w:r>
          </w:p>
        </w:tc>
      </w:tr>
      <w:tr>
        <w:tc>
          <w:tcPr>
            <w:tcW w:type="dxa" w:w="2880"/>
          </w:tcPr>
          <w:p>
            <w:r>
              <w:rPr>
                <w:b w:val="0"/>
              </w:rPr>
              <w:t>2024 survey review</w:t>
            </w:r>
          </w:p>
        </w:tc>
        <w:tc>
          <w:tcPr>
            <w:tcW w:type="dxa" w:w="2880"/>
          </w:tcPr>
          <w:p>
            <w:r>
              <w:rPr>
                <w:b w:val="0"/>
              </w:rPr>
              <w:t>Research lead</w:t>
            </w:r>
          </w:p>
        </w:tc>
        <w:tc>
          <w:tcPr>
            <w:tcW w:type="dxa" w:w="2880"/>
          </w:tcPr>
          <w:p>
            <w:r>
              <w:rPr>
                <w:b w:val="0"/>
              </w:rPr>
              <w:t>Report, tools, data, permissions, methodology and limitations</w:t>
            </w:r>
          </w:p>
        </w:tc>
      </w:tr>
      <w:tr>
        <w:tc>
          <w:tcPr>
            <w:tcW w:type="dxa" w:w="2880"/>
          </w:tcPr>
          <w:p>
            <w:r>
              <w:rPr>
                <w:b w:val="0"/>
              </w:rPr>
              <w:t>Climate/ecosystem rationale</w:t>
            </w:r>
          </w:p>
        </w:tc>
        <w:tc>
          <w:tcPr>
            <w:tcW w:type="dxa" w:w="2880"/>
          </w:tcPr>
          <w:p>
            <w:r>
              <w:rPr>
                <w:b w:val="0"/>
              </w:rPr>
              <w:t>Technical partner</w:t>
            </w:r>
          </w:p>
        </w:tc>
        <w:tc>
          <w:tcPr>
            <w:tcW w:type="dxa" w:w="2880"/>
          </w:tcPr>
          <w:p>
            <w:r>
              <w:rPr>
                <w:b w:val="0"/>
              </w:rPr>
              <w:t>Hazard evidence, ecosystem-service assessment, location justification and sources</w:t>
            </w:r>
          </w:p>
        </w:tc>
      </w:tr>
      <w:tr>
        <w:tc>
          <w:tcPr>
            <w:tcW w:type="dxa" w:w="2880"/>
          </w:tcPr>
          <w:p>
            <w:r>
              <w:rPr>
                <w:b w:val="0"/>
              </w:rPr>
              <w:t>Local ownership</w:t>
            </w:r>
          </w:p>
        </w:tc>
        <w:tc>
          <w:tcPr>
            <w:tcW w:type="dxa" w:w="2880"/>
          </w:tcPr>
          <w:p>
            <w:r>
              <w:rPr>
                <w:b w:val="0"/>
              </w:rPr>
              <w:t>Community-engagement lead</w:t>
            </w:r>
          </w:p>
        </w:tc>
        <w:tc>
          <w:tcPr>
            <w:tcW w:type="dxa" w:w="2880"/>
          </w:tcPr>
          <w:p>
            <w:r>
              <w:rPr>
                <w:b w:val="0"/>
              </w:rPr>
              <w:t>Consultation records, concerns, representation arrangements and partner commitments</w:t>
            </w:r>
          </w:p>
        </w:tc>
      </w:tr>
      <w:tr>
        <w:tc>
          <w:tcPr>
            <w:tcW w:type="dxa" w:w="2880"/>
          </w:tcPr>
          <w:p>
            <w:r>
              <w:rPr>
                <w:b w:val="0"/>
              </w:rPr>
              <w:t>Theory of change/logframe</w:t>
            </w:r>
          </w:p>
        </w:tc>
        <w:tc>
          <w:tcPr>
            <w:tcW w:type="dxa" w:w="2880"/>
          </w:tcPr>
          <w:p>
            <w:r>
              <w:rPr>
                <w:b w:val="0"/>
              </w:rPr>
              <w:t>Proposal lead and technical partner</w:t>
            </w:r>
          </w:p>
        </w:tc>
        <w:tc>
          <w:tcPr>
            <w:tcW w:type="dxa" w:w="2880"/>
          </w:tcPr>
          <w:p>
            <w:r>
              <w:rPr>
                <w:b w:val="0"/>
              </w:rPr>
              <w:t>One outcome, two outputs, indicators, baselines, targets, assumptions and verification sources</w:t>
            </w:r>
          </w:p>
        </w:tc>
      </w:tr>
      <w:tr>
        <w:tc>
          <w:tcPr>
            <w:tcW w:type="dxa" w:w="2880"/>
          </w:tcPr>
          <w:p>
            <w:r>
              <w:rPr>
                <w:b w:val="0"/>
              </w:rPr>
              <w:t>Gender and safeguards</w:t>
            </w:r>
          </w:p>
        </w:tc>
        <w:tc>
          <w:tcPr>
            <w:tcW w:type="dxa" w:w="2880"/>
          </w:tcPr>
          <w:p>
            <w:r>
              <w:rPr>
                <w:b w:val="0"/>
              </w:rPr>
              <w:t>Rights/safeguards lead</w:t>
            </w:r>
          </w:p>
        </w:tc>
        <w:tc>
          <w:tcPr>
            <w:tcW w:type="dxa" w:w="2880"/>
          </w:tcPr>
          <w:p>
            <w:r>
              <w:rPr>
                <w:b w:val="0"/>
              </w:rPr>
              <w:t>Risk analysis, inclusion measures, complaints arrangements and budget provisions</w:t>
            </w:r>
          </w:p>
        </w:tc>
      </w:tr>
      <w:tr>
        <w:tc>
          <w:tcPr>
            <w:tcW w:type="dxa" w:w="2880"/>
          </w:tcPr>
          <w:p>
            <w:r>
              <w:rPr>
                <w:b w:val="0"/>
              </w:rPr>
              <w:t>Budget/cash flow</w:t>
            </w:r>
          </w:p>
        </w:tc>
        <w:tc>
          <w:tcPr>
            <w:tcW w:type="dxa" w:w="2880"/>
          </w:tcPr>
          <w:p>
            <w:r>
              <w:rPr>
                <w:b w:val="0"/>
              </w:rPr>
              <w:t>Finance lead</w:t>
            </w:r>
          </w:p>
        </w:tc>
        <w:tc>
          <w:tcPr>
            <w:tcW w:type="dxa" w:w="2880"/>
          </w:tcPr>
          <w:p>
            <w:r>
              <w:rPr>
                <w:b w:val="0"/>
              </w:rPr>
              <w:t>Unit costs, staff allocations, partner budgets, audit quotation/estimate and cash-flow model</w:t>
            </w:r>
          </w:p>
        </w:tc>
      </w:tr>
      <w:tr>
        <w:tc>
          <w:tcPr>
            <w:tcW w:type="dxa" w:w="2880"/>
          </w:tcPr>
          <w:p>
            <w:r>
              <w:rPr>
                <w:b w:val="0"/>
              </w:rPr>
              <w:t>Institutional adoption</w:t>
            </w:r>
          </w:p>
        </w:tc>
        <w:tc>
          <w:tcPr>
            <w:tcW w:type="dxa" w:w="2880"/>
          </w:tcPr>
          <w:p>
            <w:r>
              <w:rPr>
                <w:b w:val="0"/>
              </w:rPr>
              <w:t>Advocacy/legal lead</w:t>
            </w:r>
          </w:p>
        </w:tc>
        <w:tc>
          <w:tcPr>
            <w:tcW w:type="dxa" w:w="2880"/>
          </w:tcPr>
          <w:p>
            <w:r>
              <w:rPr>
                <w:b w:val="0"/>
              </w:rPr>
              <w:t>Relevant mandates, approval pathway, letters and continuation responsibilities</w:t>
            </w:r>
          </w:p>
        </w:tc>
      </w:tr>
      <w:tr>
        <w:tc>
          <w:tcPr>
            <w:tcW w:type="dxa" w:w="2880"/>
          </w:tcPr>
          <w:p>
            <w:r>
              <w:rPr>
                <w:b w:val="0"/>
              </w:rPr>
              <w:t>Final quality assurance</w:t>
            </w:r>
          </w:p>
        </w:tc>
        <w:tc>
          <w:tcPr>
            <w:tcW w:type="dxa" w:w="2880"/>
          </w:tcPr>
          <w:p>
            <w:r>
              <w:rPr>
                <w:b w:val="0"/>
              </w:rPr>
              <w:t>Independent reviewer or uninvolved senior staff</w:t>
            </w:r>
          </w:p>
        </w:tc>
        <w:tc>
          <w:tcPr>
            <w:tcW w:type="dxa" w:w="2880"/>
          </w:tcPr>
          <w:p>
            <w:r>
              <w:rPr>
                <w:b w:val="0"/>
              </w:rPr>
              <w:t>Eligibility checklist; narrative–logframe–budget consistency; evidence and citation review</w:t>
            </w:r>
          </w:p>
        </w:tc>
      </w:tr>
    </w:tbl>
    <w:p/>
    <w:p>
      <w:pPr>
        <w:pStyle w:val="Heading2"/>
      </w:pPr>
      <w:r>
        <w:rPr>
          <w:b w:val="0"/>
        </w:rPr>
        <w:t>Questions to answer before drafting the final narrative</w:t>
      </w:r>
    </w:p>
    <w:p>
      <w:r>
        <w:rPr>
          <w:b w:val="0"/>
        </w:rPr>
        <w:t>1. Which exact location and ecosystem are proposed, and why?</w:t>
      </w:r>
    </w:p>
    <w:p>
      <w:r>
        <w:rPr>
          <w:b w:val="0"/>
        </w:rPr>
        <w:t>2. What does the 2024 survey actually demonstrate?</w:t>
      </w:r>
    </w:p>
    <w:p>
      <w:r>
        <w:rPr>
          <w:b w:val="0"/>
        </w:rPr>
        <w:t>3. Which climate hazard is supported by credible evidence?</w:t>
      </w:r>
    </w:p>
    <w:p>
      <w:r>
        <w:rPr>
          <w:b w:val="0"/>
        </w:rPr>
        <w:t>4. What specific barrier prevents EbA uptake?</w:t>
      </w:r>
    </w:p>
    <w:p>
      <w:r>
        <w:rPr>
          <w:b w:val="0"/>
        </w:rPr>
        <w:t>5. What existing initiative will this project strengthen?</w:t>
      </w:r>
    </w:p>
    <w:p>
      <w:r>
        <w:rPr>
          <w:b w:val="0"/>
        </w:rPr>
        <w:t>6. Who has authority to adopt and use the results?</w:t>
      </w:r>
    </w:p>
    <w:p>
      <w:r>
        <w:rPr>
          <w:b w:val="0"/>
        </w:rPr>
        <w:t>7. What can APFAF demonstrate from previous delivery?</w:t>
      </w:r>
    </w:p>
    <w:p>
      <w:r>
        <w:rPr>
          <w:b w:val="0"/>
        </w:rPr>
        <w:t>8. Which partner fills each technical gap?</w:t>
      </w:r>
    </w:p>
    <w:p>
      <w:r>
        <w:rPr>
          <w:b w:val="0"/>
        </w:rPr>
        <w:t>9. What changes by month 24, beyond meetings and reports?</w:t>
      </w:r>
    </w:p>
    <w:p>
      <w:r>
        <w:rPr>
          <w:b w:val="0"/>
        </w:rPr>
        <w:t>10. Who sustains each result and pays the continuing costs?</w:t>
      </w:r>
    </w:p>
    <w:p>
      <w:pPr>
        <w:pStyle w:val="Heading1"/>
      </w:pPr>
      <w:r>
        <w:rPr>
          <w:b w:val="0"/>
        </w:rPr>
        <w:t>14. Application preparation and deadline plan</w:t>
      </w:r>
    </w:p>
    <w:p>
      <w:r>
        <w:rPr>
          <w:b w:val="0"/>
        </w:rPr>
        <w:t xml:space="preserve">The published small-grant submission window is </w:t>
      </w:r>
      <w:r>
        <w:rPr>
          <w:b/>
        </w:rPr>
        <w:t>28 September–26 October 2026</w:t>
      </w:r>
      <w:r>
        <w:rPr>
          <w:b w:val="0"/>
        </w:rPr>
        <w:t>. The webpage says up to 24 months; the detailed call specifies 18–24 months. A 24-month design satisfies both descriptions. Confirm the exact closing time/time zone, current portal requirements and any updates before submission. [4,5]</w:t>
      </w:r>
    </w:p>
    <w:p>
      <w:r>
        <w:rPr>
          <w:b w:val="0"/>
        </w:rPr>
        <w:t>Suggested internal schedule:</w:t>
      </w:r>
    </w:p>
    <w:p>
      <w:pPr>
        <w:pStyle w:val="ListBullet"/>
      </w:pPr>
      <w:r>
        <w:rPr>
          <w:b w:val="0"/>
        </w:rPr>
      </w:r>
      <w:r>
        <w:rPr>
          <w:b/>
        </w:rPr>
        <w:t>10–13 October:</w:t>
      </w:r>
      <w:r>
        <w:rPr>
          <w:b w:val="0"/>
        </w:rPr>
        <w:t xml:space="preserve"> evidence and eligibility gates; partner decision; site and concept confirmation.</w:t>
      </w:r>
    </w:p>
    <w:p>
      <w:pPr>
        <w:pStyle w:val="ListBullet"/>
      </w:pPr>
      <w:r>
        <w:rPr>
          <w:b w:val="0"/>
        </w:rPr>
      </w:r>
      <w:r>
        <w:rPr>
          <w:b/>
        </w:rPr>
        <w:t>14–18 October:</w:t>
      </w:r>
      <w:r>
        <w:rPr>
          <w:b w:val="0"/>
        </w:rPr>
        <w:t xml:space="preserve"> narrative, preliminary consultations, theory of change, activities and first budget.</w:t>
      </w:r>
    </w:p>
    <w:p>
      <w:pPr>
        <w:pStyle w:val="ListBullet"/>
      </w:pPr>
      <w:r>
        <w:rPr>
          <w:b w:val="0"/>
        </w:rPr>
      </w:r>
      <w:r>
        <w:rPr>
          <w:b/>
        </w:rPr>
        <w:t>19–21 October:</w:t>
      </w:r>
      <w:r>
        <w:rPr>
          <w:b w:val="0"/>
        </w:rPr>
        <w:t xml:space="preserve"> technical/safeguards review, mandates, financial documents and internal approval.</w:t>
      </w:r>
    </w:p>
    <w:p>
      <w:pPr>
        <w:pStyle w:val="ListBullet"/>
      </w:pPr>
      <w:r>
        <w:rPr>
          <w:b w:val="0"/>
        </w:rPr>
      </w:r>
      <w:r>
        <w:rPr>
          <w:b/>
        </w:rPr>
        <w:t>22–23 October:</w:t>
      </w:r>
      <w:r>
        <w:rPr>
          <w:b w:val="0"/>
        </w:rPr>
        <w:t xml:space="preserve"> portal entry, attachment checks and early submission if complete.</w:t>
      </w:r>
    </w:p>
    <w:p>
      <w:pPr>
        <w:pStyle w:val="ListBullet"/>
      </w:pPr>
      <w:r>
        <w:rPr>
          <w:b w:val="0"/>
        </w:rPr>
      </w:r>
      <w:r>
        <w:rPr>
          <w:b/>
        </w:rPr>
        <w:t>Before 26 October:</w:t>
      </w:r>
      <w:r>
        <w:rPr>
          <w:b w:val="0"/>
        </w:rPr>
        <w:t xml:space="preserve"> resolve submission issues and retain confirmation.</w:t>
      </w:r>
    </w:p>
    <w:p>
      <w:r>
        <w:rPr>
          <w:b w:val="0"/>
        </w:rPr>
        <w:t>Prepare the current application form, Theory of Change/Logframe/Activities form, Excel budget, signed Applicant Declaration, co-applicant mandate where applicable, due-diligence questionnaire, constitutive/registration documents and key personnel CVs. The manual distinguishes initial documents from remaining supporting material and safeguards information requested at shortlisting; follow the live portal. Documents must be in English or accompanied by English translations. [4,6]</w:t>
      </w:r>
    </w:p>
    <w:p>
      <w:r>
        <w:rPr>
          <w:b w:val="0"/>
        </w:rPr>
      </w:r>
      <w:r>
        <w:rPr>
          <w:b/>
        </w:rPr>
        <w:t>Official small-grant portal:</w:t>
      </w:r>
      <w:r>
        <w:rPr>
          <w:b w:val="0"/>
        </w:rPr>
        <w:t xml:space="preserve"> https://gms-portal.iucn.org/public/calls/6e62954d-c139-430b-b4ad-75d11a6ed4a5</w:t>
      </w:r>
    </w:p>
    <w:p>
      <w:r>
        <w:rPr>
          <w:b w:val="0"/>
        </w:rPr>
      </w:r>
      <w:r>
        <w:rPr>
          <w:b/>
        </w:rPr>
        <w:t>Secretariat enquiries:</w:t>
      </w:r>
      <w:r>
        <w:rPr>
          <w:b w:val="0"/>
        </w:rPr>
        <w:t xml:space="preserve"> contact.EbAFund@iucn.org</w:t>
      </w:r>
    </w:p>
    <w:p>
      <w:pPr>
        <w:pStyle w:val="Heading1"/>
      </w:pPr>
      <w:r>
        <w:rPr>
          <w:b w:val="0"/>
        </w:rPr>
        <w:t>15. Final review and go/no-go decision</w:t>
      </w:r>
    </w:p>
    <w:p>
      <w:r>
        <w:rPr>
          <w:b w:val="0"/>
        </w:rPr>
        <w:t>The team should approve submission only if all critical conditions are satisfied:</w:t>
      </w:r>
    </w:p>
    <w:p>
      <w:pPr>
        <w:pStyle w:val="ListBullet"/>
      </w:pPr>
      <w:r>
        <w:rPr>
          <w:b w:val="0"/>
        </w:rPr>
        <w:t>[ ] Correct legal applicant and eligible funded partners.</w:t>
      </w:r>
    </w:p>
    <w:p>
      <w:pPr>
        <w:pStyle w:val="ListBullet"/>
      </w:pPr>
      <w:r>
        <w:rPr>
          <w:b w:val="0"/>
        </w:rPr>
        <w:t>[ ] Credible existing work, accurately described.</w:t>
      </w:r>
    </w:p>
    <w:p>
      <w:pPr>
        <w:pStyle w:val="ListBullet"/>
      </w:pPr>
      <w:r>
        <w:rPr>
          <w:b w:val="0"/>
        </w:rPr>
        <w:t>[ ] Specific climate hazard, ecosystem service and vulnerable population.</w:t>
      </w:r>
    </w:p>
    <w:p>
      <w:pPr>
        <w:pStyle w:val="ListBullet"/>
      </w:pPr>
      <w:r>
        <w:rPr>
          <w:b w:val="0"/>
        </w:rPr>
        <w:t>[ ] Technically supported adaptation pathway.</w:t>
      </w:r>
    </w:p>
    <w:p>
      <w:pPr>
        <w:pStyle w:val="ListBullet"/>
      </w:pPr>
      <w:r>
        <w:rPr>
          <w:b w:val="0"/>
        </w:rPr>
        <w:t>[ ] A clear barrier-removal purpose, not primarily field implementation.</w:t>
      </w:r>
    </w:p>
    <w:p>
      <w:pPr>
        <w:pStyle w:val="ListBullet"/>
      </w:pPr>
      <w:r>
        <w:rPr>
          <w:b w:val="0"/>
        </w:rPr>
        <w:t>[ ] Committed technical personnel and local partners.</w:t>
      </w:r>
    </w:p>
    <w:p>
      <w:pPr>
        <w:pStyle w:val="ListBullet"/>
      </w:pPr>
      <w:r>
        <w:rPr>
          <w:b w:val="0"/>
        </w:rPr>
        <w:t>[ ] Meaningful community input and manageable safeguards risks.</w:t>
      </w:r>
    </w:p>
    <w:p>
      <w:pPr>
        <w:pStyle w:val="ListBullet"/>
      </w:pPr>
      <w:r>
        <w:rPr>
          <w:b w:val="0"/>
        </w:rPr>
        <w:t>[ ] One selected strategic objective and compliant pillar selections.</w:t>
      </w:r>
    </w:p>
    <w:p>
      <w:pPr>
        <w:pStyle w:val="ListBullet"/>
      </w:pPr>
      <w:r>
        <w:rPr>
          <w:b w:val="0"/>
        </w:rPr>
        <w:t>[ ] Focused outcome/outputs and at least three relevant core indicators.</w:t>
      </w:r>
    </w:p>
    <w:p>
      <w:pPr>
        <w:pStyle w:val="ListBullet"/>
      </w:pPr>
      <w:r>
        <w:rPr>
          <w:b w:val="0"/>
        </w:rPr>
        <w:t>[ ] Realistic budget, audit provision and cash flow.</w:t>
      </w:r>
    </w:p>
    <w:p>
      <w:pPr>
        <w:pStyle w:val="ListBullet"/>
      </w:pPr>
      <w:r>
        <w:rPr>
          <w:b w:val="0"/>
        </w:rPr>
        <w:t>[ ] Credible institutional uptake and post-project ownership.</w:t>
      </w:r>
    </w:p>
    <w:p>
      <w:pPr>
        <w:pStyle w:val="ListBullet"/>
      </w:pPr>
      <w:r>
        <w:rPr>
          <w:b w:val="0"/>
        </w:rPr>
        <w:t>[ ] All required signatures, attachments and portal fields complete.</w:t>
      </w:r>
    </w:p>
    <w:p>
      <w:r>
        <w:rPr>
          <w:b w:val="0"/>
        </w:rPr>
      </w:r>
      <w:r>
        <w:rPr>
          <w:b/>
        </w:rPr>
        <w:t>If the survey or partnership fails validation:</w:t>
      </w:r>
      <w:r>
        <w:rPr>
          <w:b w:val="0"/>
        </w:rPr>
        <w:t xml:space="preserve"> pause this Kampala concept. Consider a substantive partnership in another verified existing EbA initiative, or prepare for a future opportunity. Do not relabel general environmental activity as ecosystem-based adaptation merely to meet the deadline.</w:t>
      </w:r>
    </w:p>
    <w:p>
      <w:pPr>
        <w:pStyle w:val="Heading1"/>
      </w:pPr>
      <w:r>
        <w:rPr>
          <w:b w:val="0"/>
        </w:rPr>
        <w:t>16. Source register</w:t>
      </w:r>
    </w:p>
    <w:p>
      <w:r>
        <w:rPr>
          <w:b w:val="0"/>
        </w:rPr>
        <w:t>Official pages and documents reviewed for this brief and the preceding research. Recheck current versions before submission. APFAF’s pages are organisational self-descriptions, not independent verification of outcomes.</w:t>
      </w:r>
    </w:p>
    <w:p>
      <w:r>
        <w:rPr>
          <w:b w:val="0"/>
        </w:rPr>
        <w:t>1. APFAF — About: https://apenforafrica.org/about/</w:t>
      </w:r>
    </w:p>
    <w:p>
      <w:r>
        <w:rPr>
          <w:b w:val="0"/>
        </w:rPr>
        <w:t>2. APFAF — Home: https://apenforafrica.org/</w:t>
      </w:r>
    </w:p>
    <w:p>
      <w:r>
        <w:rPr>
          <w:b w:val="0"/>
        </w:rPr>
        <w:t>3. APFAF — Projects: https://apenforafrica.org/projects/</w:t>
      </w:r>
    </w:p>
    <w:p>
      <w:r>
        <w:rPr>
          <w:b w:val="0"/>
        </w:rPr>
        <w:t>4. Global EbA Fund — Small-size grants, eligibility, package and FAQ: https://globalebafund.org/small-size-grants/</w:t>
      </w:r>
    </w:p>
    <w:p>
      <w:r>
        <w:rPr>
          <w:b w:val="0"/>
        </w:rPr>
        <w:t>5. Small-size Call for Proposals, August 2026: https://globalebafund.org/wp-content/uploads/2026/08/Global-EbA-Fund_Small-size-grants-Call-for-Proposals.pdf</w:t>
      </w:r>
    </w:p>
    <w:p>
      <w:r>
        <w:rPr>
          <w:b w:val="0"/>
        </w:rPr>
        <w:t>6. Grants Procedure Manual, August 2026: https://globalebafund.org/wp-content/uploads/2026/08/Global-EbA-Fund-Grants-Procedure-Manual.pdf</w:t>
      </w:r>
    </w:p>
    <w:p>
      <w:r>
        <w:rPr>
          <w:b w:val="0"/>
        </w:rPr>
        <w:t>7. Core Indicator Framework, August 2026: https://globalebafund.org/wp-content/uploads/2026/08/Global-EbA-Fund-Core-Indicator-Framework_August-2026.pdf</w:t>
      </w:r>
    </w:p>
    <w:p>
      <w:r>
        <w:rPr>
          <w:b w:val="0"/>
        </w:rPr>
      </w:r>
      <w:r>
        <w:rPr>
          <w:b/>
        </w:rPr>
        <w:t>Bottom line for the writing team:</w:t>
      </w:r>
      <w:r>
        <w:rPr>
          <w:b w:val="0"/>
        </w:rPr>
        <w:t xml:space="preserve"> Position APFAF as a rights-based institution helping communities and decision-makers adopt and sustain technically sound ecosystem-based adaptation. Use the 2024 survey as evidence only to the extent its methods support. The application must show a credible ecosystem-and-climate pathway, committed technical capacity and institutional uptake—not simply repackage pollution awareness or tree planting.</w:t>
      </w:r>
    </w:p>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APFAF • Internal working concept • 10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 PEN FOR AFRICA  |  PROPOSAL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5A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5A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5A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5A5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