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ASSESSING THE IMPACTS OF NEW VISION OVER THE PAST 40 YEARS OF ITS EXISTENCE (1986-2026)</w:t>
      </w:r>
    </w:p>
    <w:p>
      <w:pPr>
        <w:jc w:val="center"/>
      </w:pPr>
      <w:r>
        <w:rPr>
          <w:b w:val="0"/>
          <w:sz w:val="26"/>
        </w:rPr>
        <w:t>A PILOT RESEARCH PROPOSAL</w:t>
      </w:r>
    </w:p>
    <w:p>
      <w:pPr>
        <w:jc w:val="center"/>
      </w:pPr>
      <w:r>
        <w:rPr>
          <w:b w:val="0"/>
          <w:sz w:val="26"/>
        </w:rPr>
        <w:t>[YOUR FULL NAME]</w:t>
        <w:br/>
        <w:t>[REG. NO.]</w:t>
      </w:r>
    </w:p>
    <w:p>
      <w:pPr>
        <w:jc w:val="center"/>
      </w:pPr>
      <w:r>
        <w:rPr>
          <w:b w:val="0"/>
          <w:sz w:val="26"/>
        </w:rPr>
        <w:t>A Research Proposal Submitted to [Department, School, University] in Partial Fulfilment of the Requirements for the Award of [Degree]</w:t>
      </w:r>
    </w:p>
    <w:p>
      <w:pPr>
        <w:jc w:val="center"/>
      </w:pPr>
      <w:r>
        <w:rPr>
          <w:b w:val="0"/>
          <w:sz w:val="26"/>
        </w:rPr>
        <w:t>[Month, Year]</w:t>
      </w:r>
    </w:p>
    <w:p>
      <w:pPr>
        <w:jc w:val="center"/>
      </w:pPr>
      <w:r>
        <w:rPr>
          <w:b w:val="0"/>
          <w:sz w:val="26"/>
        </w:rPr>
        <w:t>WORKING DRAFT - assembled automatically on 20 September 2026. Status banners inside chapters show what is draft vs final. Chapter Two full prose to be pasted from the researcher's approved draft.</w:t>
      </w:r>
    </w:p>
    <w:p>
      <w:r>
        <w:br w:type="page"/>
      </w:r>
    </w:p>
    <w:p>
      <w:pPr>
        <w:pStyle w:val="Heading1"/>
      </w:pPr>
      <w:r>
        <w:t>FRONT MATTER (Template)</w:t>
      </w:r>
    </w:p>
    <w:p>
      <w:pPr>
        <w:pStyle w:val="Heading1"/>
      </w:pPr>
      <w:r>
        <w:t>FRONT MATTER TEMPLATE (UCU / KIU / Ugandan University Format)</w:t>
      </w:r>
    </w:p>
    <w:p>
      <w:pPr>
        <w:ind w:left="480"/>
      </w:pPr>
      <w:r>
        <w:rPr>
          <w:i/>
        </w:rPr>
        <w:t>Assemble in this order. Confirm with your department: (a) APA 6th vs 7th, (b) whether a student pilot needs UNCST clearance or a faculty exemption letter, (c) abstract length (usually 250–300 words), (d) binding template (title-page wording, apron colours).</w:t>
      </w:r>
    </w:p>
    <w:p>
      <w:pPr>
        <w:pStyle w:val="Heading2"/>
      </w:pPr>
      <w:r>
        <w:t>Order of pages</w:t>
      </w:r>
    </w:p>
    <w:p>
      <w:pPr>
        <w:pStyle w:val="ListNumber"/>
      </w:pPr>
      <w:r>
        <w:rPr>
          <w:b/>
        </w:rPr>
        <w:t>Title page:</w:t>
      </w:r>
      <w:r>
        <w:t xml:space="preserve"> ASSESSING THE IMPACTS OF NEW VISION OVER THE PAST 40 YEARS OF ITS EXISTENCE (1986–2026) / BY / [FULL NAME] / [REG. NO.] / A Research Proposal/Dissertation Submitted to [Department, School, University] in Partial Fulfilment of the Requirements for the Award of [Degree] of [University] / [Month, Year: e.g., October 2026]</w:t>
      </w:r>
    </w:p>
    <w:p>
      <w:pPr>
        <w:pStyle w:val="ListNumber"/>
      </w:pPr>
      <w:r>
        <w:rPr>
          <w:b/>
        </w:rPr>
        <w:t>Declaration</w:t>
      </w:r>
      <w:r>
        <w:t xml:space="preserve"> (candidate: original work, never submitted elsewhere; signed, dated)</w:t>
      </w:r>
    </w:p>
    <w:p>
      <w:pPr>
        <w:pStyle w:val="ListNumber"/>
      </w:pPr>
      <w:r>
        <w:rPr>
          <w:b/>
        </w:rPr>
        <w:t>Approval</w:t>
      </w:r>
      <w:r>
        <w:t xml:space="preserve"> (supervisor(s) + Head of Department; signed, dated)</w:t>
      </w:r>
    </w:p>
    <w:p>
      <w:pPr>
        <w:pStyle w:val="ListNumber"/>
      </w:pPr>
      <w:r>
        <w:rPr>
          <w:b/>
        </w:rPr>
        <w:t>Dedication</w:t>
      </w:r>
      <w:r>
        <w:t xml:space="preserve"> (optional, brief)</w:t>
      </w:r>
    </w:p>
    <w:p>
      <w:pPr>
        <w:pStyle w:val="ListNumber"/>
      </w:pPr>
      <w:r>
        <w:rPr>
          <w:b/>
        </w:rPr>
        <w:t>Acknowledgement</w:t>
      </w:r>
      <w:r>
        <w:t xml:space="preserve"> (supervisor, librarians, 3 KIIs anonymised, family, funder if any)</w:t>
      </w:r>
    </w:p>
    <w:p>
      <w:pPr>
        <w:pStyle w:val="ListNumber"/>
      </w:pPr>
      <w:r>
        <w:rPr>
          <w:b/>
        </w:rPr>
        <w:t>Table of Contents</w:t>
      </w:r>
      <w:r>
        <w:t xml:space="preserve"> (auto-generated in Word; 3 heading levels)</w:t>
      </w:r>
    </w:p>
    <w:p>
      <w:pPr>
        <w:pStyle w:val="ListNumber"/>
      </w:pPr>
      <w:r>
        <w:rPr>
          <w:b/>
        </w:rPr>
        <w:t>List of Tables / List of Figures</w:t>
      </w:r>
      <w:r>
        <w:t xml:space="preserve"> (numbered per chapter: Table 4.3, Figure 4.1…)</w:t>
      </w:r>
    </w:p>
    <w:p>
      <w:pPr>
        <w:pStyle w:val="ListNumber"/>
      </w:pPr>
      <w:r>
        <w:rPr>
          <w:b/>
        </w:rPr>
        <w:t>List of Abbreviations/Acronyms</w:t>
      </w:r>
      <w:r>
        <w:t xml:space="preserve"> (starter: ACME, ABC, BUK, FES, FGD, KII, LG Luganda, NVL, NVPPCL, REC, RSF, UCC, UNCST, UPE, USE)</w:t>
      </w:r>
    </w:p>
    <w:p>
      <w:pPr>
        <w:pStyle w:val="ListNumber"/>
      </w:pPr>
      <w:r>
        <w:rPr>
          <w:b/>
        </w:rPr>
        <w:t>Abstract</w:t>
      </w:r>
      <w:r>
        <w:t xml:space="preserve"> (template below — write LAST, after Chapter 5)</w:t>
      </w:r>
    </w:p>
    <w:p>
      <w:pPr>
        <w:pStyle w:val="ListNumber"/>
      </w:pPr>
      <w:r>
        <w:rPr>
          <w:b/>
        </w:rPr>
        <w:t>Chapters 1–5</w:t>
      </w:r>
      <w:r>
        <w:t xml:space="preserve"> + References + Appendices (instruments, clearance letters, coverage log, sample coded sheets)</w:t>
      </w:r>
    </w:p>
    <w:p>
      <w:pPr>
        <w:pStyle w:val="Heading2"/>
      </w:pPr>
      <w:r>
        <w:t>Abstract template (~250 words — fill after fieldwork)</w:t>
      </w:r>
    </w:p>
    <w:p>
      <w:pPr>
        <w:ind w:left="480"/>
      </w:pPr>
      <w:r>
        <w:rPr>
          <w:i/>
        </w:rPr>
        <w:t>Background (2 sentences: 40 years, no longitudinal assessment). Purpose + 4 objectives (3 sentences). Methodology (pilot mixed-methods: 100 editions / n=40 / 3 KIIs / desk review; sites; analysis; 3 sentences). Key findings (one sentence per objective — desk-led, preliminary). Conclusions + recommendations (2 sentences) + full-study roadmap (1 sentence).</w:t>
      </w:r>
    </w:p>
    <w:p>
      <w:pPr>
        <w:pStyle w:val="Heading2"/>
      </w:pPr>
      <w:r>
        <w:t>Formatting checklist (typical UCU/KIU)</w:t>
      </w:r>
    </w:p>
    <w:p>
      <w:pPr>
        <w:pStyle w:val="ListBullet"/>
      </w:pPr>
      <w:r>
        <w:t>☐ Font Times New Roman 12, 1.5 spacing (check dept: some require double), justified body</w:t>
      </w:r>
    </w:p>
    <w:p>
      <w:pPr>
        <w:pStyle w:val="ListBullet"/>
      </w:pPr>
      <w:r>
        <w:t>☐ Headings numbered (1.1, 1.1.1); each chapter starts on a new page</w:t>
      </w:r>
    </w:p>
    <w:p>
      <w:pPr>
        <w:pStyle w:val="ListBullet"/>
      </w:pPr>
      <w:r>
        <w:t>☐ Tables/figures numbered, titled ABOVE tables / BELOW figures, sourced underneath</w:t>
      </w:r>
    </w:p>
    <w:p>
      <w:pPr>
        <w:pStyle w:val="ListBullet"/>
      </w:pPr>
      <w:r>
        <w:t>☐ In-text citations + reference list match 1:1 (no orphans either direction)</w:t>
      </w:r>
    </w:p>
    <w:p>
      <w:pPr>
        <w:pStyle w:val="ListBullet"/>
      </w:pPr>
      <w:r>
        <w:t>☐ Page numbers: roman (i, ii…) for front matter, arabic from Chapter 1</w:t>
      </w:r>
    </w:p>
    <w:p>
      <w:pPr>
        <w:pStyle w:val="ListBullet"/>
      </w:pPr>
      <w:r>
        <w:t>☐ Turnitin/similarity check per university policy before submission</w:t>
      </w:r>
    </w:p>
    <w:p>
      <w:r>
        <w:br w:type="page"/>
      </w:r>
    </w:p>
    <w:p>
      <w:pPr>
        <w:pStyle w:val="Heading1"/>
      </w:pPr>
      <w:r>
        <w:t>CHAPTER ONE: INTRODUCTION</w:t>
      </w:r>
    </w:p>
    <w:p>
      <w:r>
        <w:rPr>
          <w:b/>
        </w:rPr>
        <w:t>Research Topic: Assessing the Impacts of New Vision Over the Past 40 Years of Its Existence (1986–2026)</w:t>
      </w:r>
    </w:p>
    <w:p>
      <w:pPr>
        <w:ind w:left="480"/>
      </w:pPr>
      <w:r>
        <w:rPr>
          <w:b/>
          <w:i/>
        </w:rPr>
        <w:t>Status:</w:t>
      </w:r>
      <w:r>
        <w:rPr>
          <w:i/>
        </w:rPr>
        <w:t xml:space="preserve"> DRAFT reconstructed to align with your Chapter Two.</w:t>
      </w:r>
    </w:p>
    <w:p>
      <w:pPr>
        <w:ind w:left="480"/>
      </w:pPr>
      <w:r>
        <w:rPr>
          <w:i/>
        </w:rPr>
        <w:t>Replace/adjust with your supervisor-approved Chapter One where it differs. All cross-references to Chapter Two sections are marked [Ch.2 §__].</w:t>
      </w:r>
    </w:p>
    <w:p>
      <w:pPr>
        <w:pStyle w:val="Heading2"/>
      </w:pPr>
      <w:r>
        <w:t>1.1 Background to the Study</w:t>
      </w:r>
    </w:p>
    <w:p>
      <w:r>
        <w:t>The media plays a central role in political development, economic growth, and social transformation, particularly in developing nations where institutions of democratic governance remain in formation (Schramm, 1964; Hyden, Leslie &amp; Ogundimu, 2002) [Ch.2 §2.2.1, §2.5.1]. In Africa, where the media landscape was profoundly shaped by colonial communication systems and post-independence nation-building projects (Bourgault, 1995; Kasoma, 1995) [Ch.2 §2.3.1], state-owned media institutions have occupied an especially contested position — celebrated as instruments of national unity and development communication, and criticised as instruments of state propaganda and political control (Berger, 2007; Mytton, 1983) [Ch.2 §2.3.3].</w:t>
      </w:r>
    </w:p>
    <w:p>
      <w:r>
        <w:t xml:space="preserve">Uganda's media history mirrors this continental pattern. At independence in 1962, Uganda inherited a small, urban-centred, English-language press designed primarily to serve colonial administrative and commercial interests. The post-independence decades — marked by the Obote I regime (1962–1971), the Idi Amin military dictatorship (1971–1979), the short-lived UNLF governments (1979–1980), and the Obote II regime (1980–1985) — were characterised by severe constraints on press freedom, including the closure of newspapers, harassment and murder of journalists, and the direct use of state media, notably the </w:t>
      </w:r>
      <w:r>
        <w:rPr>
          <w:i/>
        </w:rPr>
        <w:t>Uganda Times</w:t>
      </w:r>
      <w:r>
        <w:t>, as a government mouthpiece (Mwesige, 2004; Nassanga, 2008) [Ch.2 §2.4.1].</w:t>
      </w:r>
    </w:p>
    <w:p>
      <w:r>
        <w:t xml:space="preserve">The </w:t>
      </w:r>
      <w:r>
        <w:rPr>
          <w:b/>
        </w:rPr>
        <w:t>New Vision</w:t>
      </w:r>
      <w:r>
        <w:t xml:space="preserve"> was established in </w:t>
      </w:r>
      <w:r>
        <w:rPr>
          <w:b/>
        </w:rPr>
        <w:t>March 1986</w:t>
      </w:r>
      <w:r>
        <w:t xml:space="preserve">, in the immediate aftermath of the National Resistance Army/Movement (NRA/NRM) takeover of power under President Yoweri Kaguta Museveni. It replaced the discredited </w:t>
      </w:r>
      <w:r>
        <w:rPr>
          <w:i/>
        </w:rPr>
        <w:t>Uganda Times</w:t>
      </w:r>
      <w:r>
        <w:t xml:space="preserve"> and was constituted under the </w:t>
      </w:r>
      <w:r>
        <w:rPr>
          <w:b/>
        </w:rPr>
        <w:t>New Vision Printing and Publishing Company Limited (NVPPCL)</w:t>
      </w:r>
      <w:r>
        <w:t>, a government-majority-owned enterprise. Its founding mandate combined two potentially contradictory missions that have defined its entire 40-year history:</w:t>
      </w:r>
    </w:p>
    <w:p>
      <w:pPr>
        <w:pStyle w:val="ListNumber"/>
      </w:pPr>
      <w:r>
        <w:t xml:space="preserve">To operate as a </w:t>
      </w:r>
      <w:r>
        <w:rPr>
          <w:b/>
        </w:rPr>
        <w:t>professional, commercially viable</w:t>
      </w:r>
      <w:r>
        <w:t xml:space="preserve"> national newspaper serving the Ugandan public with credible news and information; and</w:t>
      </w:r>
    </w:p>
    <w:p>
      <w:pPr>
        <w:pStyle w:val="ListNumber"/>
      </w:pPr>
      <w:r>
        <w:t xml:space="preserve">To support the NRM government's programme of </w:t>
      </w:r>
      <w:r>
        <w:rPr>
          <w:b/>
        </w:rPr>
        <w:t>national reconstruction, unity, and development</w:t>
      </w:r>
      <w:r>
        <w:t xml:space="preserve"> following decades of political turmoil and civil war (Sengati-Kauma, 2003; Nassanga, 2008) [Ch.2 §2.4.2].</w:t>
      </w:r>
    </w:p>
    <w:p>
      <w:r>
        <w:t xml:space="preserve">Over four decades (1986–2026), New Vision has grown from a single English-language daily newspaper into </w:t>
      </w:r>
      <w:r>
        <w:rPr>
          <w:b/>
        </w:rPr>
        <w:t>Uganda's largest multimedia conglomerate</w:t>
      </w:r>
      <w:r>
        <w:t>, encompassing:</w:t>
      </w:r>
    </w:p>
    <w:p>
      <w:pPr>
        <w:pStyle w:val="ListBullet"/>
      </w:pPr>
      <w:r>
        <w:t xml:space="preserve">The flagship </w:t>
      </w:r>
      <w:r>
        <w:rPr>
          <w:i/>
        </w:rPr>
        <w:t>New Vision</w:t>
      </w:r>
      <w:r>
        <w:t xml:space="preserve"> English daily and </w:t>
      </w:r>
      <w:r>
        <w:rPr>
          <w:i/>
        </w:rPr>
        <w:t>Sunday Vision</w:t>
      </w:r>
      <w:r>
        <w:t>;</w:t>
      </w:r>
    </w:p>
    <w:p>
      <w:pPr>
        <w:pStyle w:val="ListBullet"/>
      </w:pPr>
      <w:r>
        <w:rPr>
          <w:i/>
        </w:rPr>
        <w:t>Bukedde</w:t>
      </w:r>
      <w:r>
        <w:t>, the Luganda-language daily (launched 1994) and its Sunday edition, consistently among the highest-circulation newspapers in the country;</w:t>
      </w:r>
    </w:p>
    <w:p>
      <w:pPr>
        <w:pStyle w:val="ListBullet"/>
      </w:pPr>
      <w:r>
        <w:t xml:space="preserve">Regional-language publications including </w:t>
      </w:r>
      <w:r>
        <w:rPr>
          <w:i/>
        </w:rPr>
        <w:t>Rupiny</w:t>
      </w:r>
      <w:r>
        <w:t xml:space="preserve"> (Luo), </w:t>
      </w:r>
      <w:r>
        <w:rPr>
          <w:i/>
        </w:rPr>
        <w:t>Etop</w:t>
      </w:r>
      <w:r>
        <w:t xml:space="preserve"> (Ateso), and </w:t>
      </w:r>
      <w:r>
        <w:rPr>
          <w:i/>
        </w:rPr>
        <w:t>Orumuri</w:t>
      </w:r>
      <w:r>
        <w:t xml:space="preserve"> (Runyakitara) (Chibita, 2010) [Ch.2 §2.2.3, §2.4.1];</w:t>
      </w:r>
    </w:p>
    <w:p>
      <w:pPr>
        <w:pStyle w:val="ListBullet"/>
      </w:pPr>
      <w:r>
        <w:t>Radio stations including X-FM and Bukedde FM;</w:t>
      </w:r>
    </w:p>
    <w:p>
      <w:pPr>
        <w:pStyle w:val="ListBullet"/>
      </w:pPr>
      <w:r>
        <w:t>Television stations including Bukedde TV and Urban TV;</w:t>
      </w:r>
    </w:p>
    <w:p>
      <w:pPr>
        <w:pStyle w:val="ListBullet"/>
      </w:pPr>
      <w:r>
        <w:t>Digital platforms including the newvision.co.ug website, e-paper, mobile applications, and social media channels with millions of followers [Ch.2 §2.7.3];</w:t>
      </w:r>
    </w:p>
    <w:p>
      <w:pPr>
        <w:pStyle w:val="ListBullet"/>
      </w:pPr>
      <w:r>
        <w:t>A commercial printing division serving government and private clients; and</w:t>
      </w:r>
    </w:p>
    <w:p>
      <w:pPr>
        <w:pStyle w:val="ListBullet"/>
      </w:pPr>
      <w:r>
        <w:t>Educational and corporate social responsibility initiatives including harvest-money expos, education supplements, and school outreach programmes [Ch.2 §2.8.2].</w:t>
      </w:r>
    </w:p>
    <w:p>
      <w:r>
        <w:t xml:space="preserve">New Vision was also </w:t>
      </w:r>
      <w:r>
        <w:rPr>
          <w:b/>
        </w:rPr>
        <w:t>partially listed on the Uganda Securities Exchange (USE)</w:t>
      </w:r>
      <w:r>
        <w:t xml:space="preserve"> in 2004, making it a hybrid institution: majority state-owned yet subject to commercial disclosure requirements and minority shareholder interests — a structure that places it between Berger's (2007) categories of "state media," "public service media," and "public-commercial media" [Ch.2 §2.3.3].</w:t>
      </w:r>
    </w:p>
    <w:p>
      <w:r>
        <w:t xml:space="preserve">Politically, New Vision's 40 years span Uganda's entire NRM era: the no-party "Movement system" (1986–2005), the return to multiparty politics following the 2005 referendum, and six presidential elections (1996, 2001, 2006, 2011, 2016, 2021) [Ch.2 §2.5.2]. Throughout this period, New Vision has been accused by opposition politicians, civil society, and some scholars of </w:t>
      </w:r>
      <w:r>
        <w:rPr>
          <w:b/>
        </w:rPr>
        <w:t>pro-government bias</w:t>
      </w:r>
      <w:r>
        <w:t>, particularly in electoral coverage (Kalyango, 2011; Mwesige, 2009) [Ch.2 §2.5.2], while government officials and New Vision management have defended its record as broadly balanced within a development-journalism orientation consistent with Development Media Theory (Schramm, 1964; McQuail, 1987) [Ch.2 §2.2.1].</w:t>
      </w:r>
    </w:p>
    <w:p>
      <w:r>
        <w:t xml:space="preserve">Economically, New Vision has been both a beneficiary of and contributor to Uganda's post-1986 economic liberalisation: it helped build the country's modern </w:t>
      </w:r>
      <w:r>
        <w:rPr>
          <w:b/>
        </w:rPr>
        <w:t>advertising industry</w:t>
      </w:r>
      <w:r>
        <w:t xml:space="preserve">, provided </w:t>
      </w:r>
      <w:r>
        <w:rPr>
          <w:b/>
        </w:rPr>
        <w:t>direct employment</w:t>
      </w:r>
      <w:r>
        <w:t xml:space="preserve"> to thousands of journalists, printers, distributors, and support staff, and trained generations of Ugandan media professionals (Picard, 2011; Doyle, 2013) [Ch.2 §2.6]. Yet, like print media globally, it now faces </w:t>
      </w:r>
      <w:r>
        <w:rPr>
          <w:b/>
        </w:rPr>
        <w:t>digital disruption, fragmenting advertising markets, and questions of long-term financial sustainability</w:t>
      </w:r>
      <w:r>
        <w:t xml:space="preserve"> (Picard, 2014; African Media Initiative, 2016) [Ch.2 §2.6.2, §2.7.2].</w:t>
      </w:r>
    </w:p>
    <w:p>
      <w:r>
        <w:t xml:space="preserve">Socially, New Vision has served as a platform for </w:t>
      </w:r>
      <w:r>
        <w:rPr>
          <w:b/>
        </w:rPr>
        <w:t>health communication</w:t>
      </w:r>
      <w:r>
        <w:t xml:space="preserve"> — most notably during Uganda's internationally recognised HIV/AIDS campaigns of the late 1980s and 1990s, which contributed to HIV prevalence falling from over 15% to under 6% (UNAIDS, 2022; Nassanga, 2008) [Ch.2 §2.8.1] — as well as malaria, maternal health, immunisation, and COVID-19 communication; for </w:t>
      </w:r>
      <w:r>
        <w:rPr>
          <w:b/>
        </w:rPr>
        <w:t>education and literacy</w:t>
      </w:r>
      <w:r>
        <w:t xml:space="preserve"> promotion [Ch.2 §2.8.2]; and for </w:t>
      </w:r>
      <w:r>
        <w:rPr>
          <w:b/>
        </w:rPr>
        <w:t>national unity</w:t>
      </w:r>
      <w:r>
        <w:t xml:space="preserve"> through multilingual publishing bridging Uganda's ethnic and regional divisions.</w:t>
      </w:r>
    </w:p>
    <w:p>
      <w:r>
        <w:t xml:space="preserve">Digitally, the period from approximately 2010 onwards has seen rapid growth in Ugandan internet and social media use (an estimated 6.7 million social media users by 2023, about 14% of the population — DataReportal, 2023) [Ch.2 §2.7.3], forcing New Vision into a difficult </w:t>
      </w:r>
      <w:r>
        <w:rPr>
          <w:b/>
        </w:rPr>
        <w:t>digital transformation</w:t>
      </w:r>
      <w:r>
        <w:t xml:space="preserve"> involving online publishing, social media engagement, and the search for sustainable digital business models (Pavlik, 2001; Beckett, 2008; Wasserman, 2011) [Ch.2 §2.7].</w:t>
      </w:r>
    </w:p>
    <w:p>
      <w:r>
        <w:t xml:space="preserve">Despite this 40-year significance across political, economic, social, and digital dimensions, </w:t>
      </w:r>
      <w:r>
        <w:rPr>
          <w:b/>
        </w:rPr>
        <w:t>no comprehensive longitudinal study has systematically assessed New Vision's impacts across all these dimensions</w:t>
      </w:r>
      <w:r>
        <w:t xml:space="preserve"> [Ch.2 §2.9, Gap 1]. Existing studies focus on specific periods or aspects (Sengati-Kauma, 2003; Kalyango, 2011; ACME, 2019), digital transformation research is "extremely limited" [Ch.2 §2.9, Gap 2], audience perspectives are underrepresented [Gap 3], economic impacts are "poorly documented" [Gap 4], and comparative regional perspectives are lacking [Gap 5]. This study is designed directly to fill these five gaps.</w:t>
      </w:r>
    </w:p>
    <w:p>
      <w:pPr>
        <w:pStyle w:val="Heading2"/>
      </w:pPr>
      <w:r>
        <w:t>1.2 Statement of the Problem</w:t>
      </w:r>
    </w:p>
    <w:p>
      <w:r>
        <w:t xml:space="preserve">Forty years after its founding, New Vision stands as Uganda's most enduring and influential media institution, yet scholarly understanding of its </w:t>
      </w:r>
      <w:r>
        <w:rPr>
          <w:b/>
        </w:rPr>
        <w:t>overall impacts</w:t>
      </w:r>
      <w:r>
        <w:t xml:space="preserve"> remains fragmented and incomplete. On one hand, government officials and New Vision management present the institution as a pillar of national development, democratic discourse, and professional journalism. On the other hand, opposition actors, press-freedom advocates, and some scholars characterise it as a constrained state outlet whose government ownership structurally compromises its independence and democratic contribution (Mwesige, 2004; Nassanga, 2008) [Ch.2 §2.2.3]. Uganda's ranking of </w:t>
      </w:r>
      <w:r>
        <w:rPr>
          <w:b/>
        </w:rPr>
        <w:t>125th out of 180 countries</w:t>
      </w:r>
      <w:r>
        <w:t xml:space="preserve"> in the 2023 World Press Freedom Index (RSF, 2023) [Ch.2 §2.3.2] underscores that these are not merely academic debates but matters of democratic consequence.</w:t>
      </w:r>
    </w:p>
    <w:p>
      <w:r>
        <w:t xml:space="preserve">The core problem is </w:t>
      </w:r>
      <w:r>
        <w:rPr>
          <w:b/>
        </w:rPr>
        <w:t>evidentiary</w:t>
      </w:r>
      <w:r>
        <w:t>: in the absence of a systematic, longitudinal, multi-dimensional impact assessment, public and policy debate about New Vision proceeds largely on the basis of anecdote, partisan claim, and period-specific studies that cannot speak to 40-year trajectories. Specifically:</w:t>
      </w:r>
    </w:p>
    <w:p>
      <w:pPr>
        <w:pStyle w:val="ListBullet"/>
      </w:pPr>
      <w:r>
        <w:rPr>
          <w:b/>
        </w:rPr>
        <w:t>Politically</w:t>
      </w:r>
      <w:r>
        <w:t>, we lack longitudinal evidence on how New Vision's agenda-setting [Ch.2 §2.2.2] and framing [Ch.2 §2.2.4] of politics, elections, and opposition have evolved across six electoral cycles and two constitutional orders (Movement vs. multiparty systems).</w:t>
      </w:r>
    </w:p>
    <w:p>
      <w:pPr>
        <w:pStyle w:val="ListBullet"/>
      </w:pPr>
      <w:r>
        <w:rPr>
          <w:b/>
        </w:rPr>
        <w:t>Economically</w:t>
      </w:r>
      <w:r>
        <w:t>, we lack consolidated data on New Vision's contributions to employment, advertising-market development, and the knowledge economy, or on the severity of its current sustainability challenge [Ch.2 §2.6].</w:t>
      </w:r>
    </w:p>
    <w:p>
      <w:pPr>
        <w:pStyle w:val="ListBullet"/>
      </w:pPr>
      <w:r>
        <w:rPr>
          <w:b/>
        </w:rPr>
        <w:t>Socially</w:t>
      </w:r>
      <w:r>
        <w:t>, while New Vision's HIV/AIDS communication role is acknowledged, its broader 40-year health, education, and national-unity contributions have never been systematically evaluated [Ch.2 §2.8].</w:t>
      </w:r>
    </w:p>
    <w:p>
      <w:pPr>
        <w:pStyle w:val="ListBullet"/>
      </w:pPr>
      <w:r>
        <w:rPr>
          <w:b/>
        </w:rPr>
        <w:t>Digitally</w:t>
      </w:r>
      <w:r>
        <w:t>, New Vision's adaptation to online and social media — arguably the decisive strategic question for its next decade — is the least researched dimension of all [Ch.2 §2.7].</w:t>
      </w:r>
    </w:p>
    <w:p>
      <w:r>
        <w:t xml:space="preserve">Without such evidence, key stakeholders — government as majority shareholder, minority investors, media regulators, development partners, journalism educators, and New Vision management itself — cannot make informed decisions about the institution's future, including its governance model, public-service mandate, and digital strategy. This study therefore asks: </w:t>
      </w:r>
      <w:r>
        <w:rPr>
          <w:b/>
        </w:rPr>
        <w:t>What have been the political, economic, social, and digital impacts of New Vision over its 40 years of existence (1986–2026), and what do they imply for its future?</w:t>
      </w:r>
    </w:p>
    <w:p>
      <w:pPr>
        <w:pStyle w:val="Heading2"/>
      </w:pPr>
      <w:r>
        <w:t>1.3 Purpose of the Study</w:t>
      </w:r>
    </w:p>
    <w:p>
      <w:r>
        <w:t xml:space="preserve">The purpose of this study is to conduct a </w:t>
      </w:r>
      <w:r>
        <w:rPr>
          <w:b/>
        </w:rPr>
        <w:t>comprehensive, longitudinal, multi-dimensional assessment</w:t>
      </w:r>
      <w:r>
        <w:t xml:space="preserve"> of the impacts of New Vision over its 40 years of existence (1986–2026), examining its political, economic, social/development, and digital-transformation impacts, and drawing evidence-based conclusions and recommendations for the institution's future sustainability and public-service role.</w:t>
      </w:r>
    </w:p>
    <w:p>
      <w:pPr>
        <w:pStyle w:val="Heading2"/>
      </w:pPr>
      <w:r>
        <w:t>1.4 Specific Objectives</w:t>
      </w:r>
    </w:p>
    <w:p>
      <w:r>
        <w:t>The study is guided by the following specific objectives, each derived from the literature gaps identified in Chapter Two [Ch.2 §2.9]:</w:t>
      </w:r>
    </w:p>
    <w:p>
      <w:pPr>
        <w:pStyle w:val="ListNumber"/>
      </w:pPr>
      <w:r>
        <w:rPr>
          <w:b/>
        </w:rPr>
        <w:t>To assess the political impacts of New Vision on democratic governance, electoral processes, and public discourse in Uganda over the past 40 years (1986–2026).</w:t>
      </w:r>
    </w:p>
    <w:p>
      <w:pPr>
        <w:pStyle w:val="ListNumber"/>
      </w:pPr>
      <w:r>
        <w:rPr>
          <w:b/>
        </w:rPr>
        <w:t>To examine the economic impacts of New Vision on Uganda's media industry, advertising market, employment, and knowledge economy over the past 40 years.</w:t>
      </w:r>
    </w:p>
    <w:p>
      <w:pPr>
        <w:pStyle w:val="ListNumber"/>
      </w:pPr>
      <w:r>
        <w:rPr>
          <w:b/>
        </w:rPr>
        <w:t>To assess the social and development impacts of New Vision in the areas of health communication, education and literacy, and national unity over the past 40 years.</w:t>
      </w:r>
    </w:p>
    <w:p>
      <w:pPr>
        <w:pStyle w:val="ListNumber"/>
      </w:pPr>
      <w:r>
        <w:rPr>
          <w:b/>
        </w:rPr>
        <w:t>To analyze how New Vision has adapted to digital transformation and social media disruption, and the implications for its future sustainability.</w:t>
      </w:r>
    </w:p>
    <w:p>
      <w:pPr>
        <w:pStyle w:val="Heading2"/>
      </w:pPr>
      <w:r>
        <w:t>1.5 Research Questions</w:t>
      </w:r>
    </w:p>
    <w:p>
      <w:r>
        <w:t>Corresponding to the objectives above:</w:t>
      </w:r>
    </w:p>
    <w:p>
      <w:pPr>
        <w:pStyle w:val="ListNumber"/>
      </w:pPr>
      <w:r>
        <w:t>What have been the political impacts of New Vision on democratic governance, electoral processes, and public discourse in Uganda over the past 40 years?</w:t>
      </w:r>
    </w:p>
    <w:p>
      <w:pPr>
        <w:pStyle w:val="ListNumber"/>
      </w:pPr>
      <w:r>
        <w:t>What have been the economic impacts of New Vision on Uganda's media industry, advertising market, employment, and knowledge economy over the past 40 years?</w:t>
      </w:r>
    </w:p>
    <w:p>
      <w:pPr>
        <w:pStyle w:val="ListNumber"/>
      </w:pPr>
      <w:r>
        <w:t>What have been the social and development impacts of New Vision in health communication, education and literacy, and national unity over the past 40 years?</w:t>
      </w:r>
    </w:p>
    <w:p>
      <w:pPr>
        <w:pStyle w:val="ListNumber"/>
      </w:pPr>
      <w:r>
        <w:t>How has New Vision adapted to digital transformation and social media disruption, and what are the implications for its future sustainability?</w:t>
      </w:r>
    </w:p>
    <w:p>
      <w:pPr>
        <w:pStyle w:val="Heading2"/>
      </w:pPr>
      <w:r>
        <w:t>1.6 Significance of the Study</w:t>
      </w:r>
    </w:p>
    <w:p>
      <w:r>
        <w:t>This study is significant for the following reasons:</w:t>
      </w:r>
    </w:p>
    <w:p>
      <w:pPr>
        <w:pStyle w:val="ListNumber"/>
      </w:pPr>
      <w:r>
        <w:rPr>
          <w:b/>
        </w:rPr>
        <w:t>Scholarly significance.</w:t>
      </w:r>
      <w:r>
        <w:t xml:space="preserve"> It will be the </w:t>
      </w:r>
      <w:r>
        <w:rPr>
          <w:b/>
        </w:rPr>
        <w:t>first comprehensive 40-year longitudinal assessment</w:t>
      </w:r>
      <w:r>
        <w:t xml:space="preserve"> of New Vision, directly filling the five gaps identified in the literature review [Ch.2 §2.9]. It will contribute to African media scholarship (Bourgault, 1995; Hyden et al., 2002), Ugandan media studies (Mwesige, 2004; Nassanga, 2008; Chibita, 2010), and the global literature on state-owned media transformation (Berger, 2007; Mano, 2009).</w:t>
      </w:r>
    </w:p>
    <w:p>
      <w:pPr>
        <w:pStyle w:val="ListNumber"/>
      </w:pPr>
      <w:r>
        <w:rPr>
          <w:b/>
        </w:rPr>
        <w:t>Theoretical significance.</w:t>
      </w:r>
      <w:r>
        <w:t xml:space="preserve"> By applying five complementary theories — Development Media Theory, Agenda-Setting Theory, Political Economy, Framing Theory, and Uses and Gratifications [Ch.2 §2.2] — within a single integrated design, the study will test and refine these frameworks in a longitudinal African state-media context, responding to calls for less Western-centric media theory (Curran &amp; Park, 2000; Sparks, 2007) [Ch.2 §2.5.1].</w:t>
      </w:r>
    </w:p>
    <w:p>
      <w:pPr>
        <w:pStyle w:val="ListNumber"/>
      </w:pPr>
      <w:r>
        <w:rPr>
          <w:b/>
        </w:rPr>
        <w:t>Policy significance.</w:t>
      </w:r>
      <w:r>
        <w:t xml:space="preserve"> Findings will inform government media policy, the debate over state vs. public-service vs. public-commercial models (Berger, 2007) [Ch.2 §2.3.3], and regulatory questions addressed in the African Media Barometer and Press Freedom Index processes [Ch.2 §2.3.2].</w:t>
      </w:r>
    </w:p>
    <w:p>
      <w:pPr>
        <w:pStyle w:val="ListNumber"/>
      </w:pPr>
      <w:r>
        <w:rPr>
          <w:b/>
        </w:rPr>
        <w:t>Institutional significance.</w:t>
      </w:r>
      <w:r>
        <w:t xml:space="preserve"> New Vision management, board, and shareholders (including minority USE investors) will gain evidence-based insights into institutional performance, audience relationships, and digital strategy.</w:t>
      </w:r>
    </w:p>
    <w:p>
      <w:pPr>
        <w:pStyle w:val="ListNumber"/>
      </w:pPr>
      <w:r>
        <w:rPr>
          <w:b/>
        </w:rPr>
        <w:t>Professional significance.</w:t>
      </w:r>
      <w:r>
        <w:t xml:space="preserve"> Ugandan journalists, editors, and journalism educators will benefit from documented lessons on professional practice under state ownership (Mwesige, 2004) and digital adaptation (Pavlik, 2001; Beckett, 2008).</w:t>
      </w:r>
    </w:p>
    <w:p>
      <w:pPr>
        <w:pStyle w:val="ListNumber"/>
      </w:pPr>
      <w:r>
        <w:rPr>
          <w:b/>
        </w:rPr>
        <w:t>Public significance.</w:t>
      </w:r>
      <w:r>
        <w:t xml:space="preserve"> Ugandan citizens — as readers, audiences, and taxpayers (given state ownership) — have a right to an independent assessment of what a 40-year publicly-owned media investment has delivered.</w:t>
      </w:r>
    </w:p>
    <w:p>
      <w:pPr>
        <w:pStyle w:val="Heading2"/>
      </w:pPr>
      <w:r>
        <w:t>1.7 Scope of the Study</w:t>
      </w:r>
    </w:p>
    <w:p>
      <w:pPr>
        <w:pStyle w:val="Heading3"/>
      </w:pPr>
      <w:r>
        <w:t>1.7.1 Content Scope</w:t>
      </w:r>
    </w:p>
    <w:p>
      <w:r>
        <w:t xml:space="preserve">The study covers </w:t>
      </w:r>
      <w:r>
        <w:rPr>
          <w:b/>
        </w:rPr>
        <w:t>four impact dimensions</w:t>
      </w:r>
      <w:r>
        <w:t xml:space="preserve"> derived from the literature review: (a) political impacts (governance, elections, discourse); (b) economic impacts (industry, advertising, employment); (c) social/development impacts (health, education, unity); and (d) digital transformation and sustainability. Editorial content, business operations, audience relationships, and digital platforms of the New Vision group (print, radio, TV, online) are included, with primary emphasis on the flagship print titles where longitudinal data is richest.</w:t>
      </w:r>
    </w:p>
    <w:p>
      <w:pPr>
        <w:pStyle w:val="Heading3"/>
      </w:pPr>
      <w:r>
        <w:t>1.7.2 Geographical Scope</w:t>
      </w:r>
    </w:p>
    <w:p>
      <w:r>
        <w:t xml:space="preserve">The study is national in scope (Uganda), with fieldwork concentrated in </w:t>
      </w:r>
      <w:r>
        <w:rPr>
          <w:b/>
        </w:rPr>
        <w:t>Kampala (headquarters, archives, key informants) plus four up-country regions</w:t>
      </w:r>
      <w:r>
        <w:t xml:space="preserve"> (Central, Eastern, Northern, Western) for audience surveys and FGDs, ensuring linguistic and regional diversity reflecting New Vision's multilingual footprint (Chibita, 2010). A limited </w:t>
      </w:r>
      <w:r>
        <w:rPr>
          <w:b/>
        </w:rPr>
        <w:t>comparative desk component</w:t>
      </w:r>
      <w:r>
        <w:t xml:space="preserve"> covers selected African state-media peers (e.g., Kenya, Tanzania, Ghana).</w:t>
      </w:r>
    </w:p>
    <w:p>
      <w:pPr>
        <w:pStyle w:val="Heading3"/>
      </w:pPr>
      <w:r>
        <w:t>1.7.3 Time Scope</w:t>
      </w:r>
    </w:p>
    <w:p>
      <w:r>
        <w:t xml:space="preserve">The study covers the period </w:t>
      </w:r>
      <w:r>
        <w:rPr>
          <w:b/>
        </w:rPr>
        <w:t>March 1986 – March 2026 (40 years)</w:t>
      </w:r>
      <w:r>
        <w:t>, divided for sampling and analysis into four decades: 1986–1995 (founding/consolidation), 1996–2005 (liberalisation/Movement system), 2006–2015 (multiparty era/early digital), and 2016–2026 (multiparty maturity/full digital disruption).</w:t>
      </w:r>
    </w:p>
    <w:p>
      <w:pPr>
        <w:pStyle w:val="Heading2"/>
      </w:pPr>
      <w:r>
        <w:t>1.8 Conceptual Framework</w:t>
      </w:r>
    </w:p>
    <w:p>
      <w:r>
        <w:t>The study is guided by the following conceptual framework, which operationalises the five theories in Chapter Two [Ch.2 §2.2]:</w:t>
      </w:r>
    </w:p>
    <w:p>
      <w:r>
        <w:rPr>
          <w:rFonts w:ascii="Courier New" w:hAnsi="Courier New"/>
          <w:sz w:val="20"/>
        </w:rPr>
        <w:t>INDEPENDENT VARIABLE                    DEPENDENT VARIABLE</w:t>
      </w:r>
    </w:p>
    <w:p>
      <w:r>
        <w:rPr>
          <w:rFonts w:ascii="Courier New" w:hAnsi="Courier New"/>
          <w:sz w:val="20"/>
        </w:rPr>
        <w:t>New Vision as Institution:              Impacts (1986–2026):</w:t>
      </w:r>
    </w:p>
    <w:p>
      <w:r>
        <w:rPr>
          <w:rFonts w:ascii="Courier New" w:hAnsi="Courier New"/>
          <w:sz w:val="20"/>
        </w:rPr>
        <w:t>- Editorial content &amp; agenda-setting    1. POLITICAL: governance quality,</w:t>
      </w:r>
    </w:p>
    <w:p>
      <w:r>
        <w:rPr>
          <w:rFonts w:ascii="Courier New" w:hAnsi="Courier New"/>
          <w:sz w:val="20"/>
        </w:rPr>
        <w:t xml:space="preserve">  (what issues, whose voices,             electoral knowledge/participation,</w:t>
      </w:r>
    </w:p>
    <w:p>
      <w:r>
        <w:rPr>
          <w:rFonts w:ascii="Courier New" w:hAnsi="Courier New"/>
          <w:sz w:val="20"/>
        </w:rPr>
        <w:t xml:space="preserve">  what frames)                            discourse diversity</w:t>
      </w:r>
    </w:p>
    <w:p>
      <w:r>
        <w:rPr>
          <w:rFonts w:ascii="Courier New" w:hAnsi="Courier New"/>
          <w:sz w:val="20"/>
        </w:rPr>
        <w:t>- Business &amp; ownership model            2. ECONOMIC: employment, advertising</w:t>
      </w:r>
    </w:p>
    <w:p>
      <w:r>
        <w:rPr>
          <w:rFonts w:ascii="Courier New" w:hAnsi="Courier New"/>
          <w:sz w:val="20"/>
        </w:rPr>
        <w:t xml:space="preserve">  (state-majority, USE-listed,             market, printing sector, talent</w:t>
      </w:r>
    </w:p>
    <w:p>
      <w:r>
        <w:rPr>
          <w:rFonts w:ascii="Courier New" w:hAnsi="Courier New"/>
          <w:sz w:val="20"/>
        </w:rPr>
        <w:t xml:space="preserve">  advertising-dependent)                   pipeline</w:t>
      </w:r>
    </w:p>
    <w:p>
      <w:r>
        <w:rPr>
          <w:rFonts w:ascii="Courier New" w:hAnsi="Courier New"/>
          <w:sz w:val="20"/>
        </w:rPr>
        <w:t>- Outreach &amp; language strategy          3. SOCIAL/DEVELOPMENT: health</w:t>
      </w:r>
    </w:p>
    <w:p>
      <w:r>
        <w:rPr>
          <w:rFonts w:ascii="Courier New" w:hAnsi="Courier New"/>
          <w:sz w:val="20"/>
        </w:rPr>
        <w:t xml:space="preserve">  (multilingual titles, regional           knowledge/behaviour, education/</w:t>
      </w:r>
    </w:p>
    <w:p>
      <w:r>
        <w:rPr>
          <w:rFonts w:ascii="Courier New" w:hAnsi="Courier New"/>
          <w:sz w:val="20"/>
        </w:rPr>
        <w:t xml:space="preserve">   distribution, expos, CSR)               literacy, national unity</w:t>
      </w:r>
    </w:p>
    <w:p>
      <w:r>
        <w:rPr>
          <w:rFonts w:ascii="Courier New" w:hAnsi="Courier New"/>
          <w:sz w:val="20"/>
        </w:rPr>
        <w:t>- Digital adaptation                    4. DIGITAL/SUSTAINABILITY: online</w:t>
      </w:r>
    </w:p>
    <w:p>
      <w:r>
        <w:rPr>
          <w:rFonts w:ascii="Courier New" w:hAnsi="Courier New"/>
          <w:sz w:val="20"/>
        </w:rPr>
        <w:t xml:space="preserve">  (website, e-paper, apps,                 reach, engagement, digital revenue,</w:t>
      </w:r>
    </w:p>
    <w:p>
      <w:r>
        <w:rPr>
          <w:rFonts w:ascii="Courier New" w:hAnsi="Courier New"/>
          <w:sz w:val="20"/>
        </w:rPr>
        <w:t xml:space="preserve">  social media)                            future viability</w:t>
      </w:r>
    </w:p>
    <w:p>
      <w:r>
        <w:rPr>
          <w:rFonts w:ascii="Courier New" w:hAnsi="Courier New"/>
          <w:sz w:val="20"/>
        </w:rPr>
      </w:r>
    </w:p>
    <w:p>
      <w:r>
        <w:rPr>
          <w:rFonts w:ascii="Courier New" w:hAnsi="Courier New"/>
          <w:sz w:val="20"/>
        </w:rPr>
        <w:t xml:space="preserve">              MODERATING / INTERVENING VARIABLES</w:t>
      </w:r>
    </w:p>
    <w:p>
      <w:r>
        <w:rPr>
          <w:rFonts w:ascii="Courier New" w:hAnsi="Courier New"/>
          <w:sz w:val="20"/>
        </w:rPr>
        <w:t xml:space="preserve">              - Political &amp; regulatory environment (press freedom,</w:t>
      </w:r>
    </w:p>
    <w:p>
      <w:r>
        <w:rPr>
          <w:rFonts w:ascii="Courier New" w:hAnsi="Courier New"/>
          <w:sz w:val="20"/>
        </w:rPr>
        <w:t xml:space="preserve">                media laws, electoral cycles)</w:t>
      </w:r>
    </w:p>
    <w:p>
      <w:r>
        <w:rPr>
          <w:rFonts w:ascii="Courier New" w:hAnsi="Courier New"/>
          <w:sz w:val="20"/>
        </w:rPr>
        <w:t xml:space="preserve">              - Economic environment (GDP, advertising spend, competition)</w:t>
      </w:r>
    </w:p>
    <w:p>
      <w:r>
        <w:rPr>
          <w:rFonts w:ascii="Courier New" w:hAnsi="Courier New"/>
          <w:sz w:val="20"/>
        </w:rPr>
        <w:t xml:space="preserve">              - Technological environment (literacy, electrification,</w:t>
      </w:r>
    </w:p>
    <w:p>
      <w:r>
        <w:rPr>
          <w:rFonts w:ascii="Courier New" w:hAnsi="Courier New"/>
          <w:sz w:val="20"/>
        </w:rPr>
        <w:t xml:space="preserve">                internet/smartphone penetration)</w:t>
      </w:r>
    </w:p>
    <w:p>
      <w:r>
        <w:rPr>
          <w:rFonts w:ascii="Courier New" w:hAnsi="Courier New"/>
          <w:sz w:val="20"/>
        </w:rPr>
        <w:t xml:space="preserve">              - Audience agency (Uses &amp; Gratifications: selective</w:t>
      </w:r>
    </w:p>
    <w:p>
      <w:r>
        <w:rPr>
          <w:rFonts w:ascii="Courier New" w:hAnsi="Courier New"/>
          <w:sz w:val="20"/>
        </w:rPr>
        <w:t xml:space="preserve">                exposure, interpretation, alternative sources)</w:t>
      </w:r>
    </w:p>
    <w:p>
      <w:r>
        <w:rPr>
          <w:b/>
        </w:rPr>
        <w:t>Narrative:</w:t>
      </w:r>
      <w:r>
        <w:t xml:space="preserve"> New Vision's institutional inputs (content, business model, outreach, digital strategy) produce political, economic, social, and digital impacts over 40 years. These relationships are moderated by Uganda's political, economic, and technological environments and by active audience interpretation. Political Economy theory explains the ownership→content link; Agenda-Setting and Framing explain the content→public-discourse link; Development Media Theory provides evaluative criteria for development contributions; Uses and Gratifications explains audience mediation of all impacts.</w:t>
      </w:r>
    </w:p>
    <w:p>
      <w:pPr>
        <w:pStyle w:val="Heading2"/>
      </w:pPr>
      <w:r>
        <w:t>1.9 Definition of Key Terms</w:t>
      </w:r>
    </w:p>
    <w:p>
      <w:pPr>
        <w:pStyle w:val="ListBullet"/>
      </w:pPr>
      <w:r>
        <w:rPr>
          <w:b/>
        </w:rPr>
        <w:t>Impact:</w:t>
      </w:r>
      <w:r>
        <w:t xml:space="preserve"> Demonstrable medium-to-long-term changes in political, economic, social, or media-system conditions to which New Vision's operations plausibly contributed, assessed through content evidence, stakeholder testimony, audience data, and documentary records.</w:t>
      </w:r>
    </w:p>
    <w:p>
      <w:pPr>
        <w:pStyle w:val="ListBullet"/>
      </w:pPr>
      <w:r>
        <w:rPr>
          <w:b/>
        </w:rPr>
        <w:t>State-owned / public-commercial media:</w:t>
      </w:r>
      <w:r>
        <w:t xml:space="preserve"> Following Berger (2007), media institutions with majority state shareholding but operating with partial commercial logic; New Vision is treated as a hybrid public-commercial institution.</w:t>
      </w:r>
    </w:p>
    <w:p>
      <w:pPr>
        <w:pStyle w:val="ListBullet"/>
      </w:pPr>
      <w:r>
        <w:rPr>
          <w:b/>
        </w:rPr>
        <w:t>Agenda-setting:</w:t>
      </w:r>
      <w:r>
        <w:t xml:space="preserve"> The process by which media influences which issues the public considers important (McCombs &amp; Shaw, 1972), examined at three levels (McCombs, 2014) [Ch.2 §2.2.2].</w:t>
      </w:r>
    </w:p>
    <w:p>
      <w:pPr>
        <w:pStyle w:val="ListBullet"/>
      </w:pPr>
      <w:r>
        <w:rPr>
          <w:b/>
        </w:rPr>
        <w:t>Framing:</w:t>
      </w:r>
      <w:r>
        <w:t xml:space="preserve"> The selection and salience of aspects of reality to promote particular problem definitions, causal interpretations, moral evaluations, and treatment recommendations (Entman, 1993) [Ch.2 §2.2.4].</w:t>
      </w:r>
    </w:p>
    <w:p>
      <w:pPr>
        <w:pStyle w:val="ListBullet"/>
      </w:pPr>
      <w:r>
        <w:rPr>
          <w:b/>
        </w:rPr>
        <w:t>Digital transformation:</w:t>
      </w:r>
      <w:r>
        <w:t xml:space="preserve"> The adoption of digital production, distribution, engagement, and revenue practices in response to internet, mobile, and social media disruption (Pavlik, 2001; Beckett, 2008) [Ch.2 §2.7].</w:t>
      </w:r>
    </w:p>
    <w:p>
      <w:r>
        <w:rPr>
          <w:i/>
        </w:rPr>
        <w:t>Next: Chapter Two (Literature Review) — already completed — followed by Chapter Three (Research Methodology).</w:t>
      </w:r>
    </w:p>
    <w:p>
      <w:r>
        <w:br w:type="page"/>
      </w:r>
    </w:p>
    <w:p>
      <w:pPr>
        <w:pStyle w:val="Heading1"/>
      </w:pPr>
      <w:r>
        <w:t>CHAPTER TWO: LITERATURE REVIEW (Researcher's Original — Preserved)</w:t>
      </w:r>
    </w:p>
    <w:p>
      <w:r>
        <w:rPr>
          <w:b/>
        </w:rPr>
        <w:t>Research Topic: Assessing the Impacts of New Vision Over the Past 40 Years of Its Existence</w:t>
      </w:r>
    </w:p>
    <w:p>
      <w:pPr>
        <w:ind w:left="480"/>
      </w:pPr>
      <w:r>
        <w:rPr>
          <w:i/>
        </w:rPr>
        <w:t>This file preserves the structure of the Chapter Two draft provided by the researcher on 20 September 2026.</w:t>
      </w:r>
    </w:p>
    <w:p>
      <w:pPr>
        <w:ind w:left="480"/>
      </w:pPr>
      <w:r>
        <w:rPr>
          <w:i/>
        </w:rPr>
        <w:t>The full prose (Sections 2.1–2.9) as supplied in chat is the authoritative version; it has been used verbatim</w:t>
      </w:r>
    </w:p>
    <w:p>
      <w:pPr>
        <w:ind w:left="480"/>
      </w:pPr>
      <w:r>
        <w:rPr>
          <w:i/>
        </w:rPr>
        <w:t>as the foundation for Chapters One, Three, Four, and Five in this repository.</w:t>
      </w:r>
    </w:p>
    <w:p>
      <w:pPr>
        <w:ind w:left="480"/>
      </w:pPr>
      <w:r>
        <w:rPr>
          <w:i/>
        </w:rPr>
        <w:t>A lightly copy-edited version (typos, heading numbering, APA reference formatting) will be produced</w:t>
      </w:r>
    </w:p>
    <w:p>
      <w:pPr>
        <w:ind w:left="480"/>
      </w:pPr>
      <w:r>
        <w:rPr>
          <w:i/>
        </w:rPr>
        <w:t>once the researcher confirms the referencing style and university template.</w:t>
      </w:r>
    </w:p>
    <w:p>
      <w:pPr>
        <w:pStyle w:val="Heading2"/>
      </w:pPr>
      <w:r>
        <w:t>Structure (as provided)</w:t>
      </w:r>
    </w:p>
    <w:p>
      <w:pPr>
        <w:pStyle w:val="ListBullet"/>
      </w:pPr>
      <w:r>
        <w:t>2.1 Introduction — purpose, organisation, key insights</w:t>
      </w:r>
    </w:p>
    <w:p>
      <w:pPr>
        <w:pStyle w:val="ListBullet"/>
      </w:pPr>
      <w:r>
        <w:t>2.2 Theoretical Frameworks</w:t>
      </w:r>
    </w:p>
    <w:p>
      <w:pPr>
        <w:pStyle w:val="ListBullet"/>
      </w:pPr>
      <w:r>
        <w:t>2.2.1 Development Media Theory (Schramm, 1964; McQuail, 1987; Servaes, 1999; Banda, 2009; Kalyango, 2011; Wasserman, 2011)</w:t>
      </w:r>
    </w:p>
    <w:p>
      <w:pPr>
        <w:pStyle w:val="ListBullet"/>
      </w:pPr>
      <w:r>
        <w:t>2.2.2 Agenda-Setting Theory — 3 levels (McCombs &amp; Shaw, 1972; McCombs, 2014; Kalyango &amp; Onyechi, 2013; Mwesige, 2004; Nassanga, 2008; Banda, 2009)</w:t>
      </w:r>
    </w:p>
    <w:p>
      <w:pPr>
        <w:pStyle w:val="ListBullet"/>
      </w:pPr>
      <w:r>
        <w:t>2.2.3 Political Economy of Media (Mosco, 2009; Herman &amp; Chomsky, 1988; Philo &amp; Berry, 2011; Mwesige, 2004; Nassanga, 2008; Chibita, 2010)</w:t>
      </w:r>
    </w:p>
    <w:p>
      <w:pPr>
        <w:pStyle w:val="ListBullet"/>
      </w:pPr>
      <w:r>
        <w:t>2.2.4 Framing Theory — Entman's 4 functions (Entman, 1993; Wasserman, 2011; Kalyango, 2011; Mwesige, 2009)</w:t>
      </w:r>
    </w:p>
    <w:p>
      <w:pPr>
        <w:pStyle w:val="ListBullet"/>
      </w:pPr>
      <w:r>
        <w:t>2.2.5 Uses and Gratifications Theory (Katz, Blumler &amp; Gurevitch, 1973; Kalyango &amp; Onyechi, 2013)</w:t>
      </w:r>
    </w:p>
    <w:p>
      <w:pPr>
        <w:pStyle w:val="ListBullet"/>
      </w:pPr>
      <w:r>
        <w:t>2.3 African Media Development</w:t>
      </w:r>
    </w:p>
    <w:p>
      <w:pPr>
        <w:pStyle w:val="ListBullet"/>
      </w:pPr>
      <w:r>
        <w:t>2.3.1 Colonial legacy &amp; post-independence (Kasoma, 1995; Bourgault, 1995; Karikari, 1994)</w:t>
      </w:r>
    </w:p>
    <w:p>
      <w:pPr>
        <w:pStyle w:val="ListBullet"/>
      </w:pPr>
      <w:r>
        <w:t>2.3.2 Press freedom &amp; democratic governance (Hyden, Leslie &amp; Ogundimu, 2002; Bratton &amp; van de Walle, 1997; FES Barometer; RSF 2023 — Uganda ranked 125/180)</w:t>
      </w:r>
    </w:p>
    <w:p>
      <w:pPr>
        <w:pStyle w:val="ListBullet"/>
      </w:pPr>
      <w:r>
        <w:t>2.3.3 State-owned media in Africa (Berger, 2007 typology; Mytton, 1983; Mano, 2009)</w:t>
      </w:r>
    </w:p>
    <w:p>
      <w:pPr>
        <w:pStyle w:val="ListBullet"/>
      </w:pPr>
      <w:r>
        <w:t>2.4 Ugandan Media</w:t>
      </w:r>
    </w:p>
    <w:p>
      <w:pPr>
        <w:pStyle w:val="ListBullet"/>
      </w:pPr>
      <w:r>
        <w:t>2.4.1 Overview (Mwesige, 2004; Nassanga, 2008; Chibita, 2010)</w:t>
      </w:r>
    </w:p>
    <w:p>
      <w:pPr>
        <w:pStyle w:val="ListBullet"/>
      </w:pPr>
      <w:r>
        <w:t>2.4.2 New Vision-specific studies (Sengati-Kauma, 2003; Kalyango, 2011; ACME, 2019; Nassanga &amp; Makara, 2009)</w:t>
      </w:r>
    </w:p>
    <w:p>
      <w:pPr>
        <w:pStyle w:val="ListBullet"/>
      </w:pPr>
      <w:r>
        <w:t>2.5 Media, Politics &amp; Democratic Governance</w:t>
      </w:r>
    </w:p>
    <w:p>
      <w:pPr>
        <w:pStyle w:val="ListBullet"/>
      </w:pPr>
      <w:r>
        <w:t>2.5.1 Media &amp; political power (Curran &amp; Park, 2000; Hyden et al., 2002; Sparks, 2007)</w:t>
      </w:r>
    </w:p>
    <w:p>
      <w:pPr>
        <w:pStyle w:val="ListBullet"/>
      </w:pPr>
      <w:r>
        <w:t>2.5.2 Election coverage (Norris, 2000; Kalyango, 2011; Mwesige, 2009; Uganda elections 1996–2021)</w:t>
      </w:r>
    </w:p>
    <w:p>
      <w:pPr>
        <w:pStyle w:val="ListBullet"/>
      </w:pPr>
      <w:r>
        <w:t>2.6 Media, Economy &amp; Development</w:t>
      </w:r>
    </w:p>
    <w:p>
      <w:pPr>
        <w:pStyle w:val="ListBullet"/>
      </w:pPr>
      <w:r>
        <w:t>2.6.1 Economic impacts (Picard, 2011; Doyle, 2013)</w:t>
      </w:r>
    </w:p>
    <w:p>
      <w:pPr>
        <w:pStyle w:val="ListBullet"/>
      </w:pPr>
      <w:r>
        <w:t>2.6.2 Advertising &amp; sustainability (Picard, 2011, 2014; Fourie, 2007; Mano, 2009)</w:t>
      </w:r>
    </w:p>
    <w:p>
      <w:pPr>
        <w:pStyle w:val="ListBullet"/>
      </w:pPr>
      <w:r>
        <w:t>2.7 Digital Transformation</w:t>
      </w:r>
    </w:p>
    <w:p>
      <w:pPr>
        <w:pStyle w:val="ListBullet"/>
      </w:pPr>
      <w:r>
        <w:t>2.7.1 Global (Pavlik, 2001; Beckett, 2008)</w:t>
      </w:r>
    </w:p>
    <w:p>
      <w:pPr>
        <w:pStyle w:val="ListBullet"/>
      </w:pPr>
      <w:r>
        <w:t>2.7.2 African digital (Wasserman, 2011; AMI, 2016)</w:t>
      </w:r>
    </w:p>
    <w:p>
      <w:pPr>
        <w:pStyle w:val="ListBullet"/>
      </w:pPr>
      <w:r>
        <w:t>2.7.3 Social vs. traditional media in Uganda (Kalyango &amp; Onyechi, 2013; Nassanga &amp; Makara, 2009; DataReportal 2023 — 6.7M users, 14%)</w:t>
      </w:r>
    </w:p>
    <w:p>
      <w:pPr>
        <w:pStyle w:val="ListBullet"/>
      </w:pPr>
      <w:r>
        <w:t>2.8 Media &amp; Social Development</w:t>
      </w:r>
    </w:p>
    <w:p>
      <w:pPr>
        <w:pStyle w:val="ListBullet"/>
      </w:pPr>
      <w:r>
        <w:t>2.8.1 Health communication — HIV/AIDS 15%→&lt;6% (Obregon &amp; Waisbord, 2012; Tufte, 2017; UNAIDS, 2022; Nassanga, 2008)</w:t>
      </w:r>
    </w:p>
    <w:p>
      <w:pPr>
        <w:pStyle w:val="ListBullet"/>
      </w:pPr>
      <w:r>
        <w:t>2.8.2 Education &amp; literacy — 50%→76% (Tufte, 2017; UNESCO, 2022)</w:t>
      </w:r>
    </w:p>
    <w:p>
      <w:pPr>
        <w:pStyle w:val="ListBullet"/>
      </w:pPr>
      <w:r>
        <w:t>2.9 Gaps in the Literature (the 5 gaps driving this study's objectives &amp; methods)</w:t>
      </w:r>
    </w:p>
    <w:p>
      <w:pPr>
        <w:pStyle w:val="ListBullet"/>
      </w:pPr>
      <w:r>
        <w:t>Gap 1: No longitudinal assessment → Obj.1 + 40-year stratified content sample</w:t>
      </w:r>
    </w:p>
    <w:p>
      <w:pPr>
        <w:pStyle w:val="ListBullet"/>
      </w:pPr>
      <w:r>
        <w:t>Gap 2: Limited digital research → Obj.4 + digital analytics/online survey</w:t>
      </w:r>
    </w:p>
    <w:p>
      <w:pPr>
        <w:pStyle w:val="ListBullet"/>
      </w:pPr>
      <w:r>
        <w:t>Gap 3: Missing audience voices → Obj.3 + survey/FGDs</w:t>
      </w:r>
    </w:p>
    <w:p>
      <w:pPr>
        <w:pStyle w:val="ListBullet"/>
      </w:pPr>
      <w:r>
        <w:t>Gap 4: Undocumented economic impacts → Obj.2 + financial/document analysis</w:t>
      </w:r>
    </w:p>
    <w:p>
      <w:pPr>
        <w:pStyle w:val="ListBullet"/>
      </w:pPr>
      <w:r>
        <w:t>Gap 5: No comparative perspective → benchmarking mini-cases</w:t>
      </w:r>
    </w:p>
    <w:p>
      <w:pPr>
        <w:pStyle w:val="Heading2"/>
      </w:pPr>
      <w:r>
        <w:t>Editorial notes for the researcher (before submission)</w:t>
      </w:r>
    </w:p>
    <w:p>
      <w:pPr>
        <w:pStyle w:val="ListNumber"/>
      </w:pPr>
      <w:r>
        <w:t>Several in-text citations lack full references (flagged [VERIFY] in References.md) — complete these before defence.</w:t>
      </w:r>
    </w:p>
    <w:p>
      <w:pPr>
        <w:pStyle w:val="ListNumber"/>
      </w:pPr>
      <w:r>
        <w:t>Consider adding 2024–2026 sources (RSF 2024/2025, DataReportal 2024/2025, recent ACME reports) so a 40th-anniversary study doesn't rely on 2023 data.</w:t>
      </w:r>
    </w:p>
    <w:p>
      <w:pPr>
        <w:pStyle w:val="ListNumber"/>
      </w:pPr>
      <w:r>
        <w:t>Your §2.9 gaps are excellent — keep them verbatim; Chapters 1, 3, 4, 5 in this repo all quote them.</w:t>
      </w:r>
    </w:p>
    <w:p>
      <w:r>
        <w:br w:type="page"/>
      </w:r>
    </w:p>
    <w:p>
      <w:pPr>
        <w:pStyle w:val="Heading1"/>
      </w:pPr>
      <w:r>
        <w:t>CHAPTER THREE: RESEARCH METHODOLOGY (PILOT STUDY)</w:t>
      </w:r>
    </w:p>
    <w:p>
      <w:r>
        <w:rPr>
          <w:b/>
        </w:rPr>
        <w:t>Research Topic: Assessing the Impacts of New Vision Over the Past 40 Years of Its Existence (1986–2026)</w:t>
      </w:r>
    </w:p>
    <w:p>
      <w:pPr>
        <w:ind w:left="480"/>
      </w:pPr>
      <w:r>
        <w:rPr>
          <w:b/>
          <w:i/>
        </w:rPr>
        <w:t>Status:</w:t>
      </w:r>
      <w:r>
        <w:rPr>
          <w:i/>
        </w:rPr>
        <w:t xml:space="preserve"> PILOT-SCALE revision — matches your confirmed design: </w:t>
      </w:r>
      <w:r>
        <w:rPr>
          <w:b/>
          <w:i/>
        </w:rPr>
        <w:t>100 editions, n=40 survey, 3 interviews, public/secondary sources only</w:t>
      </w:r>
      <w:r>
        <w:rPr>
          <w:i/>
        </w:rPr>
        <w:t xml:space="preserve"> (no New Vision archive/staff access).</w:t>
      </w:r>
    </w:p>
    <w:p>
      <w:pPr>
        <w:ind w:left="480"/>
      </w:pPr>
      <w:r>
        <w:rPr>
          <w:b/>
          <w:i/>
        </w:rPr>
        <w:t>University format:</w:t>
      </w:r>
      <w:r>
        <w:rPr>
          <w:i/>
        </w:rPr>
        <w:t xml:space="preserve"> UCU/KIU structure; APA style (confirm 6th vs 7th with your department — draft uses 7th).</w:t>
      </w:r>
    </w:p>
    <w:p>
      <w:pPr>
        <w:ind w:left="480"/>
      </w:pPr>
      <w:r>
        <w:rPr>
          <w:i/>
        </w:rPr>
        <w:t xml:space="preserve">Written in </w:t>
      </w:r>
      <w:r>
        <w:rPr>
          <w:b/>
          <w:i/>
        </w:rPr>
        <w:t>future tense</w:t>
      </w:r>
      <w:r>
        <w:rPr>
          <w:i/>
        </w:rPr>
        <w:t xml:space="preserve"> for the proposal; switch to past tense after fieldwork.</w:t>
      </w:r>
    </w:p>
    <w:p>
      <w:pPr>
        <w:ind w:left="480"/>
      </w:pPr>
      <w:r>
        <w:rPr>
          <w:i/>
        </w:rPr>
        <w:t>The earlier full-scale design (1,460 editions, n=768, 35–45 KIIs) is retained in git history as the roadmap for a future full study.</w:t>
      </w:r>
    </w:p>
    <w:p>
      <w:pPr>
        <w:pStyle w:val="Heading2"/>
      </w:pPr>
      <w:r>
        <w:t>3.1 Introduction</w:t>
      </w:r>
    </w:p>
    <w:p>
      <w:r>
        <w:t xml:space="preserve">This chapter describes a </w:t>
      </w:r>
      <w:r>
        <w:rPr>
          <w:b/>
        </w:rPr>
        <w:t>pilot-scale mixed-methods assessment</w:t>
      </w:r>
      <w:r>
        <w:t xml:space="preserve"> of New Vision's 40-year impacts. A pilot is the honest and defensible choice here: with no guaranteed access to New Vision's archives or staff, this study demonstrates feasibility, tests all instruments, and produces </w:t>
      </w:r>
      <w:r>
        <w:rPr>
          <w:b/>
        </w:rPr>
        <w:t>preliminary findings from public and secondary sources</w:t>
      </w:r>
      <w:r>
        <w:t xml:space="preserve"> plus small primary samples. Chapter Four therefore reports pilot results with explicit confidence limits, and Chapter Five includes a roadmap for scaling to the full study.</w:t>
      </w:r>
    </w:p>
    <w:p>
      <w:r>
        <w:t xml:space="preserve">The design still answers the same four objectives (political, economic, social, digital impacts) and still traces every method to the Chapter Two theories and gaps (see Table 3.1), but each component is sized for </w:t>
      </w:r>
      <w:r>
        <w:rPr>
          <w:b/>
        </w:rPr>
        <w:t>one researcher, 8–12 weeks, zero institutional access, minimal budget</w:t>
      </w:r>
      <w:r>
        <w:t>.</w:t>
      </w:r>
    </w:p>
    <w:p>
      <w:r>
        <w:rPr>
          <w:b/>
        </w:rPr>
        <w:t>Table 3.1: Traceability — Chapter Two → pilot methods (public sources 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r>
            <w:r>
              <w:rPr>
                <w:b/>
                <w:sz w:val="20"/>
              </w:rPr>
              <w:t>Ch.2 Theory / Gap</w:t>
            </w:r>
          </w:p>
        </w:tc>
        <w:tc>
          <w:tcPr>
            <w:tcW w:type="dxa" w:w="1728"/>
          </w:tcPr>
          <w:p>
            <w:r>
              <w:rPr>
                <w:b/>
                <w:sz w:val="20"/>
              </w:rPr>
            </w:r>
            <w:r>
              <w:rPr>
                <w:b/>
                <w:sz w:val="20"/>
              </w:rPr>
              <w:t>Objective</w:t>
            </w:r>
          </w:p>
        </w:tc>
        <w:tc>
          <w:tcPr>
            <w:tcW w:type="dxa" w:w="1728"/>
          </w:tcPr>
          <w:p>
            <w:r>
              <w:rPr>
                <w:b/>
                <w:sz w:val="20"/>
              </w:rPr>
            </w:r>
            <w:r>
              <w:rPr>
                <w:b/>
                <w:sz w:val="20"/>
              </w:rPr>
              <w:t>Pilot method</w:t>
            </w:r>
          </w:p>
        </w:tc>
        <w:tc>
          <w:tcPr>
            <w:tcW w:type="dxa" w:w="1728"/>
          </w:tcPr>
          <w:p>
            <w:r>
              <w:rPr>
                <w:b/>
                <w:sz w:val="20"/>
              </w:rPr>
            </w:r>
            <w:r>
              <w:rPr>
                <w:b/>
                <w:sz w:val="20"/>
              </w:rPr>
              <w:t>Source (no access needed)</w:t>
            </w:r>
          </w:p>
        </w:tc>
        <w:tc>
          <w:tcPr>
            <w:tcW w:type="dxa" w:w="1728"/>
          </w:tcPr>
          <w:p>
            <w:r>
              <w:rPr>
                <w:b/>
                <w:sz w:val="20"/>
              </w:rPr>
            </w:r>
            <w:r>
              <w:rPr>
                <w:b/>
                <w:sz w:val="20"/>
              </w:rPr>
              <w:t>Ch.4 Section</w:t>
            </w:r>
          </w:p>
        </w:tc>
      </w:tr>
      <w:tr>
        <w:tc>
          <w:tcPr>
            <w:tcW w:type="dxa" w:w="1728"/>
          </w:tcPr>
          <w:p>
            <w:r>
              <w:rPr>
                <w:sz w:val="20"/>
              </w:rPr>
            </w:r>
            <w:r>
              <w:rPr>
                <w:sz w:val="20"/>
              </w:rPr>
              <w:t>Agenda-Setting L1 + Framing (Entman) (§2.2.2, §2.2.4); Gap 1</w:t>
            </w:r>
          </w:p>
        </w:tc>
        <w:tc>
          <w:tcPr>
            <w:tcW w:type="dxa" w:w="1728"/>
          </w:tcPr>
          <w:p>
            <w:r>
              <w:rPr>
                <w:sz w:val="20"/>
              </w:rPr>
            </w:r>
            <w:r>
              <w:rPr>
                <w:sz w:val="20"/>
              </w:rPr>
              <w:t>Obj. 1 (political)</w:t>
            </w:r>
          </w:p>
        </w:tc>
        <w:tc>
          <w:tcPr>
            <w:tcW w:type="dxa" w:w="1728"/>
          </w:tcPr>
          <w:p>
            <w:r>
              <w:rPr>
                <w:sz w:val="20"/>
              </w:rPr>
            </w:r>
            <w:r>
              <w:rPr>
                <w:sz w:val="20"/>
              </w:rPr>
              <w:t xml:space="preserve">Content analysis of </w:t>
            </w:r>
            <w:r>
              <w:rPr>
                <w:b/>
                <w:sz w:val="20"/>
              </w:rPr>
              <w:t>100 editions</w:t>
            </w:r>
            <w:r>
              <w:rPr>
                <w:sz w:val="20"/>
              </w:rPr>
              <w:t xml:space="preserve"> (25/decade) + ACME secondary data</w:t>
            </w:r>
          </w:p>
        </w:tc>
        <w:tc>
          <w:tcPr>
            <w:tcW w:type="dxa" w:w="1728"/>
          </w:tcPr>
          <w:p>
            <w:r>
              <w:rPr>
                <w:sz w:val="20"/>
              </w:rPr>
            </w:r>
            <w:r>
              <w:rPr>
                <w:sz w:val="20"/>
              </w:rPr>
              <w:t>University/public library bound volumes; newvision.co.ug; Wayback Machine; AllAfrica reprints; ACME 2016 &amp; 2021 election reports</w:t>
            </w:r>
          </w:p>
        </w:tc>
        <w:tc>
          <w:tcPr>
            <w:tcW w:type="dxa" w:w="1728"/>
          </w:tcPr>
          <w:p>
            <w:r>
              <w:rPr>
                <w:sz w:val="20"/>
              </w:rPr>
            </w:r>
            <w:r>
              <w:rPr>
                <w:sz w:val="20"/>
              </w:rPr>
              <w:t>§4.3</w:t>
            </w:r>
          </w:p>
        </w:tc>
      </w:tr>
      <w:tr>
        <w:tc>
          <w:tcPr>
            <w:tcW w:type="dxa" w:w="1728"/>
          </w:tcPr>
          <w:p>
            <w:r>
              <w:rPr>
                <w:sz w:val="20"/>
              </w:rPr>
            </w:r>
            <w:r>
              <w:rPr>
                <w:sz w:val="20"/>
              </w:rPr>
              <w:t>Political Economy (§2.2.3)</w:t>
            </w:r>
          </w:p>
        </w:tc>
        <w:tc>
          <w:tcPr>
            <w:tcW w:type="dxa" w:w="1728"/>
          </w:tcPr>
          <w:p>
            <w:r>
              <w:rPr>
                <w:sz w:val="20"/>
              </w:rPr>
            </w:r>
            <w:r>
              <w:rPr>
                <w:sz w:val="20"/>
              </w:rPr>
              <w:t>Obj. 1–2</w:t>
            </w:r>
          </w:p>
        </w:tc>
        <w:tc>
          <w:tcPr>
            <w:tcW w:type="dxa" w:w="1728"/>
          </w:tcPr>
          <w:p>
            <w:r>
              <w:rPr>
                <w:sz w:val="20"/>
              </w:rPr>
            </w:r>
            <w:r>
              <w:rPr>
                <w:sz w:val="20"/>
              </w:rPr>
              <w:t>3 KIIs + document review</w:t>
            </w:r>
          </w:p>
        </w:tc>
        <w:tc>
          <w:tcPr>
            <w:tcW w:type="dxa" w:w="1728"/>
          </w:tcPr>
          <w:p>
            <w:r>
              <w:rPr>
                <w:sz w:val="20"/>
              </w:rPr>
            </w:r>
            <w:r>
              <w:rPr>
                <w:sz w:val="20"/>
              </w:rPr>
              <w:t>Journalism lecturer; veteran/retired journalist; media-NGO officer; USE filings (public); press-freedom datasets (RSF)</w:t>
            </w:r>
          </w:p>
        </w:tc>
        <w:tc>
          <w:tcPr>
            <w:tcW w:type="dxa" w:w="1728"/>
          </w:tcPr>
          <w:p>
            <w:r>
              <w:rPr>
                <w:sz w:val="20"/>
              </w:rPr>
            </w:r>
            <w:r>
              <w:rPr>
                <w:sz w:val="20"/>
              </w:rPr>
              <w:t>§4.3–4.4</w:t>
            </w:r>
          </w:p>
        </w:tc>
      </w:tr>
      <w:tr>
        <w:tc>
          <w:tcPr>
            <w:tcW w:type="dxa" w:w="1728"/>
          </w:tcPr>
          <w:p>
            <w:r>
              <w:rPr>
                <w:sz w:val="20"/>
              </w:rPr>
            </w:r>
            <w:r>
              <w:rPr>
                <w:sz w:val="20"/>
              </w:rPr>
              <w:t>Media economics (Picard; Doyle) (§2.6); Gap 4</w:t>
            </w:r>
          </w:p>
        </w:tc>
        <w:tc>
          <w:tcPr>
            <w:tcW w:type="dxa" w:w="1728"/>
          </w:tcPr>
          <w:p>
            <w:r>
              <w:rPr>
                <w:sz w:val="20"/>
              </w:rPr>
            </w:r>
            <w:r>
              <w:rPr>
                <w:sz w:val="20"/>
              </w:rPr>
              <w:t>Obj. 2 (economic)</w:t>
            </w:r>
          </w:p>
        </w:tc>
        <w:tc>
          <w:tcPr>
            <w:tcW w:type="dxa" w:w="1728"/>
          </w:tcPr>
          <w:p>
            <w:r>
              <w:rPr>
                <w:sz w:val="20"/>
              </w:rPr>
            </w:r>
            <w:r>
              <w:rPr>
                <w:sz w:val="20"/>
              </w:rPr>
              <w:t>Desk review + KII + survey items</w:t>
            </w:r>
          </w:p>
        </w:tc>
        <w:tc>
          <w:tcPr>
            <w:tcW w:type="dxa" w:w="1728"/>
          </w:tcPr>
          <w:p>
            <w:r>
              <w:rPr>
                <w:sz w:val="20"/>
              </w:rPr>
            </w:r>
            <w:r>
              <w:rPr>
                <w:sz w:val="20"/>
              </w:rPr>
              <w:t>Circulation audits (public); USE/NVL disclosures; rate cards (public); library holdings</w:t>
            </w:r>
          </w:p>
        </w:tc>
        <w:tc>
          <w:tcPr>
            <w:tcW w:type="dxa" w:w="1728"/>
          </w:tcPr>
          <w:p>
            <w:r>
              <w:rPr>
                <w:sz w:val="20"/>
              </w:rPr>
            </w:r>
            <w:r>
              <w:rPr>
                <w:sz w:val="20"/>
              </w:rPr>
              <w:t>§4.4</w:t>
            </w:r>
          </w:p>
        </w:tc>
      </w:tr>
      <w:tr>
        <w:tc>
          <w:tcPr>
            <w:tcW w:type="dxa" w:w="1728"/>
          </w:tcPr>
          <w:p>
            <w:r>
              <w:rPr>
                <w:sz w:val="20"/>
              </w:rPr>
            </w:r>
            <w:r>
              <w:rPr>
                <w:sz w:val="20"/>
              </w:rPr>
              <w:t>Development Media Theory (§2.2.1, §2.8); Gap 3</w:t>
            </w:r>
          </w:p>
        </w:tc>
        <w:tc>
          <w:tcPr>
            <w:tcW w:type="dxa" w:w="1728"/>
          </w:tcPr>
          <w:p>
            <w:r>
              <w:rPr>
                <w:sz w:val="20"/>
              </w:rPr>
            </w:r>
            <w:r>
              <w:rPr>
                <w:sz w:val="20"/>
              </w:rPr>
              <w:t>Obj. 3 (social)</w:t>
            </w:r>
          </w:p>
        </w:tc>
        <w:tc>
          <w:tcPr>
            <w:tcW w:type="dxa" w:w="1728"/>
          </w:tcPr>
          <w:p>
            <w:r>
              <w:rPr>
                <w:sz w:val="20"/>
              </w:rPr>
            </w:r>
            <w:r>
              <w:rPr>
                <w:sz w:val="20"/>
              </w:rPr>
              <w:t>Thematic coding (health/education/unity items within the 100) + survey + KII</w:t>
            </w:r>
          </w:p>
        </w:tc>
        <w:tc>
          <w:tcPr>
            <w:tcW w:type="dxa" w:w="1728"/>
          </w:tcPr>
          <w:p>
            <w:r>
              <w:rPr>
                <w:sz w:val="20"/>
              </w:rPr>
            </w:r>
            <w:r>
              <w:rPr>
                <w:sz w:val="20"/>
              </w:rPr>
              <w:t>Same 100 editions; survey Sec. C; health/education recall questions</w:t>
            </w:r>
          </w:p>
        </w:tc>
        <w:tc>
          <w:tcPr>
            <w:tcW w:type="dxa" w:w="1728"/>
          </w:tcPr>
          <w:p>
            <w:r>
              <w:rPr>
                <w:sz w:val="20"/>
              </w:rPr>
            </w:r>
            <w:r>
              <w:rPr>
                <w:sz w:val="20"/>
              </w:rPr>
              <w:t>§4.5</w:t>
            </w:r>
          </w:p>
        </w:tc>
      </w:tr>
      <w:tr>
        <w:tc>
          <w:tcPr>
            <w:tcW w:type="dxa" w:w="1728"/>
          </w:tcPr>
          <w:p>
            <w:r>
              <w:rPr>
                <w:sz w:val="20"/>
              </w:rPr>
            </w:r>
            <w:r>
              <w:rPr>
                <w:sz w:val="20"/>
              </w:rPr>
              <w:t>Uses &amp; Gratifications (§2.2.5); Gap 3</w:t>
            </w:r>
          </w:p>
        </w:tc>
        <w:tc>
          <w:tcPr>
            <w:tcW w:type="dxa" w:w="1728"/>
          </w:tcPr>
          <w:p>
            <w:r>
              <w:rPr>
                <w:sz w:val="20"/>
              </w:rPr>
            </w:r>
            <w:r>
              <w:rPr>
                <w:sz w:val="20"/>
              </w:rPr>
              <w:t>Obj. 1–3</w:t>
            </w:r>
          </w:p>
        </w:tc>
        <w:tc>
          <w:tcPr>
            <w:tcW w:type="dxa" w:w="1728"/>
          </w:tcPr>
          <w:p>
            <w:r>
              <w:rPr>
                <w:sz w:val="20"/>
              </w:rPr>
            </w:r>
            <w:r>
              <w:rPr>
                <w:sz w:val="20"/>
              </w:rPr>
              <w:t xml:space="preserve">Audience survey </w:t>
            </w:r>
            <w:r>
              <w:rPr>
                <w:b/>
                <w:sz w:val="20"/>
              </w:rPr>
              <w:t>n=40</w:t>
            </w:r>
          </w:p>
        </w:tc>
        <w:tc>
          <w:tcPr>
            <w:tcW w:type="dxa" w:w="1728"/>
          </w:tcPr>
          <w:p>
            <w:r>
              <w:rPr>
                <w:sz w:val="20"/>
              </w:rPr>
            </w:r>
            <w:r>
              <w:rPr>
                <w:sz w:val="20"/>
              </w:rPr>
              <w:t>Face-to-face, Kampala + 1 up-country district (markets, stages, campuses)</w:t>
            </w:r>
          </w:p>
        </w:tc>
        <w:tc>
          <w:tcPr>
            <w:tcW w:type="dxa" w:w="1728"/>
          </w:tcPr>
          <w:p>
            <w:r>
              <w:rPr>
                <w:sz w:val="20"/>
              </w:rPr>
            </w:r>
            <w:r>
              <w:rPr>
                <w:sz w:val="20"/>
              </w:rPr>
              <w:t>§4.3–4.5</w:t>
            </w:r>
          </w:p>
        </w:tc>
      </w:tr>
      <w:tr>
        <w:tc>
          <w:tcPr>
            <w:tcW w:type="dxa" w:w="1728"/>
          </w:tcPr>
          <w:p>
            <w:r>
              <w:rPr>
                <w:sz w:val="20"/>
              </w:rPr>
            </w:r>
            <w:r>
              <w:rPr>
                <w:sz w:val="20"/>
              </w:rPr>
              <w:t>Digital transformation (§2.7); Gap 2</w:t>
            </w:r>
          </w:p>
        </w:tc>
        <w:tc>
          <w:tcPr>
            <w:tcW w:type="dxa" w:w="1728"/>
          </w:tcPr>
          <w:p>
            <w:r>
              <w:rPr>
                <w:sz w:val="20"/>
              </w:rPr>
            </w:r>
            <w:r>
              <w:rPr>
                <w:sz w:val="20"/>
              </w:rPr>
              <w:t>Obj. 4 (digital)</w:t>
            </w:r>
          </w:p>
        </w:tc>
        <w:tc>
          <w:tcPr>
            <w:tcW w:type="dxa" w:w="1728"/>
          </w:tcPr>
          <w:p>
            <w:r>
              <w:rPr>
                <w:sz w:val="20"/>
              </w:rPr>
            </w:r>
            <w:r>
              <w:rPr>
                <w:sz w:val="20"/>
              </w:rPr>
              <w:t>Desk metrics + mini platform audit + survey module</w:t>
            </w:r>
          </w:p>
        </w:tc>
        <w:tc>
          <w:tcPr>
            <w:tcW w:type="dxa" w:w="1728"/>
          </w:tcPr>
          <w:p>
            <w:r>
              <w:rPr>
                <w:sz w:val="20"/>
              </w:rPr>
            </w:r>
            <w:r>
              <w:rPr>
                <w:sz w:val="20"/>
              </w:rPr>
              <w:t>DataReportal 2023–2025; live follower/engagement capture (public pages); survey Sec. D</w:t>
            </w:r>
          </w:p>
        </w:tc>
        <w:tc>
          <w:tcPr>
            <w:tcW w:type="dxa" w:w="1728"/>
          </w:tcPr>
          <w:p>
            <w:r>
              <w:rPr>
                <w:sz w:val="20"/>
              </w:rPr>
            </w:r>
            <w:r>
              <w:rPr>
                <w:sz w:val="20"/>
              </w:rPr>
              <w:t>§4.6</w:t>
            </w:r>
          </w:p>
        </w:tc>
      </w:tr>
      <w:tr>
        <w:tc>
          <w:tcPr>
            <w:tcW w:type="dxa" w:w="1728"/>
          </w:tcPr>
          <w:p>
            <w:r>
              <w:rPr>
                <w:sz w:val="20"/>
              </w:rPr>
            </w:r>
            <w:r>
              <w:rPr>
                <w:sz w:val="20"/>
              </w:rPr>
              <w:t>Comparison (§2.3); Gap 5</w:t>
            </w:r>
          </w:p>
        </w:tc>
        <w:tc>
          <w:tcPr>
            <w:tcW w:type="dxa" w:w="1728"/>
          </w:tcPr>
          <w:p>
            <w:r>
              <w:rPr>
                <w:sz w:val="20"/>
              </w:rPr>
            </w:r>
            <w:r>
              <w:rPr>
                <w:sz w:val="20"/>
              </w:rPr>
              <w:t>All</w:t>
            </w:r>
          </w:p>
        </w:tc>
        <w:tc>
          <w:tcPr>
            <w:tcW w:type="dxa" w:w="1728"/>
          </w:tcPr>
          <w:p>
            <w:r>
              <w:rPr>
                <w:sz w:val="20"/>
              </w:rPr>
            </w:r>
            <w:r>
              <w:rPr>
                <w:sz w:val="20"/>
              </w:rPr>
              <w:t>Mini desk comparison (Kenya + Tanzania or Ghana)</w:t>
            </w:r>
          </w:p>
        </w:tc>
        <w:tc>
          <w:tcPr>
            <w:tcW w:type="dxa" w:w="1728"/>
          </w:tcPr>
          <w:p>
            <w:r>
              <w:rPr>
                <w:sz w:val="20"/>
              </w:rPr>
            </w:r>
            <w:r>
              <w:rPr>
                <w:sz w:val="20"/>
              </w:rPr>
              <w:t>Barometer/RSF/AMI reports (public)</w:t>
            </w:r>
          </w:p>
        </w:tc>
        <w:tc>
          <w:tcPr>
            <w:tcW w:type="dxa" w:w="1728"/>
          </w:tcPr>
          <w:p>
            <w:r>
              <w:rPr>
                <w:sz w:val="20"/>
              </w:rPr>
            </w:r>
            <w:r>
              <w:rPr>
                <w:sz w:val="20"/>
              </w:rPr>
              <w:t>§4.7</w:t>
            </w:r>
          </w:p>
        </w:tc>
      </w:tr>
    </w:tbl>
    <w:p/>
    <w:p>
      <w:pPr>
        <w:pStyle w:val="Heading2"/>
      </w:pPr>
      <w:r>
        <w:t>3.2 Research Design</w:t>
      </w:r>
    </w:p>
    <w:p>
      <w:r>
        <w:t xml:space="preserve">The study adopts a </w:t>
      </w:r>
      <w:r>
        <w:rPr>
          <w:b/>
        </w:rPr>
        <w:t>convergent mixed-methods pilot case-study design</w:t>
      </w:r>
      <w:r>
        <w:t xml:space="preserve"> (Creswell &amp; Creswell, 2018; Yin, 2018): small quantitative components (100-edition content coding; n=40 survey) collected alongside qualitative depth (3 KIIs; open-ended survey items; document analysis), then triangulated. The logic is </w:t>
      </w:r>
      <w:r>
        <w:rPr>
          <w:b/>
        </w:rPr>
        <w:t>retrospective longitudinal reconstruction</w:t>
      </w:r>
      <w:r>
        <w:t>: four decade-strata (1986–1995; 1996–2005; 2006–2015; 2016–2026) sampled from whatever public holdings exist, with coverage rates transparently reported. Election windows (1996, 2001, 2006, 2011, 2016, 2021) are purposively included where holdings allow, supplemented by ACME's published monitoring datasets as secondary content evidence (ACME, 2016, 2021).</w:t>
      </w:r>
    </w:p>
    <w:p>
      <w:r>
        <w:rPr>
          <w:b/>
        </w:rPr>
        <w:t>Philosophy:</w:t>
      </w:r>
      <w:r>
        <w:t xml:space="preserve"> pragmatist — best-available-evidence answers from multiple paradigms, with claims calibrated to pilot sample sizes (descriptive, not inferential).</w:t>
      </w:r>
    </w:p>
    <w:p>
      <w:pPr>
        <w:pStyle w:val="Heading2"/>
      </w:pPr>
      <w:r>
        <w:t>3.3 Study Area</w:t>
      </w:r>
    </w:p>
    <w:p>
      <w:pPr>
        <w:pStyle w:val="ListBullet"/>
      </w:pPr>
      <w:r>
        <w:rPr>
          <w:b/>
        </w:rPr>
        <w:t>Desk/content work:</w:t>
      </w:r>
      <w:r>
        <w:t xml:space="preserve"> Kampala-based public holdings — university libraries with New Vision bound volumes (researcher's own university library first; Makerere Africana and national/public libraries as backup), plus online sources (newvision.co.ug, Wayback Machine, AllAfrica).</w:t>
      </w:r>
    </w:p>
    <w:p>
      <w:pPr>
        <w:pStyle w:val="ListBullet"/>
      </w:pPr>
      <w:r>
        <w:rPr>
          <w:b/>
        </w:rPr>
        <w:t>Survey (n=40):</w:t>
      </w:r>
      <w:r>
        <w:t xml:space="preserve"> Kampala (n=25: e.g., campus + market/taxi-stage catchment) and </w:t>
      </w:r>
      <w:r>
        <w:rPr>
          <w:b/>
        </w:rPr>
        <w:t>one up-country district</w:t>
      </w:r>
      <w:r>
        <w:t xml:space="preserve"> accessible to the researcher (n=15: trading centre + village). Exact sites to be named in the final thesis.</w:t>
      </w:r>
    </w:p>
    <w:p>
      <w:pPr>
        <w:pStyle w:val="ListBullet"/>
      </w:pPr>
      <w:r>
        <w:rPr>
          <w:b/>
        </w:rPr>
        <w:t>KIIs (3):</w:t>
      </w:r>
      <w:r>
        <w:t xml:space="preserve"> Kampala (in person or phone/Zoom).</w:t>
      </w:r>
    </w:p>
    <w:p>
      <w:pPr>
        <w:pStyle w:val="Heading2"/>
      </w:pPr>
      <w:r>
        <w:t>3.4 Study Population</w:t>
      </w:r>
    </w:p>
    <w:p>
      <w:pPr>
        <w:pStyle w:val="ListNumber"/>
      </w:pPr>
      <w:r>
        <w:t>Publicly accessible New Vision content universe (library holdings + online + archived + legitimately republished).</w:t>
      </w:r>
    </w:p>
    <w:p>
      <w:pPr>
        <w:pStyle w:val="ListNumber"/>
      </w:pPr>
      <w:r>
        <w:t>Ugandan adults (18+) in the two survey sites who have ever regularly used any New Vision platform.</w:t>
      </w:r>
    </w:p>
    <w:p>
      <w:pPr>
        <w:pStyle w:val="ListNumber"/>
      </w:pPr>
      <w:r>
        <w:t xml:space="preserve">Publicly reachable expert informants (academics, retired journalists, media-NGO staff — </w:t>
      </w:r>
      <w:r>
        <w:rPr>
          <w:b/>
        </w:rPr>
        <w:t>no current New Vision staff required</w:t>
      </w:r>
      <w:r>
        <w:t>).</w:t>
      </w:r>
    </w:p>
    <w:p>
      <w:pPr>
        <w:pStyle w:val="ListNumber"/>
      </w:pPr>
      <w:r>
        <w:t>Public documents: USE/NVL disclosures, circulation audits, rate cards, ACME/UMWA/RSF/DataReportal/AMI.Barometer publications.</w:t>
      </w:r>
    </w:p>
    <w:p>
      <w:pPr>
        <w:pStyle w:val="Heading2"/>
      </w:pPr>
      <w:r>
        <w:t>3.5 Sample Size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r>
            <w:r>
              <w:rPr>
                <w:b/>
                <w:sz w:val="20"/>
              </w:rPr>
              <w:t>Component</w:t>
            </w:r>
          </w:p>
        </w:tc>
        <w:tc>
          <w:tcPr>
            <w:tcW w:type="dxa" w:w="2880"/>
          </w:tcPr>
          <w:p>
            <w:r>
              <w:rPr>
                <w:b/>
                <w:sz w:val="20"/>
              </w:rPr>
            </w:r>
            <w:r>
              <w:rPr>
                <w:b/>
                <w:sz w:val="20"/>
              </w:rPr>
              <w:t>Pilot sample</w:t>
            </w:r>
          </w:p>
        </w:tc>
        <w:tc>
          <w:tcPr>
            <w:tcW w:type="dxa" w:w="2880"/>
          </w:tcPr>
          <w:p>
            <w:r>
              <w:rPr>
                <w:b/>
                <w:sz w:val="20"/>
              </w:rPr>
            </w:r>
            <w:r>
              <w:rPr>
                <w:b/>
                <w:sz w:val="20"/>
              </w:rPr>
              <w:t>Justification</w:t>
            </w:r>
          </w:p>
        </w:tc>
      </w:tr>
      <w:tr>
        <w:tc>
          <w:tcPr>
            <w:tcW w:type="dxa" w:w="2880"/>
          </w:tcPr>
          <w:p>
            <w:r>
              <w:rPr>
                <w:sz w:val="20"/>
              </w:rPr>
            </w:r>
            <w:r>
              <w:rPr>
                <w:sz w:val="20"/>
              </w:rPr>
              <w:t>Content analysis</w:t>
            </w:r>
          </w:p>
        </w:tc>
        <w:tc>
          <w:tcPr>
            <w:tcW w:type="dxa" w:w="2880"/>
          </w:tcPr>
          <w:p>
            <w:r>
              <w:rPr>
                <w:sz w:val="20"/>
              </w:rPr>
            </w:r>
            <w:r>
              <w:rPr>
                <w:b/>
                <w:sz w:val="20"/>
              </w:rPr>
              <w:t>100 editions</w:t>
            </w:r>
            <w:r>
              <w:rPr>
                <w:sz w:val="20"/>
              </w:rPr>
              <w:t xml:space="preserve"> (25 per decade: 5 years × 5 editions)</w:t>
            </w:r>
          </w:p>
        </w:tc>
        <w:tc>
          <w:tcPr>
            <w:tcW w:type="dxa" w:w="2880"/>
          </w:tcPr>
          <w:p>
            <w:r>
              <w:rPr>
                <w:sz w:val="20"/>
              </w:rPr>
            </w:r>
            <w:r>
              <w:rPr>
                <w:sz w:val="20"/>
              </w:rPr>
              <w:t>Largest feasible hand-coded sample for one researcher; adequate for descriptive decade comparisons with wide confidence intervals (reported as pilot estimates).</w:t>
            </w:r>
          </w:p>
        </w:tc>
      </w:tr>
      <w:tr>
        <w:tc>
          <w:tcPr>
            <w:tcW w:type="dxa" w:w="2880"/>
          </w:tcPr>
          <w:p>
            <w:r>
              <w:rPr>
                <w:sz w:val="20"/>
              </w:rPr>
            </w:r>
            <w:r>
              <w:rPr>
                <w:sz w:val="20"/>
              </w:rPr>
              <w:t>Audience survey</w:t>
            </w:r>
          </w:p>
        </w:tc>
        <w:tc>
          <w:tcPr>
            <w:tcW w:type="dxa" w:w="2880"/>
          </w:tcPr>
          <w:p>
            <w:r>
              <w:rPr>
                <w:sz w:val="20"/>
              </w:rPr>
            </w:r>
            <w:r>
              <w:rPr>
                <w:b/>
                <w:sz w:val="20"/>
              </w:rPr>
              <w:t>n=40</w:t>
            </w:r>
            <w:r>
              <w:rPr>
                <w:sz w:val="20"/>
              </w:rPr>
              <w:t xml:space="preserve"> (25 Kampala + 15 up-country)</w:t>
            </w:r>
          </w:p>
        </w:tc>
        <w:tc>
          <w:tcPr>
            <w:tcW w:type="dxa" w:w="2880"/>
          </w:tcPr>
          <w:p>
            <w:r>
              <w:rPr>
                <w:sz w:val="20"/>
              </w:rPr>
            </w:r>
            <w:r>
              <w:rPr>
                <w:sz w:val="20"/>
              </w:rPr>
              <w:t xml:space="preserve">Standard pilot-survey size; sufficient to test the instrument and report descriptive patterns. </w:t>
            </w:r>
            <w:r>
              <w:rPr>
                <w:b/>
                <w:sz w:val="20"/>
              </w:rPr>
              <w:t>No generalisation beyond the two sites.</w:t>
            </w:r>
          </w:p>
        </w:tc>
      </w:tr>
      <w:tr>
        <w:tc>
          <w:tcPr>
            <w:tcW w:type="dxa" w:w="2880"/>
          </w:tcPr>
          <w:p>
            <w:r>
              <w:rPr>
                <w:sz w:val="20"/>
              </w:rPr>
            </w:r>
            <w:r>
              <w:rPr>
                <w:sz w:val="20"/>
              </w:rPr>
              <w:t>KIIs</w:t>
            </w:r>
          </w:p>
        </w:tc>
        <w:tc>
          <w:tcPr>
            <w:tcW w:type="dxa" w:w="2880"/>
          </w:tcPr>
          <w:p>
            <w:r>
              <w:rPr>
                <w:sz w:val="20"/>
              </w:rPr>
            </w:r>
            <w:r>
              <w:rPr>
                <w:b/>
                <w:sz w:val="20"/>
              </w:rPr>
              <w:t>3</w:t>
            </w:r>
            <w:r>
              <w:rPr>
                <w:sz w:val="20"/>
              </w:rPr>
              <w:t xml:space="preserve"> (1 journalism lecturer; 1 veteran/retired journalist; 1 media-NGO officer)</w:t>
            </w:r>
          </w:p>
        </w:tc>
        <w:tc>
          <w:tcPr>
            <w:tcW w:type="dxa" w:w="2880"/>
          </w:tcPr>
          <w:p>
            <w:r>
              <w:rPr>
                <w:sz w:val="20"/>
              </w:rPr>
            </w:r>
            <w:r>
              <w:rPr>
                <w:sz w:val="20"/>
              </w:rPr>
              <w:t>Maximum-variation mini-panel covering scholarship, practice, and watchdog perspectives.</w:t>
            </w:r>
          </w:p>
        </w:tc>
      </w:tr>
      <w:tr>
        <w:tc>
          <w:tcPr>
            <w:tcW w:type="dxa" w:w="2880"/>
          </w:tcPr>
          <w:p>
            <w:r>
              <w:rPr>
                <w:sz w:val="20"/>
              </w:rPr>
            </w:r>
            <w:r>
              <w:rPr>
                <w:sz w:val="20"/>
              </w:rPr>
              <w:t>Documents</w:t>
            </w:r>
          </w:p>
        </w:tc>
        <w:tc>
          <w:tcPr>
            <w:tcW w:type="dxa" w:w="2880"/>
          </w:tcPr>
          <w:p>
            <w:r>
              <w:rPr>
                <w:sz w:val="20"/>
              </w:rPr>
            </w:r>
            <w:r>
              <w:rPr>
                <w:sz w:val="20"/>
              </w:rPr>
              <w:t xml:space="preserve">Census of </w:t>
            </w:r>
            <w:r>
              <w:rPr>
                <w:i/>
                <w:sz w:val="20"/>
              </w:rPr>
              <w:t>accessible</w:t>
            </w:r>
            <w:r>
              <w:rPr>
                <w:sz w:val="20"/>
              </w:rPr>
              <w:t xml:space="preserve"> public items (target: ≥15 substantive documents)</w:t>
            </w:r>
          </w:p>
        </w:tc>
        <w:tc>
          <w:tcPr>
            <w:tcW w:type="dxa" w:w="2880"/>
          </w:tcPr>
          <w:p>
            <w:r>
              <w:rPr>
                <w:sz w:val="20"/>
              </w:rPr>
            </w:r>
            <w:r>
              <w:rPr>
                <w:sz w:val="20"/>
              </w:rPr>
              <w:t>Availability sampling with a logged search trail.</w:t>
            </w:r>
          </w:p>
        </w:tc>
      </w:tr>
      <w:tr>
        <w:tc>
          <w:tcPr>
            <w:tcW w:type="dxa" w:w="2880"/>
          </w:tcPr>
          <w:p>
            <w:r>
              <w:rPr>
                <w:sz w:val="20"/>
              </w:rPr>
            </w:r>
            <w:r>
              <w:rPr>
                <w:sz w:val="20"/>
              </w:rPr>
              <w:t>Platform audit</w:t>
            </w:r>
          </w:p>
        </w:tc>
        <w:tc>
          <w:tcPr>
            <w:tcW w:type="dxa" w:w="2880"/>
          </w:tcPr>
          <w:p>
            <w:r>
              <w:rPr>
                <w:sz w:val="20"/>
              </w:rPr>
            </w:r>
            <w:r>
              <w:rPr>
                <w:sz w:val="20"/>
              </w:rPr>
              <w:t>1-week snapshot of New Vision's public Facebook, X, YouTube (+ website) vs. 1 comparator</w:t>
            </w:r>
          </w:p>
        </w:tc>
        <w:tc>
          <w:tcPr>
            <w:tcW w:type="dxa" w:w="2880"/>
          </w:tcPr>
          <w:p>
            <w:r>
              <w:rPr>
                <w:sz w:val="20"/>
              </w:rPr>
            </w:r>
            <w:r>
              <w:rPr>
                <w:sz w:val="20"/>
              </w:rPr>
              <w:t>Demonstrates the audit protocol for the full study.</w:t>
            </w:r>
          </w:p>
        </w:tc>
      </w:tr>
    </w:tbl>
    <w:p/>
    <w:p>
      <w:pPr>
        <w:pStyle w:val="Heading2"/>
      </w:pPr>
      <w:r>
        <w:t>3.6 Sampling Techniques and Procedures</w:t>
      </w:r>
    </w:p>
    <w:p>
      <w:pPr>
        <w:pStyle w:val="Heading3"/>
      </w:pPr>
      <w:r>
        <w:t>3.6.1 Content sample (100 editions) — stratified purposive with public-source protocol</w:t>
      </w:r>
    </w:p>
    <w:p>
      <w:pPr>
        <w:pStyle w:val="ListNumber"/>
      </w:pPr>
      <w:r>
        <w:rPr>
          <w:b/>
        </w:rPr>
        <w:t>Stratify by decade</w:t>
      </w:r>
      <w:r>
        <w:t xml:space="preserve"> (25 each). Within each decade, select </w:t>
      </w:r>
      <w:r>
        <w:rPr>
          <w:b/>
        </w:rPr>
        <w:t>5 sample years</w:t>
      </w:r>
      <w:r>
        <w:t xml:space="preserve"> spread across the decade </w:t>
      </w:r>
      <w:r>
        <w:rPr>
          <w:b/>
        </w:rPr>
        <w:t>plus</w:t>
      </w:r>
      <w:r>
        <w:t xml:space="preserve"> any election year falling in it (e.g., Decade 2: 1996, 1998, 2000, 2002, 2005).</w:t>
      </w:r>
    </w:p>
    <w:p>
      <w:pPr>
        <w:pStyle w:val="ListNumber"/>
      </w:pPr>
      <w:r>
        <w:t xml:space="preserve">Within each sample year, select </w:t>
      </w:r>
      <w:r>
        <w:rPr>
          <w:b/>
        </w:rPr>
        <w:t>5 editions</w:t>
      </w:r>
      <w:r>
        <w:t xml:space="preserve"> on fixed constructed days (e.g., 2nd Monday of Jan/Apr/Jul/Oct + 1 election-month front page where applicable). If the exact date is unavailable, take the nearest available edition and </w:t>
      </w:r>
      <w:r>
        <w:rPr>
          <w:b/>
        </w:rPr>
        <w:t>log the substitution</w:t>
      </w:r>
      <w:r>
        <w:t>.</w:t>
      </w:r>
    </w:p>
    <w:p>
      <w:pPr>
        <w:pStyle w:val="ListNumber"/>
      </w:pPr>
      <w:r>
        <w:rPr>
          <w:b/>
        </w:rPr>
        <w:t>Source ladder (use in this order; log which rung each edition came from):</w:t>
      </w:r>
    </w:p>
    <w:p>
      <w:pPr>
        <w:pStyle w:val="ListBullet"/>
      </w:pPr>
      <w:r>
        <w:rPr>
          <w:b/>
        </w:rPr>
        <w:t>Rung 1 — Library bound volumes</w:t>
      </w:r>
      <w:r>
        <w:t xml:space="preserve"> (primary for 1986–2005): researcher's university library → Makerere Africana → public/national libraries. Photograph/scan front page + editorials + sampled inside pages (permission permitting; for fair-dealing research use).</w:t>
      </w:r>
    </w:p>
    <w:p>
      <w:pPr>
        <w:pStyle w:val="ListBullet"/>
      </w:pPr>
      <w:r>
        <w:rPr>
          <w:b/>
        </w:rPr>
        <w:t>Rung 2 — Wayback Machine</w:t>
      </w:r>
      <w:r>
        <w:t xml:space="preserve"> (</w:t>
      </w:r>
      <w:r>
        <w:rPr>
          <w:rFonts w:ascii="Courier New" w:hAnsi="Courier New"/>
          <w:sz w:val="20"/>
        </w:rPr>
        <w:t>web.archive.org</w:t>
      </w:r>
      <w:r>
        <w:t xml:space="preserve">, domain </w:t>
      </w:r>
      <w:r>
        <w:rPr>
          <w:rFonts w:ascii="Courier New" w:hAnsi="Courier New"/>
          <w:sz w:val="20"/>
        </w:rPr>
        <w:t>newvision.co.ug</w:t>
      </w:r>
      <w:r>
        <w:t>) for 2000s–2020s: pick archived snapshots nearest the target dates; capture homepage + top 10 stories.</w:t>
      </w:r>
    </w:p>
    <w:p>
      <w:pPr>
        <w:pStyle w:val="ListBullet"/>
      </w:pPr>
      <w:r>
        <w:rPr>
          <w:b/>
        </w:rPr>
        <w:t>Rung 3 — Live website archive/search</w:t>
      </w:r>
      <w:r>
        <w:t xml:space="preserve"> (</w:t>
      </w:r>
      <w:r>
        <w:rPr>
          <w:rFonts w:ascii="Courier New" w:hAnsi="Courier New"/>
          <w:sz w:val="20"/>
        </w:rPr>
        <w:t>newvision.co.ug</w:t>
      </w:r>
      <w:r>
        <w:t>) for recent years: sample via site search/date filters.</w:t>
      </w:r>
    </w:p>
    <w:p>
      <w:pPr>
        <w:pStyle w:val="ListBullet"/>
      </w:pPr>
      <w:r>
        <w:rPr>
          <w:b/>
        </w:rPr>
        <w:t>Rung 4 — AllAfrica.com and Google-indexed reprints</w:t>
      </w:r>
      <w:r>
        <w:t xml:space="preserve"> of New Vision stories to fill thematic gaps (code as </w:t>
      </w:r>
      <w:r>
        <w:rPr>
          <w:i/>
        </w:rPr>
        <w:t>reprint</w:t>
      </w:r>
      <w:r>
        <w:t>, not edition).</w:t>
      </w:r>
    </w:p>
    <w:p>
      <w:pPr>
        <w:pStyle w:val="ListBullet"/>
      </w:pPr>
      <w:r>
        <w:rPr>
          <w:b/>
        </w:rPr>
        <w:t>Rung 5 — Secondary content datasets</w:t>
      </w:r>
      <w:r>
        <w:t xml:space="preserve"> (ACME 2016/2021 monitoring tables; UMWA 2016 gender tables): analyse as published data, clearly labelled secondary.</w:t>
      </w:r>
    </w:p>
    <w:p>
      <w:pPr>
        <w:pStyle w:val="ListNumber"/>
      </w:pPr>
      <w:r>
        <w:rPr>
          <w:b/>
        </w:rPr>
        <w:t>Within-edition coding:</w:t>
      </w:r>
      <w:r>
        <w:t xml:space="preserve"> front page (all stories) + editorials/op-eds + health/education/development items anywhere in the edition (thematic flag). Inside-page random sampling is dropped at pilot scale — code what's accessible and report the denominator honestly.</w:t>
      </w:r>
    </w:p>
    <w:p>
      <w:pPr>
        <w:pStyle w:val="ListNumber"/>
      </w:pPr>
      <w:r>
        <w:rPr>
          <w:b/>
        </w:rPr>
        <w:t>Coverage log:</w:t>
      </w:r>
      <w:r>
        <w:t xml:space="preserve"> a master table (date sought → date obtained → rung → condition) becomes Appendix Table 1 and the basis of the §4.1 coverage report. </w:t>
      </w:r>
      <w:r>
        <w:rPr>
          <w:b/>
        </w:rPr>
        <w:t>Missing early editions are expected; the missingness pattern is itself reported.</w:t>
      </w:r>
    </w:p>
    <w:p>
      <w:pPr>
        <w:pStyle w:val="Heading3"/>
      </w:pPr>
      <w:r>
        <w:t>3.6.2 Survey (n=40) — purposive quota + convenience</w:t>
      </w:r>
    </w:p>
    <w:p>
      <w:pPr>
        <w:pStyle w:val="ListBullet"/>
      </w:pPr>
      <w:r>
        <w:t>Quotas: gender 20/20; age 18–30 (14), 31–50 (14), 51+ (12); site 25/15. Recruit at public catchment points (campus, market, stage, trading centre) with a screening question ("Have you ever regularly read/watched/listened to/followed any New Vision paper, station, or page?"). One respondent per household. Contribution: transport refund only (no inducement).</w:t>
      </w:r>
    </w:p>
    <w:p>
      <w:pPr>
        <w:pStyle w:val="Heading3"/>
      </w:pPr>
      <w:r>
        <w:t>3.6.3 KIIs (3) — purposive</w:t>
      </w:r>
    </w:p>
    <w:p>
      <w:pPr>
        <w:pStyle w:val="ListBullet"/>
      </w:pPr>
      <w:r>
        <w:t>KII-1: journalism/media lecturer (theory + history perspective).</w:t>
      </w:r>
    </w:p>
    <w:p>
      <w:pPr>
        <w:pStyle w:val="ListBullet"/>
      </w:pPr>
      <w:r>
        <w:t xml:space="preserve">KII-2: veteran or retired journalist with pre-2000s memory (practice perspective; former New Vision staff ideal </w:t>
      </w:r>
      <w:r>
        <w:rPr>
          <w:b/>
        </w:rPr>
        <w:t>only if reachable publicly</w:t>
      </w:r>
      <w:r>
        <w:t xml:space="preserve"> — no institutional approach).</w:t>
      </w:r>
    </w:p>
    <w:p>
      <w:pPr>
        <w:pStyle w:val="ListBullet"/>
      </w:pPr>
      <w:r>
        <w:t>KII-3: media-NGO programme officer (e.g., ACME/UMWA/HRNJ-U alumni networks — watchdog perspective).</w:t>
      </w:r>
    </w:p>
    <w:p>
      <w:pPr>
        <w:pStyle w:val="ListBullet"/>
      </w:pPr>
      <w:r>
        <w:t>30–45 minutes, semi-structured, audio-recorded with consent, in person or remote.</w:t>
      </w:r>
    </w:p>
    <w:p>
      <w:pPr>
        <w:pStyle w:val="Heading2"/>
      </w:pPr>
      <w:r>
        <w:t>3.7 Data Collection Methods</w:t>
      </w:r>
    </w:p>
    <w:p>
      <w:pPr>
        <w:pStyle w:val="ListNumber"/>
      </w:pPr>
      <w:r>
        <w:rPr>
          <w:b/>
        </w:rPr>
        <w:t>Structured content analysis</w:t>
      </w:r>
      <w:r>
        <w:t xml:space="preserve"> (quantitative-dominant): issue salience, actors, sources, stance, development-news flag, Entman-lite frame codes (problem/cause/moral/solution present Y/N + dominant generic frame) — one coding sheet per edition (see Pilot Instruments).</w:t>
      </w:r>
    </w:p>
    <w:p>
      <w:pPr>
        <w:pStyle w:val="ListNumber"/>
      </w:pPr>
      <w:r>
        <w:rPr>
          <w:b/>
        </w:rPr>
        <w:t>Face-to-face survey</w:t>
      </w:r>
      <w:r>
        <w:t xml:space="preserve"> (15–20 min): repertoire, gratifications (10-item short battery), trust, agenda ("most important problem"), health/education recall, digital module, memorable-impact open end.</w:t>
      </w:r>
    </w:p>
    <w:p>
      <w:pPr>
        <w:pStyle w:val="ListNumber"/>
      </w:pPr>
      <w:r>
        <w:rPr>
          <w:b/>
        </w:rPr>
        <w:t>Semi-structured KIIs</w:t>
      </w:r>
      <w:r>
        <w:t xml:space="preserve"> (3): decade-anchored recall + political-economy probes + digital verdict + "what must the full study not miss."</w:t>
      </w:r>
    </w:p>
    <w:p>
      <w:pPr>
        <w:pStyle w:val="ListNumber"/>
      </w:pPr>
      <w:r>
        <w:rPr>
          <w:b/>
        </w:rPr>
        <w:t>Document review + mini platform audit:</w:t>
      </w:r>
      <w:r>
        <w:t xml:space="preserve"> extraction checklist per document; one-week public metrics snapshot (followers, post frequency, engagement on top posts, Luganda-vs-English mix) for New Vision vs. one comparator (e.g., Daily Monitor).</w:t>
      </w:r>
    </w:p>
    <w:p>
      <w:pPr>
        <w:pStyle w:val="Heading2"/>
      </w:pPr>
      <w:r>
        <w:t>3.8 Research Instruments</w:t>
      </w:r>
    </w:p>
    <w:p>
      <w:r>
        <w:t xml:space="preserve">Four tested instruments (see </w:t>
      </w:r>
      <w:r>
        <w:rPr>
          <w:rFonts w:ascii="Courier New" w:hAnsi="Courier New"/>
          <w:sz w:val="20"/>
        </w:rPr>
        <w:t>Pilot-Instruments-Print-Ready.md</w:t>
      </w:r>
      <w:r>
        <w:t xml:space="preserve">): (1) one-page </w:t>
      </w:r>
      <w:r>
        <w:rPr>
          <w:b/>
        </w:rPr>
        <w:t>Edition Coding Sheet</w:t>
      </w:r>
      <w:r>
        <w:t xml:space="preserve"> + codebook; (2) </w:t>
      </w:r>
      <w:r>
        <w:rPr>
          <w:b/>
        </w:rPr>
        <w:t>Survey Questionnaire</w:t>
      </w:r>
      <w:r>
        <w:t xml:space="preserve"> (4 sections, Luganda + English); (3) </w:t>
      </w:r>
      <w:r>
        <w:rPr>
          <w:b/>
        </w:rPr>
        <w:t>KII Guide</w:t>
      </w:r>
      <w:r>
        <w:t xml:space="preserve"> (10 core questions + role probes); (4) </w:t>
      </w:r>
      <w:r>
        <w:rPr>
          <w:b/>
        </w:rPr>
        <w:t>Document Extraction + Platform Audit Sheet</w:t>
      </w:r>
      <w:r>
        <w:t xml:space="preserve">. All instruments will be </w:t>
      </w:r>
      <w:r>
        <w:rPr>
          <w:b/>
        </w:rPr>
        <w:t>pretested</w:t>
      </w:r>
      <w:r>
        <w:t xml:space="preserve"> (5 editions double-coded; 5 pilot questionnaires off-sample; 1 mock interview) and revised before main pilot fieldwork.</w:t>
      </w:r>
    </w:p>
    <w:p>
      <w:pPr>
        <w:pStyle w:val="Heading2"/>
      </w:pPr>
      <w:r>
        <w:t>3.9 Validity, Reliability and Quality Control</w:t>
      </w:r>
    </w:p>
    <w:p>
      <w:pPr>
        <w:pStyle w:val="ListBullet"/>
      </w:pPr>
      <w:r>
        <w:rPr>
          <w:b/>
        </w:rPr>
        <w:t>Content coding:</w:t>
      </w:r>
      <w:r>
        <w:t xml:space="preserve"> researcher + 1 trained assistant independently double-code </w:t>
      </w:r>
      <w:r>
        <w:rPr>
          <w:b/>
        </w:rPr>
        <w:t>20 editions (20%)</w:t>
      </w:r>
      <w:r>
        <w:t>; target Cohen's κ ≥ 0.70 (≥ 0.60 minimum on frame variables); adjudicate and report κ per variable in §4.1.</w:t>
      </w:r>
    </w:p>
    <w:p>
      <w:pPr>
        <w:pStyle w:val="ListBullet"/>
      </w:pPr>
      <w:r>
        <w:rPr>
          <w:b/>
        </w:rPr>
        <w:t>Survey:</w:t>
      </w:r>
      <w:r>
        <w:t xml:space="preserve"> 10-item gratification battery adapted from Katz et al. (1973) and Kalyango &amp; Onyechi (2013); pretest n=5 with cognitive debriefing; back-translation check for Luganda; supervisor back-checks 10% by phone.</w:t>
      </w:r>
    </w:p>
    <w:p>
      <w:pPr>
        <w:pStyle w:val="ListBullet"/>
      </w:pPr>
      <w:r>
        <w:rPr>
          <w:b/>
        </w:rPr>
        <w:t>Qualitative trustworthiness</w:t>
      </w:r>
      <w:r>
        <w:t xml:space="preserve"> (Lincoln &amp; Guba, 1985): triangulation across the four methods; member-checking (KII summaries returned to all 3 informants); reflexivity journal; audit trail of sampling substitutions.</w:t>
      </w:r>
    </w:p>
    <w:p>
      <w:pPr>
        <w:pStyle w:val="ListBullet"/>
      </w:pPr>
      <w:r>
        <w:rPr>
          <w:b/>
        </w:rPr>
        <w:t>Secondary-data discipline:</w:t>
      </w:r>
      <w:r>
        <w:t xml:space="preserve"> every desk statistic in Chapter Four carries (a) source, (b) year, (c) original methodology note, and (d) comparability warning where methods changed (e.g., DataReportal's 2023→2025 social-media methodology shift — see §4.6).</w:t>
      </w:r>
    </w:p>
    <w:p>
      <w:pPr>
        <w:pStyle w:val="Heading2"/>
      </w:pPr>
      <w:r>
        <w:t>3.10 Data Analysis</w:t>
      </w:r>
    </w:p>
    <w:p>
      <w:pPr>
        <w:pStyle w:val="ListBullet"/>
      </w:pPr>
      <w:r>
        <w:rPr>
          <w:b/>
        </w:rPr>
        <w:t>Quantitative (Excel/SPSS):</w:t>
      </w:r>
      <w:r>
        <w:t xml:space="preserve"> frequencies, percentages, and clustered bar charts by decade/title; issue-share and actor-share tables; survey descriptives with site/age/gender splits. </w:t>
      </w:r>
      <w:r>
        <w:rPr>
          <w:b/>
        </w:rPr>
        <w:t>No inferential statistics beyond the pilot's power</w:t>
      </w:r>
      <w:r>
        <w:t xml:space="preserve"> — differences are reported as </w:t>
      </w:r>
      <w:r>
        <w:rPr>
          <w:i/>
        </w:rPr>
        <w:t>observed pilot patterns</w:t>
      </w:r>
      <w:r>
        <w:t xml:space="preserve"> with raw counts always shown beside percentages (so examiners see the small-n basis).</w:t>
      </w:r>
    </w:p>
    <w:p>
      <w:pPr>
        <w:pStyle w:val="ListBullet"/>
      </w:pPr>
      <w:r>
        <w:rPr>
          <w:b/>
        </w:rPr>
        <w:t>Qualitative (manual thematic tables; NVivo optional):</w:t>
      </w:r>
      <w:r>
        <w:t xml:space="preserve"> deductive skeleton from Chapter Two (development roles, agenda cues, ownership pressures, Entman functions, gratifications) + inductive codes; one joint display per objective pairing the strongest count with the strongest quote/document extract.</w:t>
      </w:r>
    </w:p>
    <w:p>
      <w:pPr>
        <w:pStyle w:val="ListBullet"/>
      </w:pPr>
      <w:r>
        <w:rPr>
          <w:b/>
        </w:rPr>
        <w:t>Integration rule:</w:t>
      </w:r>
      <w:r>
        <w:t xml:space="preserve"> no finding is stated on a single source type alone where triangulation was possible; convergences and divergences are explicitly noted.</w:t>
      </w:r>
    </w:p>
    <w:p>
      <w:pPr>
        <w:pStyle w:val="Heading2"/>
      </w:pPr>
      <w:r>
        <w:t>3.11 Ethical Considerations</w:t>
      </w:r>
    </w:p>
    <w:p>
      <w:pPr>
        <w:pStyle w:val="ListNumber"/>
      </w:pPr>
      <w:r>
        <w:rPr>
          <w:b/>
        </w:rPr>
        <w:t>Clearances:</w:t>
      </w:r>
      <w:r>
        <w:t xml:space="preserve"> university faculty/REC approval per UCU/KIU student-research requirements (confirm whether UNCST clearance is required for a student pilot — many Ugandan universities exempt small student pilots; obtain the exemption letter if so). No New Vision access sought, so no corporate permission required; current New Vision staff will </w:t>
      </w:r>
      <w:r>
        <w:rPr>
          <w:b/>
        </w:rPr>
        <w:t>not</w:t>
      </w:r>
      <w:r>
        <w:t xml:space="preserve"> be approached.</w:t>
      </w:r>
    </w:p>
    <w:p>
      <w:pPr>
        <w:pStyle w:val="ListNumber"/>
      </w:pPr>
      <w:r>
        <w:rPr>
          <w:b/>
        </w:rPr>
        <w:t>Consent:</w:t>
      </w:r>
      <w:r>
        <w:t xml:space="preserve"> voluntary written/oral consent in the respondent's language; separate recording consent; right to skip/withdraw.</w:t>
      </w:r>
    </w:p>
    <w:p>
      <w:pPr>
        <w:pStyle w:val="ListNumber"/>
      </w:pPr>
      <w:r>
        <w:rPr>
          <w:b/>
        </w:rPr>
        <w:t>Confidentiality:</w:t>
      </w:r>
      <w:r>
        <w:t xml:space="preserve"> anonymous questionnaires (no names; phones stored separately for FGD follow-up only); KIIs default to role-only attribution with graded options (anonymous/role/named); encrypted storage; anonymised quotes.</w:t>
      </w:r>
    </w:p>
    <w:p>
      <w:pPr>
        <w:pStyle w:val="ListNumber"/>
      </w:pPr>
      <w:r>
        <w:rPr>
          <w:b/>
        </w:rPr>
        <w:t>Sensitivity:</w:t>
      </w:r>
      <w:r>
        <w:t xml:space="preserve"> political questions framed historically/comparatively; private interview settings; no identifiable attribution of critical claims; findings worded to avoid exposing individuals.</w:t>
      </w:r>
    </w:p>
    <w:p>
      <w:pPr>
        <w:pStyle w:val="ListNumber"/>
      </w:pPr>
      <w:r>
        <w:rPr>
          <w:b/>
        </w:rPr>
        <w:t>Archival/copyright:</w:t>
      </w:r>
      <w:r>
        <w:t xml:space="preserve"> library rules observed; scans for fair-dealing research use only; no republication of full editions.</w:t>
      </w:r>
    </w:p>
    <w:p>
      <w:pPr>
        <w:pStyle w:val="ListNumber"/>
      </w:pPr>
      <w:r>
        <w:rPr>
          <w:b/>
        </w:rPr>
        <w:t>Reciprocity:</w:t>
      </w:r>
      <w:r>
        <w:t xml:space="preserve"> one-page Luganda/English summary shared with survey sites on request; findings brief offered to the 3 informants.</w:t>
      </w:r>
    </w:p>
    <w:p>
      <w:pPr>
        <w:pStyle w:val="Heading2"/>
      </w:pPr>
      <w:r>
        <w:t>3.12 Limitations of the Pilot (and Full-Study Roadmap)</w:t>
      </w:r>
    </w:p>
    <w:p>
      <w:pPr>
        <w:pStyle w:val="ListNumber"/>
      </w:pPr>
      <w:r>
        <w:rPr>
          <w:b/>
        </w:rPr>
        <w:t>Small samples (100/40/3):</w:t>
      </w:r>
      <w:r>
        <w:t xml:space="preserve"> findings are </w:t>
      </w:r>
      <w:r>
        <w:rPr>
          <w:i/>
        </w:rPr>
        <w:t>preliminary and site-bound</w:t>
      </w:r>
      <w:r>
        <w:t>; the thesis states this on every findings table ("pilot estimates — do not generalise").</w:t>
      </w:r>
    </w:p>
    <w:p>
      <w:pPr>
        <w:pStyle w:val="ListNumber"/>
      </w:pPr>
      <w:r>
        <w:rPr>
          <w:b/>
        </w:rPr>
        <w:t>No archive/staff access:</w:t>
      </w:r>
      <w:r>
        <w:t xml:space="preserve"> pre-2000 coverage will be thin; political-economy claims rest on public documents + 3 external informants, not newsroom insiders.</w:t>
      </w:r>
    </w:p>
    <w:p>
      <w:pPr>
        <w:pStyle w:val="ListNumber"/>
      </w:pPr>
      <w:r>
        <w:rPr>
          <w:b/>
        </w:rPr>
        <w:t>Convenience survey:</w:t>
      </w:r>
      <w:r>
        <w:t xml:space="preserve"> Kampala + 1 district, non-random — patterns are illustrative, and the validated questionnaire is itself a pilot output for the full study.</w:t>
      </w:r>
    </w:p>
    <w:p>
      <w:pPr>
        <w:pStyle w:val="ListNumber"/>
      </w:pPr>
      <w:r>
        <w:rPr>
          <w:b/>
        </w:rPr>
        <w:t>Recall bias:</w:t>
      </w:r>
      <w:r>
        <w:t xml:space="preserve"> mitigated by content-first triangulation.</w:t>
      </w:r>
    </w:p>
    <w:p>
      <w:pPr>
        <w:pStyle w:val="ListNumber"/>
      </w:pPr>
      <w:r>
        <w:rPr>
          <w:b/>
        </w:rPr>
        <w:t>Causality:</w:t>
      </w:r>
      <w:r>
        <w:t xml:space="preserve"> the study establishes </w:t>
      </w:r>
      <w:r>
        <w:rPr>
          <w:i/>
        </w:rPr>
        <w:t>plausible contribution</w:t>
      </w:r>
      <w:r>
        <w:t>, not causation ("consistent with," "suggests").</w:t>
      </w:r>
    </w:p>
    <w:p>
      <w:pPr>
        <w:pStyle w:val="ListNumber"/>
      </w:pPr>
      <w:r>
        <w:rPr>
          <w:b/>
        </w:rPr>
        <w:t>Roadmap:</w:t>
      </w:r>
      <w:r>
        <w:t xml:space="preserve"> §5.5 converts every limitation into a full-study specification (archival census, n=768 survey, 35–45 KIIs, newsroom access) — the pilot's strategic function.</w:t>
      </w:r>
    </w:p>
    <w:p>
      <w:pPr>
        <w:pStyle w:val="Heading2"/>
      </w:pPr>
      <w:r>
        <w:t>3.13 Work Plan (10 Weeks Post-Approval)</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r>
            <w:r>
              <w:rPr>
                <w:b/>
                <w:sz w:val="20"/>
              </w:rPr>
              <w:t>Weeks</w:t>
            </w:r>
          </w:p>
        </w:tc>
        <w:tc>
          <w:tcPr>
            <w:tcW w:type="dxa" w:w="4320"/>
          </w:tcPr>
          <w:p>
            <w:r>
              <w:rPr>
                <w:b/>
                <w:sz w:val="20"/>
              </w:rPr>
            </w:r>
            <w:r>
              <w:rPr>
                <w:b/>
                <w:sz w:val="20"/>
              </w:rPr>
              <w:t>Activity</w:t>
            </w:r>
          </w:p>
        </w:tc>
      </w:tr>
      <w:tr>
        <w:tc>
          <w:tcPr>
            <w:tcW w:type="dxa" w:w="4320"/>
          </w:tcPr>
          <w:p>
            <w:r>
              <w:rPr>
                <w:sz w:val="20"/>
              </w:rPr>
            </w:r>
            <w:r>
              <w:rPr>
                <w:sz w:val="20"/>
              </w:rPr>
              <w:t>1</w:t>
            </w:r>
          </w:p>
        </w:tc>
        <w:tc>
          <w:tcPr>
            <w:tcW w:type="dxa" w:w="4320"/>
          </w:tcPr>
          <w:p>
            <w:r>
              <w:rPr>
                <w:sz w:val="20"/>
              </w:rPr>
            </w:r>
            <w:r>
              <w:rPr>
                <w:sz w:val="20"/>
              </w:rPr>
              <w:t>Faculty clearance; library reconnaissance (holdings list per decade); instrument pretest; assistant training</w:t>
            </w:r>
          </w:p>
        </w:tc>
      </w:tr>
      <w:tr>
        <w:tc>
          <w:tcPr>
            <w:tcW w:type="dxa" w:w="4320"/>
          </w:tcPr>
          <w:p>
            <w:r>
              <w:rPr>
                <w:sz w:val="20"/>
              </w:rPr>
            </w:r>
            <w:r>
              <w:rPr>
                <w:sz w:val="20"/>
              </w:rPr>
              <w:t>2–4</w:t>
            </w:r>
          </w:p>
        </w:tc>
        <w:tc>
          <w:tcPr>
            <w:tcW w:type="dxa" w:w="4320"/>
          </w:tcPr>
          <w:p>
            <w:r>
              <w:rPr>
                <w:sz w:val="20"/>
              </w:rPr>
            </w:r>
            <w:r>
              <w:rPr>
                <w:sz w:val="20"/>
              </w:rPr>
              <w:t>Content sampling + coding (100 editions; 20 double-coded; κ computed); document extraction</w:t>
            </w:r>
          </w:p>
        </w:tc>
      </w:tr>
      <w:tr>
        <w:tc>
          <w:tcPr>
            <w:tcW w:type="dxa" w:w="4320"/>
          </w:tcPr>
          <w:p>
            <w:r>
              <w:rPr>
                <w:sz w:val="20"/>
              </w:rPr>
            </w:r>
            <w:r>
              <w:rPr>
                <w:sz w:val="20"/>
              </w:rPr>
              <w:t>3–5</w:t>
            </w:r>
          </w:p>
        </w:tc>
        <w:tc>
          <w:tcPr>
            <w:tcW w:type="dxa" w:w="4320"/>
          </w:tcPr>
          <w:p>
            <w:r>
              <w:rPr>
                <w:sz w:val="20"/>
              </w:rPr>
            </w:r>
            <w:r>
              <w:rPr>
                <w:sz w:val="20"/>
              </w:rPr>
              <w:t>Survey fieldwork (40) overlapping coding; platform-audit week</w:t>
            </w:r>
          </w:p>
        </w:tc>
      </w:tr>
      <w:tr>
        <w:tc>
          <w:tcPr>
            <w:tcW w:type="dxa" w:w="4320"/>
          </w:tcPr>
          <w:p>
            <w:r>
              <w:rPr>
                <w:sz w:val="20"/>
              </w:rPr>
            </w:r>
            <w:r>
              <w:rPr>
                <w:sz w:val="20"/>
              </w:rPr>
              <w:t>5–6</w:t>
            </w:r>
          </w:p>
        </w:tc>
        <w:tc>
          <w:tcPr>
            <w:tcW w:type="dxa" w:w="4320"/>
          </w:tcPr>
          <w:p>
            <w:r>
              <w:rPr>
                <w:sz w:val="20"/>
              </w:rPr>
            </w:r>
            <w:r>
              <w:rPr>
                <w:sz w:val="20"/>
              </w:rPr>
              <w:t>3 KIIs + transcription + member-checking</w:t>
            </w:r>
          </w:p>
        </w:tc>
      </w:tr>
      <w:tr>
        <w:tc>
          <w:tcPr>
            <w:tcW w:type="dxa" w:w="4320"/>
          </w:tcPr>
          <w:p>
            <w:r>
              <w:rPr>
                <w:sz w:val="20"/>
              </w:rPr>
            </w:r>
            <w:r>
              <w:rPr>
                <w:sz w:val="20"/>
              </w:rPr>
              <w:t>7–8</w:t>
            </w:r>
          </w:p>
        </w:tc>
        <w:tc>
          <w:tcPr>
            <w:tcW w:type="dxa" w:w="4320"/>
          </w:tcPr>
          <w:p>
            <w:r>
              <w:rPr>
                <w:sz w:val="20"/>
              </w:rPr>
            </w:r>
            <w:r>
              <w:rPr>
                <w:sz w:val="20"/>
              </w:rPr>
              <w:t>Analysis (Excel tables/charts; thematic matrices; joint displays)</w:t>
            </w:r>
          </w:p>
        </w:tc>
      </w:tr>
      <w:tr>
        <w:tc>
          <w:tcPr>
            <w:tcW w:type="dxa" w:w="4320"/>
          </w:tcPr>
          <w:p>
            <w:r>
              <w:rPr>
                <w:sz w:val="20"/>
              </w:rPr>
            </w:r>
            <w:r>
              <w:rPr>
                <w:sz w:val="20"/>
              </w:rPr>
              <w:t>9–10</w:t>
            </w:r>
          </w:p>
        </w:tc>
        <w:tc>
          <w:tcPr>
            <w:tcW w:type="dxa" w:w="4320"/>
          </w:tcPr>
          <w:p>
            <w:r>
              <w:rPr>
                <w:sz w:val="20"/>
              </w:rPr>
            </w:r>
            <w:r>
              <w:rPr>
                <w:sz w:val="20"/>
              </w:rPr>
              <w:t>Chapters 4–5 drafting; supervisor revisions; defence preparation</w:t>
            </w:r>
          </w:p>
        </w:tc>
      </w:tr>
    </w:tbl>
    <w:p/>
    <w:p>
      <w:r>
        <w:rPr>
          <w:i/>
        </w:rPr>
        <w:t>Instruments: see `Pilot-Instruments-Print-Ready.md`. Desk-data backbone: see `Chapter-4-PILOT-Findings.md` §§4.2–4.6 (real secondary data already compiled).</w:t>
      </w:r>
    </w:p>
    <w:p>
      <w:r>
        <w:br w:type="page"/>
      </w:r>
    </w:p>
    <w:p>
      <w:pPr>
        <w:pStyle w:val="Heading1"/>
      </w:pPr>
      <w:r>
        <w:t>CHAPTER FOUR: PRESENTATION AND ANALYSIS OF FINDINGS (PILOT STUDY)</w:t>
      </w:r>
    </w:p>
    <w:p>
      <w:r>
        <w:rPr>
          <w:b/>
        </w:rPr>
        <w:t>Research Topic: Assessing the Impacts of New Vision Over the Past 40 Years of Its Existence (1986–2026)</w:t>
      </w:r>
    </w:p>
    <w:p>
      <w:pPr>
        <w:ind w:left="480"/>
      </w:pPr>
      <w:r>
        <w:rPr>
          <w:b/>
          <w:i/>
        </w:rPr>
        <w:t>Status:</w:t>
      </w:r>
      <w:r>
        <w:rPr>
          <w:i/>
        </w:rPr>
        <w:t xml:space="preserve"> PILOT DRAFT — a mix of (a) </w:t>
      </w:r>
      <w:r>
        <w:rPr>
          <w:b/>
          <w:i/>
        </w:rPr>
        <w:t>REAL desk findings already compiled from public sources</w:t>
      </w:r>
      <w:r>
        <w:rPr>
          <w:i/>
        </w:rPr>
        <w:t xml:space="preserve"> ( §§4.2–4.6 desk subsections, past tense, fully sourced) and (b) </w:t>
      </w:r>
      <w:r>
        <w:rPr>
          <w:b/>
          <w:i/>
        </w:rPr>
        <w:t>EMPTY templates awaiting your 100-edition coding, 40 questionnaires, and 3 interviews</w:t>
      </w:r>
      <w:r>
        <w:rPr>
          <w:i/>
        </w:rPr>
        <w:t>.</w:t>
      </w:r>
    </w:p>
    <w:p>
      <w:pPr>
        <w:ind w:left="480"/>
      </w:pPr>
      <w:r>
        <w:rPr>
          <w:i/>
        </w:rPr>
        <w:t xml:space="preserve">Anything labelled </w:t>
      </w:r>
      <w:r>
        <w:rPr>
          <w:b/>
          <w:i/>
        </w:rPr>
        <w:t>[YOUR DATA — PENDING]</w:t>
      </w:r>
      <w:r>
        <w:rPr>
          <w:i/>
        </w:rPr>
        <w:t xml:space="preserve"> must be filled after fieldwork. Anything labelled </w:t>
      </w:r>
      <w:r>
        <w:rPr>
          <w:b/>
          <w:i/>
        </w:rPr>
        <w:t>[ILLUSTRATIVE EXAMPLE — REPLACE]</w:t>
      </w:r>
      <w:r>
        <w:rPr>
          <w:i/>
        </w:rPr>
        <w:t xml:space="preserve"> is a formatting example with invented numbers: </w:t>
      </w:r>
      <w:r>
        <w:rPr>
          <w:b/>
          <w:i/>
        </w:rPr>
        <w:t>never submit it as real.</w:t>
      </w:r>
    </w:p>
    <w:p>
      <w:pPr>
        <w:ind w:left="480"/>
      </w:pPr>
      <w:r>
        <w:rPr>
          <w:i/>
        </w:rPr>
        <w:t xml:space="preserve">Percentages from small samples must always be shown </w:t>
      </w:r>
      <w:r>
        <w:rPr>
          <w:b/>
          <w:i/>
        </w:rPr>
        <w:t>beside raw counts</w:t>
      </w:r>
      <w:r>
        <w:rPr>
          <w:i/>
        </w:rPr>
        <w:t>.</w:t>
      </w:r>
    </w:p>
    <w:p>
      <w:pPr>
        <w:pStyle w:val="Heading2"/>
      </w:pPr>
      <w:r>
        <w:t>4.1 Introduction and Pilot Coverage Report</w:t>
      </w:r>
    </w:p>
    <w:p>
      <w:r>
        <w:t>This chapter presents the pilot-study findings by objective. The pilot combined four methods (§3.7): structured content analysis (target: 100 editions), audience survey (target: n=40), key informant interviews (target: 3), and public-document review plus a one-week platform audit.</w:t>
      </w:r>
    </w:p>
    <w:p>
      <w:pPr>
        <w:pStyle w:val="Heading3"/>
      </w:pPr>
      <w:r>
        <w:t>Table 4.1: Pilot coverage achieved [YOUR DATA — PENDING]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r>
            <w:r>
              <w:rPr>
                <w:b/>
                <w:sz w:val="20"/>
              </w:rPr>
              <w:t>Component</w:t>
            </w:r>
          </w:p>
        </w:tc>
        <w:tc>
          <w:tcPr>
            <w:tcW w:type="dxa" w:w="2160"/>
          </w:tcPr>
          <w:p>
            <w:r>
              <w:rPr>
                <w:b/>
                <w:sz w:val="20"/>
              </w:rPr>
            </w:r>
            <w:r>
              <w:rPr>
                <w:b/>
                <w:sz w:val="20"/>
              </w:rPr>
              <w:t>Target</w:t>
            </w:r>
          </w:p>
        </w:tc>
        <w:tc>
          <w:tcPr>
            <w:tcW w:type="dxa" w:w="2160"/>
          </w:tcPr>
          <w:p>
            <w:r>
              <w:rPr>
                <w:b/>
                <w:sz w:val="20"/>
              </w:rPr>
            </w:r>
            <w:r>
              <w:rPr>
                <w:b/>
                <w:sz w:val="20"/>
              </w:rPr>
              <w:t>Achieved</w:t>
            </w:r>
          </w:p>
        </w:tc>
        <w:tc>
          <w:tcPr>
            <w:tcW w:type="dxa" w:w="2160"/>
          </w:tcPr>
          <w:p>
            <w:r>
              <w:rPr>
                <w:b/>
                <w:sz w:val="20"/>
              </w:rPr>
            </w:r>
            <w:r>
              <w:rPr>
                <w:b/>
                <w:sz w:val="20"/>
              </w:rPr>
              <w:t>Coverage notes</w:t>
            </w:r>
          </w:p>
        </w:tc>
      </w:tr>
      <w:tr>
        <w:tc>
          <w:tcPr>
            <w:tcW w:type="dxa" w:w="2160"/>
          </w:tcPr>
          <w:p>
            <w:r>
              <w:rPr>
                <w:sz w:val="20"/>
              </w:rPr>
            </w:r>
            <w:r>
              <w:rPr>
                <w:sz w:val="20"/>
              </w:rPr>
              <w:t>Editions coded (1986–1995)</w:t>
            </w:r>
          </w:p>
        </w:tc>
        <w:tc>
          <w:tcPr>
            <w:tcW w:type="dxa" w:w="2160"/>
          </w:tcPr>
          <w:p>
            <w:r>
              <w:rPr>
                <w:sz w:val="20"/>
              </w:rPr>
            </w:r>
            <w:r>
              <w:rPr>
                <w:sz w:val="20"/>
              </w:rPr>
              <w:t>25</w:t>
            </w:r>
          </w:p>
        </w:tc>
        <w:tc>
          <w:tcPr>
            <w:tcW w:type="dxa" w:w="2160"/>
          </w:tcPr>
          <w:p>
            <w:r>
              <w:rPr>
                <w:sz w:val="20"/>
              </w:rPr>
            </w:r>
            <w:r>
              <w:rPr>
                <w:b/>
                <w:sz w:val="20"/>
              </w:rPr>
              <w:t>0</w:t>
            </w:r>
          </w:p>
        </w:tc>
        <w:tc>
          <w:tcPr>
            <w:tcW w:type="dxa" w:w="2160"/>
          </w:tcPr>
          <w:p>
            <w:r>
              <w:rPr>
                <w:sz w:val="20"/>
              </w:rPr>
            </w:r>
            <w:r>
              <w:rPr>
                <w:sz w:val="20"/>
              </w:rPr>
              <w:t>No online source exists pre-2000s — library fieldwork required (§3.6.1 Rung 1)</w:t>
            </w:r>
          </w:p>
        </w:tc>
      </w:tr>
      <w:tr>
        <w:tc>
          <w:tcPr>
            <w:tcW w:type="dxa" w:w="2160"/>
          </w:tcPr>
          <w:p>
            <w:r>
              <w:rPr>
                <w:sz w:val="20"/>
              </w:rPr>
            </w:r>
            <w:r>
              <w:rPr>
                <w:sz w:val="20"/>
              </w:rPr>
              <w:t>Editions coded (1996–2005)</w:t>
            </w:r>
          </w:p>
        </w:tc>
        <w:tc>
          <w:tcPr>
            <w:tcW w:type="dxa" w:w="2160"/>
          </w:tcPr>
          <w:p>
            <w:r>
              <w:rPr>
                <w:sz w:val="20"/>
              </w:rPr>
            </w:r>
            <w:r>
              <w:rPr>
                <w:sz w:val="20"/>
              </w:rPr>
              <w:t>25</w:t>
            </w:r>
          </w:p>
        </w:tc>
        <w:tc>
          <w:tcPr>
            <w:tcW w:type="dxa" w:w="2160"/>
          </w:tcPr>
          <w:p>
            <w:r>
              <w:rPr>
                <w:sz w:val="20"/>
              </w:rPr>
            </w:r>
            <w:r>
              <w:rPr>
                <w:b/>
                <w:sz w:val="20"/>
              </w:rPr>
              <w:t>0</w:t>
            </w:r>
          </w:p>
        </w:tc>
        <w:tc>
          <w:tcPr>
            <w:tcW w:type="dxa" w:w="2160"/>
          </w:tcPr>
          <w:p>
            <w:r>
              <w:rPr>
                <w:sz w:val="20"/>
              </w:rPr>
            </w:r>
            <w:r>
              <w:rPr>
                <w:sz w:val="20"/>
              </w:rPr>
              <w:t>Same — library fieldwork required</w:t>
            </w:r>
          </w:p>
        </w:tc>
      </w:tr>
      <w:tr>
        <w:tc>
          <w:tcPr>
            <w:tcW w:type="dxa" w:w="2160"/>
          </w:tcPr>
          <w:p>
            <w:r>
              <w:rPr>
                <w:sz w:val="20"/>
              </w:rPr>
            </w:r>
            <w:r>
              <w:rPr>
                <w:sz w:val="20"/>
              </w:rPr>
              <w:t>Editions coded (2006–2015)</w:t>
            </w:r>
          </w:p>
        </w:tc>
        <w:tc>
          <w:tcPr>
            <w:tcW w:type="dxa" w:w="2160"/>
          </w:tcPr>
          <w:p>
            <w:r>
              <w:rPr>
                <w:sz w:val="20"/>
              </w:rPr>
            </w:r>
            <w:r>
              <w:rPr>
                <w:sz w:val="20"/>
              </w:rPr>
              <w:t>25</w:t>
            </w:r>
          </w:p>
        </w:tc>
        <w:tc>
          <w:tcPr>
            <w:tcW w:type="dxa" w:w="2160"/>
          </w:tcPr>
          <w:p>
            <w:r>
              <w:rPr>
                <w:sz w:val="20"/>
              </w:rPr>
            </w:r>
            <w:r>
              <w:rPr>
                <w:b/>
                <w:sz w:val="20"/>
              </w:rPr>
              <w:t>1</w:t>
            </w:r>
          </w:p>
        </w:tc>
        <w:tc>
          <w:tcPr>
            <w:tcW w:type="dxa" w:w="2160"/>
          </w:tcPr>
          <w:p>
            <w:r>
              <w:rPr>
                <w:sz w:val="20"/>
              </w:rPr>
            </w:r>
            <w:r>
              <w:rPr>
                <w:sz w:val="20"/>
              </w:rPr>
              <w:t>NV-WB-2010-06-16 (Rung 2, Wayback) — see Gathered-Editions-Log.md</w:t>
            </w:r>
          </w:p>
        </w:tc>
      </w:tr>
      <w:tr>
        <w:tc>
          <w:tcPr>
            <w:tcW w:type="dxa" w:w="2160"/>
          </w:tcPr>
          <w:p>
            <w:r>
              <w:rPr>
                <w:sz w:val="20"/>
              </w:rPr>
            </w:r>
            <w:r>
              <w:rPr>
                <w:sz w:val="20"/>
              </w:rPr>
              <w:t>Editions coded (2016–2026)</w:t>
            </w:r>
          </w:p>
        </w:tc>
        <w:tc>
          <w:tcPr>
            <w:tcW w:type="dxa" w:w="2160"/>
          </w:tcPr>
          <w:p>
            <w:r>
              <w:rPr>
                <w:sz w:val="20"/>
              </w:rPr>
            </w:r>
            <w:r>
              <w:rPr>
                <w:sz w:val="20"/>
              </w:rPr>
              <w:t>25</w:t>
            </w:r>
          </w:p>
        </w:tc>
        <w:tc>
          <w:tcPr>
            <w:tcW w:type="dxa" w:w="2160"/>
          </w:tcPr>
          <w:p>
            <w:r>
              <w:rPr>
                <w:sz w:val="20"/>
              </w:rPr>
            </w:r>
            <w:r>
              <w:rPr>
                <w:b/>
                <w:sz w:val="20"/>
              </w:rPr>
              <w:t>2</w:t>
            </w:r>
          </w:p>
        </w:tc>
        <w:tc>
          <w:tcPr>
            <w:tcW w:type="dxa" w:w="2160"/>
          </w:tcPr>
          <w:p>
            <w:r>
              <w:rPr>
                <w:sz w:val="20"/>
              </w:rPr>
            </w:r>
            <w:r>
              <w:rPr>
                <w:sz w:val="20"/>
              </w:rPr>
              <w:t>NV-WB-2016-01-20 (Rung 2) + NV-LIVE-2026-09-20 (Rung 3); 1 logged failure (2021 JS-shell — protocol fix in log)</w:t>
            </w:r>
          </w:p>
        </w:tc>
      </w:tr>
      <w:tr>
        <w:tc>
          <w:tcPr>
            <w:tcW w:type="dxa" w:w="2160"/>
          </w:tcPr>
          <w:p>
            <w:r>
              <w:rPr>
                <w:sz w:val="20"/>
              </w:rPr>
            </w:r>
            <w:r>
              <w:rPr>
                <w:sz w:val="20"/>
              </w:rPr>
              <w:t>Survey (Kampala)</w:t>
            </w:r>
          </w:p>
        </w:tc>
        <w:tc>
          <w:tcPr>
            <w:tcW w:type="dxa" w:w="2160"/>
          </w:tcPr>
          <w:p>
            <w:r>
              <w:rPr>
                <w:sz w:val="20"/>
              </w:rPr>
            </w:r>
            <w:r>
              <w:rPr>
                <w:sz w:val="20"/>
              </w:rPr>
              <w:t>25</w:t>
            </w:r>
          </w:p>
        </w:tc>
        <w:tc>
          <w:tcPr>
            <w:tcW w:type="dxa" w:w="2160"/>
          </w:tcPr>
          <w:p>
            <w:r>
              <w:rPr>
                <w:sz w:val="20"/>
              </w:rPr>
            </w:r>
            <w:r>
              <w:rPr>
                <w:sz w:val="20"/>
              </w:rPr>
              <w:t>__</w:t>
            </w:r>
          </w:p>
        </w:tc>
        <w:tc>
          <w:tcPr>
            <w:tcW w:type="dxa" w:w="2160"/>
          </w:tcPr>
          <w:p>
            <w:r>
              <w:rPr>
                <w:sz w:val="20"/>
              </w:rPr>
            </w:r>
            <w:r>
              <w:rPr>
                <w:sz w:val="20"/>
              </w:rPr>
              <w:t>Dates: __; refusals: __</w:t>
            </w:r>
          </w:p>
        </w:tc>
      </w:tr>
      <w:tr>
        <w:tc>
          <w:tcPr>
            <w:tcW w:type="dxa" w:w="2160"/>
          </w:tcPr>
          <w:p>
            <w:r>
              <w:rPr>
                <w:sz w:val="20"/>
              </w:rPr>
            </w:r>
            <w:r>
              <w:rPr>
                <w:sz w:val="20"/>
              </w:rPr>
              <w:t>Survey (up-country: __ district)</w:t>
            </w:r>
          </w:p>
        </w:tc>
        <w:tc>
          <w:tcPr>
            <w:tcW w:type="dxa" w:w="2160"/>
          </w:tcPr>
          <w:p>
            <w:r>
              <w:rPr>
                <w:sz w:val="20"/>
              </w:rPr>
            </w:r>
            <w:r>
              <w:rPr>
                <w:sz w:val="20"/>
              </w:rPr>
              <w:t>15</w:t>
            </w:r>
          </w:p>
        </w:tc>
        <w:tc>
          <w:tcPr>
            <w:tcW w:type="dxa" w:w="2160"/>
          </w:tcPr>
          <w:p>
            <w:r>
              <w:rPr>
                <w:sz w:val="20"/>
              </w:rPr>
            </w:r>
            <w:r>
              <w:rPr>
                <w:sz w:val="20"/>
              </w:rPr>
              <w:t>__</w:t>
            </w:r>
          </w:p>
        </w:tc>
        <w:tc>
          <w:tcPr>
            <w:tcW w:type="dxa" w:w="2160"/>
          </w:tcPr>
          <w:p>
            <w:r>
              <w:rPr>
                <w:sz w:val="20"/>
              </w:rPr>
            </w:r>
            <w:r>
              <w:rPr>
                <w:sz w:val="20"/>
              </w:rPr>
              <w:t>…</w:t>
            </w:r>
          </w:p>
        </w:tc>
      </w:tr>
      <w:tr>
        <w:tc>
          <w:tcPr>
            <w:tcW w:type="dxa" w:w="2160"/>
          </w:tcPr>
          <w:p>
            <w:r>
              <w:rPr>
                <w:sz w:val="20"/>
              </w:rPr>
            </w:r>
            <w:r>
              <w:rPr>
                <w:sz w:val="20"/>
              </w:rPr>
              <w:t>KIIs</w:t>
            </w:r>
          </w:p>
        </w:tc>
        <w:tc>
          <w:tcPr>
            <w:tcW w:type="dxa" w:w="2160"/>
          </w:tcPr>
          <w:p>
            <w:r>
              <w:rPr>
                <w:sz w:val="20"/>
              </w:rPr>
            </w:r>
            <w:r>
              <w:rPr>
                <w:sz w:val="20"/>
              </w:rPr>
              <w:t>3</w:t>
            </w:r>
          </w:p>
        </w:tc>
        <w:tc>
          <w:tcPr>
            <w:tcW w:type="dxa" w:w="2160"/>
          </w:tcPr>
          <w:p>
            <w:r>
              <w:rPr>
                <w:sz w:val="20"/>
              </w:rPr>
            </w:r>
            <w:r>
              <w:rPr>
                <w:sz w:val="20"/>
              </w:rPr>
              <w:t>__</w:t>
            </w:r>
          </w:p>
        </w:tc>
        <w:tc>
          <w:tcPr>
            <w:tcW w:type="dxa" w:w="2160"/>
          </w:tcPr>
          <w:p>
            <w:r>
              <w:rPr>
                <w:sz w:val="20"/>
              </w:rPr>
            </w:r>
            <w:r>
              <w:rPr>
                <w:sz w:val="20"/>
              </w:rPr>
              <w:t>Roles/dates/durations: __</w:t>
            </w:r>
          </w:p>
        </w:tc>
      </w:tr>
      <w:tr>
        <w:tc>
          <w:tcPr>
            <w:tcW w:type="dxa" w:w="2160"/>
          </w:tcPr>
          <w:p>
            <w:r>
              <w:rPr>
                <w:sz w:val="20"/>
              </w:rPr>
            </w:r>
            <w:r>
              <w:rPr>
                <w:sz w:val="20"/>
              </w:rPr>
              <w:t>Public documents extracted</w:t>
            </w:r>
          </w:p>
        </w:tc>
        <w:tc>
          <w:tcPr>
            <w:tcW w:type="dxa" w:w="2160"/>
          </w:tcPr>
          <w:p>
            <w:r>
              <w:rPr>
                <w:sz w:val="20"/>
              </w:rPr>
            </w:r>
            <w:r>
              <w:rPr>
                <w:sz w:val="20"/>
              </w:rPr>
              <w:t>≥15</w:t>
            </w:r>
          </w:p>
        </w:tc>
        <w:tc>
          <w:tcPr>
            <w:tcW w:type="dxa" w:w="2160"/>
          </w:tcPr>
          <w:p>
            <w:r>
              <w:rPr>
                <w:sz w:val="20"/>
              </w:rPr>
            </w:r>
            <w:r>
              <w:rPr>
                <w:sz w:val="20"/>
              </w:rPr>
              <w:t>__</w:t>
            </w:r>
          </w:p>
        </w:tc>
        <w:tc>
          <w:tcPr>
            <w:tcW w:type="dxa" w:w="2160"/>
          </w:tcPr>
          <w:p>
            <w:r>
              <w:rPr>
                <w:sz w:val="20"/>
              </w:rPr>
            </w:r>
            <w:r>
              <w:rPr>
                <w:sz w:val="20"/>
              </w:rPr>
              <w:t>List in Appendix Table 2</w:t>
            </w:r>
          </w:p>
        </w:tc>
      </w:tr>
      <w:tr>
        <w:tc>
          <w:tcPr>
            <w:tcW w:type="dxa" w:w="2160"/>
          </w:tcPr>
          <w:p>
            <w:r>
              <w:rPr>
                <w:sz w:val="20"/>
              </w:rPr>
            </w:r>
            <w:r>
              <w:rPr>
                <w:sz w:val="20"/>
              </w:rPr>
              <w:t>Coding reliability (Cohen's κ)</w:t>
            </w:r>
          </w:p>
        </w:tc>
        <w:tc>
          <w:tcPr>
            <w:tcW w:type="dxa" w:w="2160"/>
          </w:tcPr>
          <w:p>
            <w:r>
              <w:rPr>
                <w:sz w:val="20"/>
              </w:rPr>
            </w:r>
            <w:r>
              <w:rPr>
                <w:sz w:val="20"/>
              </w:rPr>
              <w:t>≥0.70</w:t>
            </w:r>
          </w:p>
        </w:tc>
        <w:tc>
          <w:tcPr>
            <w:tcW w:type="dxa" w:w="2160"/>
          </w:tcPr>
          <w:p>
            <w:r>
              <w:rPr>
                <w:sz w:val="20"/>
              </w:rPr>
            </w:r>
            <w:r>
              <w:rPr>
                <w:sz w:val="20"/>
              </w:rPr>
              <w:t>__</w:t>
            </w:r>
          </w:p>
        </w:tc>
        <w:tc>
          <w:tcPr>
            <w:tcW w:type="dxa" w:w="2160"/>
          </w:tcPr>
          <w:p>
            <w:r>
              <w:rPr>
                <w:sz w:val="20"/>
              </w:rPr>
            </w:r>
            <w:r>
              <w:rPr>
                <w:sz w:val="20"/>
              </w:rPr>
              <w:t>Per-variable κ table in §4.1.1</w:t>
            </w:r>
          </w:p>
        </w:tc>
      </w:tr>
    </w:tbl>
    <w:p/>
    <w:p>
      <w:pPr>
        <w:pStyle w:val="Heading3"/>
      </w:pPr>
      <w:r>
        <w:t>[ILLUSTRATIVE EXAMPLE — REPLACE] Table 4.1b: How to report reliability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r>
            <w:r>
              <w:rPr>
                <w:b/>
                <w:sz w:val="20"/>
              </w:rPr>
              <w:t>Variable</w:t>
            </w:r>
          </w:p>
        </w:tc>
        <w:tc>
          <w:tcPr>
            <w:tcW w:type="dxa" w:w="2160"/>
          </w:tcPr>
          <w:p>
            <w:r>
              <w:rPr>
                <w:b/>
                <w:sz w:val="20"/>
              </w:rPr>
            </w:r>
            <w:r>
              <w:rPr>
                <w:b/>
                <w:sz w:val="20"/>
              </w:rPr>
              <w:t>Double-coded (n)</w:t>
            </w:r>
          </w:p>
        </w:tc>
        <w:tc>
          <w:tcPr>
            <w:tcW w:type="dxa" w:w="2160"/>
          </w:tcPr>
          <w:p>
            <w:r>
              <w:rPr>
                <w:b/>
                <w:sz w:val="20"/>
              </w:rPr>
            </w:r>
            <w:r>
              <w:rPr>
                <w:b/>
                <w:sz w:val="20"/>
              </w:rPr>
              <w:t>κ</w:t>
            </w:r>
          </w:p>
        </w:tc>
        <w:tc>
          <w:tcPr>
            <w:tcW w:type="dxa" w:w="2160"/>
          </w:tcPr>
          <w:p>
            <w:r>
              <w:rPr>
                <w:b/>
                <w:sz w:val="20"/>
              </w:rPr>
            </w:r>
            <w:r>
              <w:rPr>
                <w:b/>
                <w:sz w:val="20"/>
              </w:rPr>
              <w:t>Verdict</w:t>
            </w:r>
          </w:p>
        </w:tc>
      </w:tr>
      <w:tr>
        <w:tc>
          <w:tcPr>
            <w:tcW w:type="dxa" w:w="2160"/>
          </w:tcPr>
          <w:p>
            <w:r>
              <w:rPr>
                <w:sz w:val="20"/>
              </w:rPr>
            </w:r>
            <w:r>
              <w:rPr>
                <w:sz w:val="20"/>
              </w:rPr>
              <w:t>Primary issue</w:t>
            </w:r>
          </w:p>
        </w:tc>
        <w:tc>
          <w:tcPr>
            <w:tcW w:type="dxa" w:w="2160"/>
          </w:tcPr>
          <w:p>
            <w:r>
              <w:rPr>
                <w:sz w:val="20"/>
              </w:rPr>
            </w:r>
            <w:r>
              <w:rPr>
                <w:sz w:val="20"/>
              </w:rPr>
              <w:t>20</w:t>
            </w:r>
          </w:p>
        </w:tc>
        <w:tc>
          <w:tcPr>
            <w:tcW w:type="dxa" w:w="2160"/>
          </w:tcPr>
          <w:p>
            <w:r>
              <w:rPr>
                <w:sz w:val="20"/>
              </w:rPr>
            </w:r>
            <w:r>
              <w:rPr>
                <w:sz w:val="20"/>
              </w:rPr>
              <w:t>0.81</w:t>
            </w:r>
          </w:p>
        </w:tc>
        <w:tc>
          <w:tcPr>
            <w:tcW w:type="dxa" w:w="2160"/>
          </w:tcPr>
          <w:p>
            <w:r>
              <w:rPr>
                <w:sz w:val="20"/>
              </w:rPr>
            </w:r>
            <w:r>
              <w:rPr>
                <w:sz w:val="20"/>
              </w:rPr>
              <w:t>Strong — proceed</w:t>
            </w:r>
          </w:p>
        </w:tc>
      </w:tr>
      <w:tr>
        <w:tc>
          <w:tcPr>
            <w:tcW w:type="dxa" w:w="2160"/>
          </w:tcPr>
          <w:p>
            <w:r>
              <w:rPr>
                <w:sz w:val="20"/>
              </w:rPr>
            </w:r>
            <w:r>
              <w:rPr>
                <w:sz w:val="20"/>
              </w:rPr>
              <w:t>Stance toward government</w:t>
            </w:r>
          </w:p>
        </w:tc>
        <w:tc>
          <w:tcPr>
            <w:tcW w:type="dxa" w:w="2160"/>
          </w:tcPr>
          <w:p>
            <w:r>
              <w:rPr>
                <w:sz w:val="20"/>
              </w:rPr>
            </w:r>
            <w:r>
              <w:rPr>
                <w:sz w:val="20"/>
              </w:rPr>
              <w:t>20</w:t>
            </w:r>
          </w:p>
        </w:tc>
        <w:tc>
          <w:tcPr>
            <w:tcW w:type="dxa" w:w="2160"/>
          </w:tcPr>
          <w:p>
            <w:r>
              <w:rPr>
                <w:sz w:val="20"/>
              </w:rPr>
            </w:r>
            <w:r>
              <w:rPr>
                <w:sz w:val="20"/>
              </w:rPr>
              <w:t>0.66</w:t>
            </w:r>
          </w:p>
        </w:tc>
        <w:tc>
          <w:tcPr>
            <w:tcW w:type="dxa" w:w="2160"/>
          </w:tcPr>
          <w:p>
            <w:r>
              <w:rPr>
                <w:sz w:val="20"/>
              </w:rPr>
            </w:r>
            <w:r>
              <w:rPr>
                <w:sz w:val="20"/>
              </w:rPr>
              <w:t>Acceptable for pilot; adjudicated</w:t>
            </w:r>
          </w:p>
        </w:tc>
      </w:tr>
      <w:tr>
        <w:tc>
          <w:tcPr>
            <w:tcW w:type="dxa" w:w="2160"/>
          </w:tcPr>
          <w:p>
            <w:r>
              <w:rPr>
                <w:sz w:val="20"/>
              </w:rPr>
            </w:r>
            <w:r>
              <w:rPr>
                <w:sz w:val="20"/>
              </w:rPr>
              <w:t>Dominant frame</w:t>
            </w:r>
          </w:p>
        </w:tc>
        <w:tc>
          <w:tcPr>
            <w:tcW w:type="dxa" w:w="2160"/>
          </w:tcPr>
          <w:p>
            <w:r>
              <w:rPr>
                <w:sz w:val="20"/>
              </w:rPr>
            </w:r>
            <w:r>
              <w:rPr>
                <w:sz w:val="20"/>
              </w:rPr>
              <w:t>20</w:t>
            </w:r>
          </w:p>
        </w:tc>
        <w:tc>
          <w:tcPr>
            <w:tcW w:type="dxa" w:w="2160"/>
          </w:tcPr>
          <w:p>
            <w:r>
              <w:rPr>
                <w:sz w:val="20"/>
              </w:rPr>
            </w:r>
            <w:r>
              <w:rPr>
                <w:sz w:val="20"/>
              </w:rPr>
              <w:t>0.58</w:t>
            </w:r>
          </w:p>
        </w:tc>
        <w:tc>
          <w:tcPr>
            <w:tcW w:type="dxa" w:w="2160"/>
          </w:tcPr>
          <w:p>
            <w:r>
              <w:rPr>
                <w:sz w:val="20"/>
              </w:rPr>
            </w:r>
            <w:r>
              <w:rPr>
                <w:sz w:val="20"/>
              </w:rPr>
              <w:t>Below bar — collapsed to 3 frames, re-coded</w:t>
            </w:r>
          </w:p>
        </w:tc>
      </w:tr>
    </w:tbl>
    <w:p/>
    <w:p>
      <w:pPr>
        <w:pStyle w:val="Heading2"/>
      </w:pPr>
      <w:r>
        <w:t>4.2 Institutional Profile: New Vision at 40 (Desk Findings — REAL)</w:t>
      </w:r>
    </w:p>
    <w:p>
      <w:r>
        <w:rPr>
          <w:i/>
        </w:rPr>
        <w:t>Method: public-document review. All facts below are from public sources; each carries a verification flag where a primary source is still needed.</w:t>
      </w:r>
    </w:p>
    <w:p>
      <w:pPr>
        <w:pStyle w:val="Heading3"/>
      </w:pPr>
      <w:r>
        <w:t>Table 4.2: Verified 40-year timeline (sourced)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r>
            <w:r>
              <w:rPr>
                <w:b/>
                <w:sz w:val="20"/>
              </w:rPr>
              <w:t>Date</w:t>
            </w:r>
          </w:p>
        </w:tc>
        <w:tc>
          <w:tcPr>
            <w:tcW w:type="dxa" w:w="2880"/>
          </w:tcPr>
          <w:p>
            <w:r>
              <w:rPr>
                <w:b/>
                <w:sz w:val="20"/>
              </w:rPr>
            </w:r>
            <w:r>
              <w:rPr>
                <w:b/>
                <w:sz w:val="20"/>
              </w:rPr>
              <w:t>Milestone</w:t>
            </w:r>
          </w:p>
        </w:tc>
        <w:tc>
          <w:tcPr>
            <w:tcW w:type="dxa" w:w="2880"/>
          </w:tcPr>
          <w:p>
            <w:r>
              <w:rPr>
                <w:b/>
                <w:sz w:val="20"/>
              </w:rPr>
            </w:r>
            <w:r>
              <w:rPr>
                <w:b/>
                <w:sz w:val="20"/>
              </w:rPr>
              <w:t>Source</w:t>
            </w:r>
          </w:p>
        </w:tc>
      </w:tr>
      <w:tr>
        <w:tc>
          <w:tcPr>
            <w:tcW w:type="dxa" w:w="2880"/>
          </w:tcPr>
          <w:p>
            <w:r>
              <w:rPr>
                <w:sz w:val="20"/>
              </w:rPr>
            </w:r>
            <w:r>
              <w:rPr>
                <w:sz w:val="20"/>
              </w:rPr>
              <w:t>March 1986</w:t>
            </w:r>
          </w:p>
        </w:tc>
        <w:tc>
          <w:tcPr>
            <w:tcW w:type="dxa" w:w="2880"/>
          </w:tcPr>
          <w:p>
            <w:r>
              <w:rPr>
                <w:sz w:val="20"/>
              </w:rPr>
            </w:r>
            <w:r>
              <w:rPr>
                <w:sz w:val="20"/>
              </w:rPr>
              <w:t xml:space="preserve">New Vision Printing &amp; Publishing Company Ltd (NVPPCL) starts business in Kampala's Industrial Area, succeeding the collapsed </w:t>
            </w:r>
            <w:r>
              <w:rPr>
                <w:i/>
                <w:sz w:val="20"/>
              </w:rPr>
              <w:t>Uganda Times</w:t>
            </w:r>
            <w:r>
              <w:rPr>
                <w:sz w:val="20"/>
              </w:rPr>
              <w:t xml:space="preserve"> economy (first editor: William Pike; inheritance famously "two tables and a typewriter")</w:t>
            </w:r>
          </w:p>
        </w:tc>
        <w:tc>
          <w:tcPr>
            <w:tcW w:type="dxa" w:w="2880"/>
          </w:tcPr>
          <w:p>
            <w:r>
              <w:rPr>
                <w:sz w:val="20"/>
              </w:rPr>
            </w:r>
            <w:r>
              <w:rPr>
                <w:sz w:val="20"/>
              </w:rPr>
              <w:t xml:space="preserve">Wikipedia, </w:t>
            </w:r>
            <w:r>
              <w:rPr>
                <w:i/>
                <w:sz w:val="20"/>
              </w:rPr>
              <w:t>New Vision (newspaper)</w:t>
            </w:r>
            <w:r>
              <w:rPr>
                <w:sz w:val="20"/>
              </w:rPr>
              <w:t xml:space="preserve"> [VERIFY against library holdings: exact first-issue date — mid-1986 dates vary by source]</w:t>
            </w:r>
          </w:p>
        </w:tc>
      </w:tr>
      <w:tr>
        <w:tc>
          <w:tcPr>
            <w:tcW w:type="dxa" w:w="2880"/>
          </w:tcPr>
          <w:p>
            <w:r>
              <w:rPr>
                <w:sz w:val="20"/>
              </w:rPr>
            </w:r>
            <w:r>
              <w:rPr>
                <w:sz w:val="20"/>
              </w:rPr>
              <w:t>1986</w:t>
            </w:r>
          </w:p>
        </w:tc>
        <w:tc>
          <w:tcPr>
            <w:tcW w:type="dxa" w:w="2880"/>
          </w:tcPr>
          <w:p>
            <w:r>
              <w:rPr>
                <w:sz w:val="20"/>
              </w:rPr>
            </w:r>
            <w:r>
              <w:rPr>
                <w:sz w:val="20"/>
              </w:rPr>
              <w:t>Launched as a weekly tabloid (≈UGX 300) under direct state oversight, mandated to promote national unity and development narratives in post-civil-war recovery</w:t>
            </w:r>
          </w:p>
        </w:tc>
        <w:tc>
          <w:tcPr>
            <w:tcW w:type="dxa" w:w="2880"/>
          </w:tcPr>
          <w:p>
            <w:r>
              <w:rPr>
                <w:sz w:val="20"/>
              </w:rPr>
            </w:r>
            <w:r>
              <w:rPr>
                <w:sz w:val="20"/>
              </w:rPr>
              <w:t xml:space="preserve">Grokipedia, </w:t>
            </w:r>
            <w:r>
              <w:rPr>
                <w:i/>
                <w:sz w:val="20"/>
              </w:rPr>
              <w:t>New Vision</w:t>
            </w:r>
            <w:r>
              <w:rPr>
                <w:sz w:val="20"/>
              </w:rPr>
              <w:t xml:space="preserve"> [VERIFY — weak source; corroborate with Sengati-Kauma, 2003]</w:t>
            </w:r>
          </w:p>
        </w:tc>
      </w:tr>
      <w:tr>
        <w:tc>
          <w:tcPr>
            <w:tcW w:type="dxa" w:w="2880"/>
          </w:tcPr>
          <w:p>
            <w:r>
              <w:rPr>
                <w:sz w:val="20"/>
              </w:rPr>
            </w:r>
            <w:r>
              <w:rPr>
                <w:sz w:val="20"/>
              </w:rPr>
              <w:t>1994</w:t>
            </w:r>
          </w:p>
        </w:tc>
        <w:tc>
          <w:tcPr>
            <w:tcW w:type="dxa" w:w="2880"/>
          </w:tcPr>
          <w:p>
            <w:r>
              <w:rPr>
                <w:sz w:val="20"/>
              </w:rPr>
            </w:r>
            <w:r>
              <w:rPr>
                <w:i/>
                <w:sz w:val="20"/>
              </w:rPr>
              <w:t>Bukedde</w:t>
            </w:r>
            <w:r>
              <w:rPr>
                <w:sz w:val="20"/>
              </w:rPr>
              <w:t xml:space="preserve"> Luganda daily launched — becomes Uganda's highest-circulation paper</w:t>
            </w:r>
          </w:p>
        </w:tc>
        <w:tc>
          <w:tcPr>
            <w:tcW w:type="dxa" w:w="2880"/>
          </w:tcPr>
          <w:p>
            <w:r>
              <w:rPr>
                <w:sz w:val="20"/>
              </w:rPr>
            </w:r>
            <w:r>
              <w:rPr>
                <w:sz w:val="20"/>
              </w:rPr>
              <w:t>Chibita, 2010; circulation audit below</w:t>
            </w:r>
          </w:p>
        </w:tc>
      </w:tr>
      <w:tr>
        <w:tc>
          <w:tcPr>
            <w:tcW w:type="dxa" w:w="2880"/>
          </w:tcPr>
          <w:p>
            <w:r>
              <w:rPr>
                <w:sz w:val="20"/>
              </w:rPr>
            </w:r>
            <w:r>
              <w:rPr>
                <w:sz w:val="20"/>
              </w:rPr>
              <w:t>2004</w:t>
            </w:r>
          </w:p>
        </w:tc>
        <w:tc>
          <w:tcPr>
            <w:tcW w:type="dxa" w:w="2880"/>
          </w:tcPr>
          <w:p>
            <w:r>
              <w:rPr>
                <w:sz w:val="20"/>
              </w:rPr>
            </w:r>
            <w:r>
              <w:rPr>
                <w:sz w:val="20"/>
              </w:rPr>
              <w:t xml:space="preserve">Partial privatisation: NVPPCL lists on the Uganda Securities Exchange under ticker </w:t>
            </w:r>
            <w:r>
              <w:rPr>
                <w:b/>
                <w:sz w:val="20"/>
              </w:rPr>
              <w:t>NVL</w:t>
            </w:r>
            <w:r>
              <w:rPr>
                <w:sz w:val="20"/>
              </w:rPr>
              <w:t>; Government of Uganda retains majority (</w:t>
            </w:r>
            <w:r>
              <w:rPr>
                <w:b/>
                <w:sz w:val="20"/>
              </w:rPr>
              <w:t>53.3%</w:t>
            </w:r>
            <w:r>
              <w:rPr>
                <w:sz w:val="20"/>
              </w:rPr>
              <w:t>)</w:t>
            </w:r>
          </w:p>
        </w:tc>
        <w:tc>
          <w:tcPr>
            <w:tcW w:type="dxa" w:w="2880"/>
          </w:tcPr>
          <w:p>
            <w:r>
              <w:rPr>
                <w:sz w:val="20"/>
              </w:rPr>
            </w:r>
            <w:r>
              <w:rPr>
                <w:sz w:val="20"/>
              </w:rPr>
              <w:t xml:space="preserve">Wikipedia, </w:t>
            </w:r>
            <w:r>
              <w:rPr>
                <w:i/>
                <w:sz w:val="20"/>
              </w:rPr>
              <w:t>New Vision</w:t>
            </w:r>
            <w:r>
              <w:rPr>
                <w:sz w:val="20"/>
              </w:rPr>
              <w:t xml:space="preserve"> [VERIFY 53.3% via USE/CMA filings — priority desk task]</w:t>
            </w:r>
          </w:p>
        </w:tc>
      </w:tr>
      <w:tr>
        <w:tc>
          <w:tcPr>
            <w:tcW w:type="dxa" w:w="2880"/>
          </w:tcPr>
          <w:p>
            <w:r>
              <w:rPr>
                <w:sz w:val="20"/>
              </w:rPr>
            </w:r>
            <w:r>
              <w:rPr>
                <w:sz w:val="20"/>
              </w:rPr>
              <w:t>2000s–2010s</w:t>
            </w:r>
          </w:p>
        </w:tc>
        <w:tc>
          <w:tcPr>
            <w:tcW w:type="dxa" w:w="2880"/>
          </w:tcPr>
          <w:p>
            <w:r>
              <w:rPr>
                <w:sz w:val="20"/>
              </w:rPr>
            </w:r>
            <w:r>
              <w:rPr>
                <w:sz w:val="20"/>
              </w:rPr>
              <w:t>Diversification into radio (X-FM, Bukedde FM), TV (Bukedde TV, Urban TV), commercial printing, expos; website + e-paper + apps + social channels</w:t>
            </w:r>
          </w:p>
        </w:tc>
        <w:tc>
          <w:tcPr>
            <w:tcW w:type="dxa" w:w="2880"/>
          </w:tcPr>
          <w:p>
            <w:r>
              <w:rPr>
                <w:sz w:val="20"/>
              </w:rPr>
            </w:r>
            <w:r>
              <w:rPr>
                <w:sz w:val="20"/>
              </w:rPr>
              <w:t>NVPPCL public profiles [VERIFY launch years per platform]</w:t>
            </w:r>
          </w:p>
        </w:tc>
      </w:tr>
      <w:tr>
        <w:tc>
          <w:tcPr>
            <w:tcW w:type="dxa" w:w="2880"/>
          </w:tcPr>
          <w:p>
            <w:r>
              <w:rPr>
                <w:sz w:val="20"/>
              </w:rPr>
            </w:r>
            <w:r>
              <w:rPr>
                <w:sz w:val="20"/>
              </w:rPr>
              <w:t>Q4 2019</w:t>
            </w:r>
          </w:p>
        </w:tc>
        <w:tc>
          <w:tcPr>
            <w:tcW w:type="dxa" w:w="2880"/>
          </w:tcPr>
          <w:p>
            <w:r>
              <w:rPr>
                <w:sz w:val="20"/>
              </w:rPr>
            </w:r>
            <w:r>
              <w:rPr>
                <w:sz w:val="20"/>
              </w:rPr>
              <w:t xml:space="preserve">Uganda's top circulations: </w:t>
            </w:r>
            <w:r>
              <w:rPr>
                <w:i/>
                <w:sz w:val="20"/>
              </w:rPr>
              <w:t>Bukedde</w:t>
            </w:r>
            <w:r>
              <w:rPr>
                <w:sz w:val="20"/>
              </w:rPr>
              <w:t xml:space="preserve"> </w:t>
            </w:r>
            <w:r>
              <w:rPr>
                <w:b/>
                <w:sz w:val="20"/>
              </w:rPr>
              <w:t>33,289</w:t>
            </w:r>
            <w:r>
              <w:rPr>
                <w:sz w:val="20"/>
              </w:rPr>
              <w:t xml:space="preserve">; </w:t>
            </w:r>
            <w:r>
              <w:rPr>
                <w:i/>
                <w:sz w:val="20"/>
              </w:rPr>
              <w:t>New Vision</w:t>
            </w:r>
            <w:r>
              <w:rPr>
                <w:sz w:val="20"/>
              </w:rPr>
              <w:t xml:space="preserve"> </w:t>
            </w:r>
            <w:r>
              <w:rPr>
                <w:b/>
                <w:sz w:val="20"/>
              </w:rPr>
              <w:t>23,636</w:t>
            </w:r>
            <w:r>
              <w:rPr>
                <w:sz w:val="20"/>
              </w:rPr>
              <w:t xml:space="preserve">; </w:t>
            </w:r>
            <w:r>
              <w:rPr>
                <w:i/>
                <w:sz w:val="20"/>
              </w:rPr>
              <w:t>Daily Monitor</w:t>
            </w:r>
            <w:r>
              <w:rPr>
                <w:sz w:val="20"/>
              </w:rPr>
              <w:t xml:space="preserve"> 16,169 (print copies)</w:t>
            </w:r>
          </w:p>
        </w:tc>
        <w:tc>
          <w:tcPr>
            <w:tcW w:type="dxa" w:w="2880"/>
          </w:tcPr>
          <w:p>
            <w:r>
              <w:rPr>
                <w:sz w:val="20"/>
              </w:rPr>
            </w:r>
            <w:r>
              <w:rPr>
                <w:sz w:val="20"/>
              </w:rPr>
              <w:t xml:space="preserve">Wikipedia, </w:t>
            </w:r>
            <w:r>
              <w:rPr>
                <w:i/>
                <w:sz w:val="20"/>
              </w:rPr>
              <w:t>New Vision</w:t>
            </w:r>
            <w:r>
              <w:rPr>
                <w:sz w:val="20"/>
              </w:rPr>
              <w:t>, citing Audit Bureau of Circulations [VERIFY original ABC report]</w:t>
            </w:r>
          </w:p>
        </w:tc>
      </w:tr>
      <w:tr>
        <w:tc>
          <w:tcPr>
            <w:tcW w:type="dxa" w:w="2880"/>
          </w:tcPr>
          <w:p>
            <w:r>
              <w:rPr>
                <w:sz w:val="20"/>
              </w:rPr>
            </w:r>
            <w:r>
              <w:rPr>
                <w:sz w:val="20"/>
              </w:rPr>
              <w:t>2026</w:t>
            </w:r>
          </w:p>
        </w:tc>
        <w:tc>
          <w:tcPr>
            <w:tcW w:type="dxa" w:w="2880"/>
          </w:tcPr>
          <w:p>
            <w:r>
              <w:rPr>
                <w:sz w:val="20"/>
              </w:rPr>
            </w:r>
            <w:r>
              <w:rPr>
                <w:sz w:val="20"/>
              </w:rPr>
              <w:t>Reported editorial transition: Barbara Kaija (long-serving editor) → Sidney Miria Babanga (30 June 2026)</w:t>
            </w:r>
          </w:p>
        </w:tc>
        <w:tc>
          <w:tcPr>
            <w:tcW w:type="dxa" w:w="2880"/>
          </w:tcPr>
          <w:p>
            <w:r>
              <w:rPr>
                <w:sz w:val="20"/>
              </w:rPr>
            </w:r>
            <w:r>
              <w:rPr>
                <w:sz w:val="20"/>
              </w:rPr>
              <w:t xml:space="preserve">Wikipedia, </w:t>
            </w:r>
            <w:r>
              <w:rPr>
                <w:i/>
                <w:sz w:val="20"/>
              </w:rPr>
              <w:t>New Vision</w:t>
            </w:r>
            <w:r>
              <w:rPr>
                <w:sz w:val="20"/>
              </w:rPr>
              <w:t xml:space="preserve"> [VERIFY — corroborate with press reports]</w:t>
            </w:r>
          </w:p>
        </w:tc>
      </w:tr>
      <w:tr>
        <w:tc>
          <w:tcPr>
            <w:tcW w:type="dxa" w:w="2880"/>
          </w:tcPr>
          <w:p>
            <w:r>
              <w:rPr>
                <w:sz w:val="20"/>
              </w:rPr>
            </w:r>
            <w:r>
              <w:rPr>
                <w:sz w:val="20"/>
              </w:rPr>
              <w:t>2026</w:t>
            </w:r>
          </w:p>
        </w:tc>
        <w:tc>
          <w:tcPr>
            <w:tcW w:type="dxa" w:w="2880"/>
          </w:tcPr>
          <w:p>
            <w:r>
              <w:rPr>
                <w:sz w:val="20"/>
              </w:rPr>
            </w:r>
            <w:r>
              <w:rPr>
                <w:sz w:val="20"/>
              </w:rPr>
              <w:t>40th anniversary year; Uganda presidential election scheduled (RSF: "vital that journalists are able to work in complete safety")</w:t>
            </w:r>
          </w:p>
        </w:tc>
        <w:tc>
          <w:tcPr>
            <w:tcW w:type="dxa" w:w="2880"/>
          </w:tcPr>
          <w:p>
            <w:r>
              <w:rPr>
                <w:sz w:val="20"/>
              </w:rPr>
            </w:r>
            <w:r>
              <w:rPr>
                <w:sz w:val="20"/>
              </w:rPr>
              <w:t>DW, 6 May 2025; RSF, 2025</w:t>
            </w:r>
          </w:p>
        </w:tc>
      </w:tr>
    </w:tbl>
    <w:p/>
    <w:p>
      <w:r>
        <w:rPr>
          <w:b/>
        </w:rPr>
        <w:t>Headquarters:</w:t>
      </w:r>
      <w:r>
        <w:t xml:space="preserve"> First Street, Industrial Area, Kampala. </w:t>
      </w:r>
      <w:r>
        <w:rPr>
          <w:b/>
        </w:rPr>
        <w:t>Owner:</w:t>
      </w:r>
      <w:r>
        <w:t xml:space="preserve"> Vision Group (Ugandan Government majority shareholder). </w:t>
      </w:r>
      <w:r>
        <w:rPr>
          <w:b/>
        </w:rPr>
        <w:t>Format:</w:t>
      </w:r>
      <w:r>
        <w:t xml:space="preserve"> Berliner; English flagship + Luganda/regional titles + broadcast + digital.</w:t>
      </w:r>
    </w:p>
    <w:p>
      <w:r>
        <w:rPr>
          <w:b/>
        </w:rPr>
        <w:t>Pilot interpretation (desk-based, preliminary):</w:t>
      </w:r>
      <w:r>
        <w:t xml:space="preserve"> even before primary fieldwork, the public record confirms New Vision's exceptional institutional facts: 40 unbroken years, a hybrid state-majority/USE-listed model (cf. Berger's, 2007 public-commercial category, §2.3.3), and print-market leadership as recently as 2019. The three priority verifications above (first-issue date, 53.3% shareholding, ABC 2019 report) are assigned as desk tasks in §4.8.</w:t>
      </w:r>
    </w:p>
    <w:p>
      <w:pPr>
        <w:pStyle w:val="Heading2"/>
      </w:pPr>
      <w:r>
        <w:t>4.3 Findings on Objective 1: Political Impacts (Desk Findings — REAL + Primary Templates)</w:t>
      </w:r>
    </w:p>
    <w:p>
      <w:pPr>
        <w:pStyle w:val="Heading3"/>
      </w:pPr>
      <w:r>
        <w:t>4.3.1 Election-coverage bias: published monitoring evidence (REAL secondary data)</w:t>
      </w:r>
    </w:p>
    <w:p>
      <w:r>
        <w:t>Two ACME election-monitoring datasets provide the strongest public evidence on New Vision's political slant:</w:t>
      </w:r>
    </w:p>
    <w:p>
      <w:r>
        <w:rPr>
          <w:b/>
        </w:rPr>
        <w:t>January 2016 (ACME monthly monitoring report, published 11 Feb 2016):</w:t>
      </w:r>
    </w:p>
    <w:p>
      <w:pPr>
        <w:pStyle w:val="ListBullet"/>
      </w:pPr>
      <w:r>
        <w:rPr>
          <w:i/>
        </w:rPr>
        <w:t>New Vision</w:t>
      </w:r>
      <w:r>
        <w:t xml:space="preserve"> gave President Museveni </w:t>
      </w:r>
      <w:r>
        <w:rPr>
          <w:b/>
        </w:rPr>
        <w:t>64%</w:t>
      </w:r>
      <w:r>
        <w:t xml:space="preserve"> of candidate space; </w:t>
      </w:r>
      <w:r>
        <w:rPr>
          <w:i/>
        </w:rPr>
        <w:t>Bukedde</w:t>
      </w:r>
      <w:r>
        <w:t xml:space="preserve"> gave </w:t>
      </w:r>
      <w:r>
        <w:rPr>
          <w:b/>
        </w:rPr>
        <w:t>67%</w:t>
      </w:r>
      <w:r>
        <w:t xml:space="preserve"> (ACME, 2016).</w:t>
      </w:r>
    </w:p>
    <w:p>
      <w:pPr>
        <w:pStyle w:val="ListBullet"/>
      </w:pPr>
      <w:r>
        <w:rPr>
          <w:i/>
        </w:rPr>
        <w:t>New Vision</w:t>
      </w:r>
      <w:r>
        <w:t xml:space="preserve"> led with Museveni on the front page on </w:t>
      </w:r>
      <w:r>
        <w:rPr>
          <w:b/>
        </w:rPr>
        <w:t>15 out of 31 days</w:t>
      </w:r>
      <w:r>
        <w:t xml:space="preserve"> in January 2016; on most remaining days the front page carried upbeat government-sector updates (health, tourism, railways, roads) (ACME, 2016).</w:t>
      </w:r>
    </w:p>
    <w:p>
      <w:pPr>
        <w:pStyle w:val="ListBullet"/>
      </w:pPr>
      <w:r>
        <w:t>Up-country radio carried far fewer election stories than Kampala stations; 59% of radio election news lacked background/context; 71% did not interrogate candidate claims; 78% relied on single sources — the low-quality information environment within which New Vision's agenda-setting operated (ACME, 2016).</w:t>
      </w:r>
    </w:p>
    <w:p>
      <w:r>
        <w:rPr>
          <w:b/>
        </w:rPr>
        <w:t>January 2021 (ACME *Uganda Media Coverage of the 2021 Elections*, January Final Report):</w:t>
      </w:r>
    </w:p>
    <w:p>
      <w:pPr>
        <w:pStyle w:val="ListBullet"/>
      </w:pPr>
      <w:r>
        <w:rPr>
          <w:b/>
        </w:rPr>
        <w:t>Right of reply</w:t>
      </w:r>
      <w:r>
        <w:t xml:space="preserve"> (a core fairness indicator): respected in only </w:t>
      </w:r>
      <w:r>
        <w:rPr>
          <w:b/>
        </w:rPr>
        <w:t>12.5%</w:t>
      </w:r>
      <w:r>
        <w:t xml:space="preserve"> of </w:t>
      </w:r>
      <w:r>
        <w:rPr>
          <w:i/>
        </w:rPr>
        <w:t>New Vision</w:t>
      </w:r>
      <w:r>
        <w:t xml:space="preserve"> stories (n=8) — the worst among dailies — vs. 42.9% in </w:t>
      </w:r>
      <w:r>
        <w:rPr>
          <w:i/>
        </w:rPr>
        <w:t>Bukedde</w:t>
      </w:r>
      <w:r>
        <w:t xml:space="preserve"> (n=14) and 25.0% in </w:t>
      </w:r>
      <w:r>
        <w:rPr>
          <w:i/>
        </w:rPr>
        <w:t>Daily Monitor</w:t>
      </w:r>
      <w:r>
        <w:t xml:space="preserve"> (n=4) (ACME, 2021, Table 15B).</w:t>
      </w:r>
    </w:p>
    <w:p>
      <w:pPr>
        <w:pStyle w:val="ListBullet"/>
      </w:pPr>
      <w:r>
        <w:rPr>
          <w:b/>
        </w:rPr>
        <w:t>Zero investigative election reporting</w:t>
      </w:r>
      <w:r>
        <w:t xml:space="preserve"> across all monitored platforms; enterprise/interpretive stories declined; radio and TV (the platforms most Ugandans rely on) performed worst (ACME, 2021).</w:t>
      </w:r>
    </w:p>
    <w:p>
      <w:pPr>
        <w:pStyle w:val="ListBullet"/>
      </w:pPr>
      <w:r>
        <w:t>Recurring gaps across election cycles: incumbent dominance on public/state media, self-censorship, denial of opposition ad space, and attempts by government actors to influence visuals (ACME, 2021).</w:t>
      </w:r>
    </w:p>
    <w:p>
      <w:r>
        <w:rPr>
          <w:b/>
        </w:rPr>
        <w:t>Pilot interpretation (preliminary):</w:t>
      </w:r>
      <w:r>
        <w:t xml:space="preserve"> two independent election cycles (2016, 2021) converge: </w:t>
      </w:r>
      <w:r>
        <w:rPr>
          <w:i/>
        </w:rPr>
        <w:t>New Vision</w:t>
      </w:r>
      <w:r>
        <w:t xml:space="preserve">'s electoral agenda-setting consistently favoured the incumbent on the two most countable indicators (space share, front-page leads) and scored poorest on reply-right fairness in 2021. This directly supports the Chapter Two expectation of pro-government electoral framing (§2.5.2; Kalyango, 2011; Mwesige, 2009) — but as </w:t>
      </w:r>
      <w:r>
        <w:rPr>
          <w:i/>
        </w:rPr>
        <w:t>secondary</w:t>
      </w:r>
      <w:r>
        <w:t xml:space="preserve"> evidence. The pilot's 100-edition coding (§4.3.3) must test whether the pattern holds in the researcher's own sample, including non-election periods and </w:t>
      </w:r>
      <w:r>
        <w:rPr>
          <w:i/>
        </w:rPr>
        <w:t>Bukedde</w:t>
      </w:r>
      <w:r>
        <w:t>/regional titles.</w:t>
      </w:r>
    </w:p>
    <w:p>
      <w:pPr>
        <w:pStyle w:val="Heading3"/>
      </w:pPr>
      <w:r>
        <w:t>4.3.2 Gendered political voice: published evidence (REAL secondary data)</w:t>
      </w:r>
    </w:p>
    <w:p>
      <w:pPr>
        <w:pStyle w:val="ListBullet"/>
      </w:pPr>
      <w:r>
        <w:t xml:space="preserve">Of </w:t>
      </w:r>
      <w:r>
        <w:rPr>
          <w:b/>
        </w:rPr>
        <w:t>2,624 election stories</w:t>
      </w:r>
      <w:r>
        <w:t xml:space="preserve"> in five newspapers (Dec 2015–Feb 2016), women were news subjects in only </w:t>
      </w:r>
      <w:r>
        <w:rPr>
          <w:b/>
        </w:rPr>
        <w:t>20%</w:t>
      </w:r>
      <w:r>
        <w:t>; men dominated 80%; no paper exceeded 24% (UMWA, reported by ACME, 28 Jun 2016).</w:t>
      </w:r>
    </w:p>
    <w:p>
      <w:pPr>
        <w:pStyle w:val="ListBullet"/>
      </w:pPr>
      <w:r>
        <w:t xml:space="preserve">Women were </w:t>
      </w:r>
      <w:r>
        <w:rPr>
          <w:b/>
        </w:rPr>
        <w:t>directly quoted in only 15%</w:t>
      </w:r>
      <w:r>
        <w:t xml:space="preserve"> of stories; 100% of motherhood/caregiving references attached to women while professions went unmentioned; language frequently sexist/stereotypical (UMWA/ACME, 2016).</w:t>
      </w:r>
    </w:p>
    <w:p>
      <w:pPr>
        <w:pStyle w:val="ListBullet"/>
      </w:pPr>
      <w:r>
        <w:t xml:space="preserve">ACME's parallel 2016 monitoring: </w:t>
      </w:r>
      <w:r>
        <w:rPr>
          <w:b/>
        </w:rPr>
        <w:t>male sources exceeded 80%</w:t>
      </w:r>
      <w:r>
        <w:t xml:space="preserve"> (Sept 2015–Mar 2016) (ACME, 2016).</w:t>
      </w:r>
    </w:p>
    <w:p>
      <w:r>
        <w:rPr>
          <w:b/>
        </w:rPr>
        <w:t>Pilot implication:</w:t>
      </w:r>
      <w:r>
        <w:t xml:space="preserve"> the 100-edition coding sheet therefore includes </w:t>
      </w:r>
      <w:r>
        <w:rPr>
          <w:i/>
        </w:rPr>
        <w:t>women-sources count</w:t>
      </w:r>
      <w:r>
        <w:t xml:space="preserve"> and </w:t>
      </w:r>
      <w:r>
        <w:rPr>
          <w:i/>
        </w:rPr>
        <w:t>women-as-subjects</w:t>
      </w:r>
      <w:r>
        <w:t xml:space="preserve"> flags (§3.8) so the pilot can report whether New Vision's own 40-year trend matches or beats the industry-wide 2015/16 baseline.</w:t>
      </w:r>
    </w:p>
    <w:p>
      <w:pPr>
        <w:pStyle w:val="Heading3"/>
      </w:pPr>
      <w:r>
        <w:t>4.3.3 Press-freedom environment (REAL secondary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r>
            <w:r>
              <w:rPr>
                <w:b/>
                <w:sz w:val="20"/>
              </w:rPr>
              <w:t>Year</w:t>
            </w:r>
          </w:p>
        </w:tc>
        <w:tc>
          <w:tcPr>
            <w:tcW w:type="dxa" w:w="2160"/>
          </w:tcPr>
          <w:p>
            <w:r>
              <w:rPr>
                <w:b/>
                <w:sz w:val="20"/>
              </w:rPr>
            </w:r>
            <w:r>
              <w:rPr>
                <w:b/>
                <w:sz w:val="20"/>
              </w:rPr>
              <w:t>Uganda rank (of ~180)</w:t>
            </w:r>
          </w:p>
        </w:tc>
        <w:tc>
          <w:tcPr>
            <w:tcW w:type="dxa" w:w="2160"/>
          </w:tcPr>
          <w:p>
            <w:r>
              <w:rPr>
                <w:b/>
                <w:sz w:val="20"/>
              </w:rPr>
            </w:r>
            <w:r>
              <w:rPr>
                <w:b/>
                <w:sz w:val="20"/>
              </w:rPr>
              <w:t>Source</w:t>
            </w:r>
          </w:p>
        </w:tc>
        <w:tc>
          <w:tcPr>
            <w:tcW w:type="dxa" w:w="2160"/>
          </w:tcPr>
          <w:p>
            <w:r>
              <w:rPr>
                <w:b/>
                <w:sz w:val="20"/>
              </w:rPr>
            </w:r>
            <w:r>
              <w:rPr>
                <w:b/>
                <w:sz w:val="20"/>
              </w:rPr>
              <w:t>Note</w:t>
            </w:r>
          </w:p>
        </w:tc>
      </w:tr>
      <w:tr>
        <w:tc>
          <w:tcPr>
            <w:tcW w:type="dxa" w:w="2160"/>
          </w:tcPr>
          <w:p>
            <w:r>
              <w:rPr>
                <w:sz w:val="20"/>
              </w:rPr>
            </w:r>
            <w:r>
              <w:rPr>
                <w:sz w:val="20"/>
              </w:rPr>
              <w:t>2023</w:t>
            </w:r>
          </w:p>
        </w:tc>
        <w:tc>
          <w:tcPr>
            <w:tcW w:type="dxa" w:w="2160"/>
          </w:tcPr>
          <w:p>
            <w:r>
              <w:rPr>
                <w:sz w:val="20"/>
              </w:rPr>
            </w:r>
            <w:r>
              <w:rPr>
                <w:b/>
                <w:sz w:val="20"/>
              </w:rPr>
              <w:t>125th</w:t>
            </w:r>
          </w:p>
        </w:tc>
        <w:tc>
          <w:tcPr>
            <w:tcW w:type="dxa" w:w="2160"/>
          </w:tcPr>
          <w:p>
            <w:r>
              <w:rPr>
                <w:sz w:val="20"/>
              </w:rPr>
            </w:r>
            <w:r>
              <w:rPr>
                <w:sz w:val="20"/>
              </w:rPr>
              <w:t>RSF, 2023 (via Ch.2 §2.3.2)</w:t>
            </w:r>
          </w:p>
        </w:tc>
        <w:tc>
          <w:tcPr>
            <w:tcW w:type="dxa" w:w="2160"/>
          </w:tcPr>
          <w:p>
            <w:r>
              <w:rPr>
                <w:sz w:val="20"/>
              </w:rPr>
            </w:r>
            <w:r>
              <w:rPr>
                <w:sz w:val="20"/>
              </w:rPr>
              <w:t>Lower-half global ranking</w:t>
            </w:r>
          </w:p>
        </w:tc>
      </w:tr>
      <w:tr>
        <w:tc>
          <w:tcPr>
            <w:tcW w:type="dxa" w:w="2160"/>
          </w:tcPr>
          <w:p>
            <w:r>
              <w:rPr>
                <w:sz w:val="20"/>
              </w:rPr>
            </w:r>
            <w:r>
              <w:rPr>
                <w:sz w:val="20"/>
              </w:rPr>
              <w:t>2025</w:t>
            </w:r>
          </w:p>
        </w:tc>
        <w:tc>
          <w:tcPr>
            <w:tcW w:type="dxa" w:w="2160"/>
          </w:tcPr>
          <w:p>
            <w:r>
              <w:rPr>
                <w:sz w:val="20"/>
              </w:rPr>
            </w:r>
            <w:r>
              <w:rPr>
                <w:b/>
                <w:sz w:val="20"/>
              </w:rPr>
              <w:t>143rd</w:t>
            </w:r>
            <w:r>
              <w:rPr>
                <w:sz w:val="20"/>
              </w:rPr>
              <w:t xml:space="preserve"> — "very serious" category</w:t>
            </w:r>
          </w:p>
        </w:tc>
        <w:tc>
          <w:tcPr>
            <w:tcW w:type="dxa" w:w="2160"/>
          </w:tcPr>
          <w:p>
            <w:r>
              <w:rPr>
                <w:sz w:val="20"/>
              </w:rPr>
            </w:r>
            <w:r>
              <w:rPr>
                <w:sz w:val="20"/>
              </w:rPr>
              <w:t>RSF Africa 2025 page; DW, 6 May 2025</w:t>
            </w:r>
          </w:p>
        </w:tc>
        <w:tc>
          <w:tcPr>
            <w:tcW w:type="dxa" w:w="2160"/>
          </w:tcPr>
          <w:p>
            <w:r>
              <w:rPr>
                <w:sz w:val="20"/>
              </w:rPr>
            </w:r>
            <w:r>
              <w:rPr>
                <w:sz w:val="20"/>
              </w:rPr>
              <w:t>RSF: ownership concentrated among groups close to power; journalists face "intimidation and violence on a nearly daily basis" (DW)</w:t>
            </w:r>
          </w:p>
        </w:tc>
      </w:tr>
    </w:tbl>
    <w:p/>
    <w:p>
      <w:r>
        <w:rPr>
          <w:b/>
        </w:rPr>
        <w:t>Pilot interpretation:</w:t>
      </w:r>
      <w:r>
        <w:t xml:space="preserve"> the 2023→2025 slide (125th→143rd) sharpens the study's problem statement (§1.2): New Vision's 40th year coincides with Uganda's worst recorded press-freedom band. The final thesis must add the RSF 2026 figure at write-up (check </w:t>
      </w:r>
      <w:r>
        <w:rPr>
          <w:rFonts w:ascii="Courier New" w:hAnsi="Courier New"/>
          <w:sz w:val="20"/>
        </w:rPr>
        <w:t>rsf.org/en/ranking</w:t>
      </w:r>
      <w:r>
        <w:t>).</w:t>
      </w:r>
    </w:p>
    <w:p>
      <w:pPr>
        <w:pStyle w:val="Heading3"/>
      </w:pPr>
      <w:r>
        <w:t>4.3.4 Researcher's content results — first 3 editions coded (REAL, n=29 items)</w:t>
      </w:r>
    </w:p>
    <w:p>
      <w:r>
        <w:rPr>
          <w:i/>
        </w:rPr>
        <w:t>Full item lists and URLs: `Gathered-Editions-Log.md`. Coding by Edition Coding Sheet (Instrument 1); single-coded — double-coding scheduled at n=20.</w:t>
      </w:r>
    </w:p>
    <w:p>
      <w:r>
        <w:rPr>
          <w:b/>
        </w:rPr>
        <w:t>Table 4.3 (REAL): Issue distribution across 3 gathered editions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r>
            <w:r>
              <w:rPr>
                <w:b/>
                <w:sz w:val="20"/>
              </w:rPr>
              <w:t>Issue</w:t>
            </w:r>
          </w:p>
        </w:tc>
        <w:tc>
          <w:tcPr>
            <w:tcW w:type="dxa" w:w="1728"/>
          </w:tcPr>
          <w:p>
            <w:r>
              <w:rPr>
                <w:b/>
                <w:sz w:val="20"/>
              </w:rPr>
            </w:r>
            <w:r>
              <w:rPr>
                <w:b/>
                <w:sz w:val="20"/>
              </w:rPr>
              <w:t>2010-06-16 (n=8)</w:t>
            </w:r>
          </w:p>
        </w:tc>
        <w:tc>
          <w:tcPr>
            <w:tcW w:type="dxa" w:w="1728"/>
          </w:tcPr>
          <w:p>
            <w:r>
              <w:rPr>
                <w:b/>
                <w:sz w:val="20"/>
              </w:rPr>
            </w:r>
            <w:r>
              <w:rPr>
                <w:b/>
                <w:sz w:val="20"/>
              </w:rPr>
              <w:t>2016-01-20 (n=9)</w:t>
            </w:r>
          </w:p>
        </w:tc>
        <w:tc>
          <w:tcPr>
            <w:tcW w:type="dxa" w:w="1728"/>
          </w:tcPr>
          <w:p>
            <w:r>
              <w:rPr>
                <w:b/>
                <w:sz w:val="20"/>
              </w:rPr>
            </w:r>
            <w:r>
              <w:rPr>
                <w:b/>
                <w:sz w:val="20"/>
              </w:rPr>
              <w:t>2026-09-20 (n=12)</w:t>
            </w:r>
          </w:p>
        </w:tc>
        <w:tc>
          <w:tcPr>
            <w:tcW w:type="dxa" w:w="1728"/>
          </w:tcPr>
          <w:p>
            <w:r>
              <w:rPr>
                <w:b/>
                <w:sz w:val="20"/>
              </w:rPr>
            </w:r>
            <w:r>
              <w:rPr>
                <w:b/>
                <w:sz w:val="20"/>
              </w:rPr>
              <w:t>Total (n=29)</w:t>
            </w:r>
          </w:p>
        </w:tc>
      </w:tr>
      <w:tr>
        <w:tc>
          <w:tcPr>
            <w:tcW w:type="dxa" w:w="1728"/>
          </w:tcPr>
          <w:p>
            <w:r>
              <w:rPr>
                <w:sz w:val="20"/>
              </w:rPr>
            </w:r>
            <w:r>
              <w:rPr>
                <w:sz w:val="20"/>
              </w:rPr>
              <w:t>Politics (POL)</w:t>
            </w:r>
          </w:p>
        </w:tc>
        <w:tc>
          <w:tcPr>
            <w:tcW w:type="dxa" w:w="1728"/>
          </w:tcPr>
          <w:p>
            <w:r>
              <w:rPr>
                <w:sz w:val="20"/>
              </w:rPr>
            </w:r>
            <w:r>
              <w:rPr>
                <w:sz w:val="20"/>
              </w:rPr>
              <w:t>2 (25%)</w:t>
            </w:r>
          </w:p>
        </w:tc>
        <w:tc>
          <w:tcPr>
            <w:tcW w:type="dxa" w:w="1728"/>
          </w:tcPr>
          <w:p>
            <w:r>
              <w:rPr>
                <w:sz w:val="20"/>
              </w:rPr>
            </w:r>
            <w:r>
              <w:rPr>
                <w:sz w:val="20"/>
              </w:rPr>
              <w:t>0 (0%)</w:t>
            </w:r>
          </w:p>
        </w:tc>
        <w:tc>
          <w:tcPr>
            <w:tcW w:type="dxa" w:w="1728"/>
          </w:tcPr>
          <w:p>
            <w:r>
              <w:rPr>
                <w:sz w:val="20"/>
              </w:rPr>
            </w:r>
            <w:r>
              <w:rPr>
                <w:sz w:val="20"/>
              </w:rPr>
              <w:t>3 (25%)</w:t>
            </w:r>
          </w:p>
        </w:tc>
        <w:tc>
          <w:tcPr>
            <w:tcW w:type="dxa" w:w="1728"/>
          </w:tcPr>
          <w:p>
            <w:r>
              <w:rPr>
                <w:sz w:val="20"/>
              </w:rPr>
            </w:r>
            <w:r>
              <w:rPr>
                <w:sz w:val="20"/>
              </w:rPr>
              <w:t>5 (17%)</w:t>
            </w:r>
          </w:p>
        </w:tc>
      </w:tr>
      <w:tr>
        <w:tc>
          <w:tcPr>
            <w:tcW w:type="dxa" w:w="1728"/>
          </w:tcPr>
          <w:p>
            <w:r>
              <w:rPr>
                <w:sz w:val="20"/>
              </w:rPr>
            </w:r>
            <w:r>
              <w:rPr>
                <w:sz w:val="20"/>
              </w:rPr>
              <w:t>Elections (ELE)</w:t>
            </w:r>
          </w:p>
        </w:tc>
        <w:tc>
          <w:tcPr>
            <w:tcW w:type="dxa" w:w="1728"/>
          </w:tcPr>
          <w:p>
            <w:r>
              <w:rPr>
                <w:sz w:val="20"/>
              </w:rPr>
            </w:r>
            <w:r>
              <w:rPr>
                <w:sz w:val="20"/>
              </w:rPr>
              <w:t>0 (0%)</w:t>
            </w:r>
          </w:p>
        </w:tc>
        <w:tc>
          <w:tcPr>
            <w:tcW w:type="dxa" w:w="1728"/>
          </w:tcPr>
          <w:p>
            <w:r>
              <w:rPr>
                <w:sz w:val="20"/>
              </w:rPr>
            </w:r>
            <w:r>
              <w:rPr>
                <w:sz w:val="20"/>
              </w:rPr>
              <w:t>3 (33%)</w:t>
            </w:r>
          </w:p>
        </w:tc>
        <w:tc>
          <w:tcPr>
            <w:tcW w:type="dxa" w:w="1728"/>
          </w:tcPr>
          <w:p>
            <w:r>
              <w:rPr>
                <w:sz w:val="20"/>
              </w:rPr>
            </w:r>
            <w:r>
              <w:rPr>
                <w:sz w:val="20"/>
              </w:rPr>
              <w:t>0 (0%)</w:t>
            </w:r>
          </w:p>
        </w:tc>
        <w:tc>
          <w:tcPr>
            <w:tcW w:type="dxa" w:w="1728"/>
          </w:tcPr>
          <w:p>
            <w:r>
              <w:rPr>
                <w:sz w:val="20"/>
              </w:rPr>
            </w:r>
            <w:r>
              <w:rPr>
                <w:sz w:val="20"/>
              </w:rPr>
              <w:t>3 (10%)</w:t>
            </w:r>
          </w:p>
        </w:tc>
      </w:tr>
      <w:tr>
        <w:tc>
          <w:tcPr>
            <w:tcW w:type="dxa" w:w="1728"/>
          </w:tcPr>
          <w:p>
            <w:r>
              <w:rPr>
                <w:sz w:val="20"/>
              </w:rPr>
            </w:r>
            <w:r>
              <w:rPr>
                <w:sz w:val="20"/>
              </w:rPr>
              <w:t>Economy/Business (ECO)</w:t>
            </w:r>
          </w:p>
        </w:tc>
        <w:tc>
          <w:tcPr>
            <w:tcW w:type="dxa" w:w="1728"/>
          </w:tcPr>
          <w:p>
            <w:r>
              <w:rPr>
                <w:sz w:val="20"/>
              </w:rPr>
            </w:r>
            <w:r>
              <w:rPr>
                <w:sz w:val="20"/>
              </w:rPr>
              <w:t>3 (38%)</w:t>
            </w:r>
          </w:p>
        </w:tc>
        <w:tc>
          <w:tcPr>
            <w:tcW w:type="dxa" w:w="1728"/>
          </w:tcPr>
          <w:p>
            <w:r>
              <w:rPr>
                <w:sz w:val="20"/>
              </w:rPr>
            </w:r>
            <w:r>
              <w:rPr>
                <w:sz w:val="20"/>
              </w:rPr>
              <w:t>0 (0%)</w:t>
            </w:r>
          </w:p>
        </w:tc>
        <w:tc>
          <w:tcPr>
            <w:tcW w:type="dxa" w:w="1728"/>
          </w:tcPr>
          <w:p>
            <w:r>
              <w:rPr>
                <w:sz w:val="20"/>
              </w:rPr>
            </w:r>
            <w:r>
              <w:rPr>
                <w:sz w:val="20"/>
              </w:rPr>
              <w:t>1 (8%)</w:t>
            </w:r>
          </w:p>
        </w:tc>
        <w:tc>
          <w:tcPr>
            <w:tcW w:type="dxa" w:w="1728"/>
          </w:tcPr>
          <w:p>
            <w:r>
              <w:rPr>
                <w:sz w:val="20"/>
              </w:rPr>
            </w:r>
            <w:r>
              <w:rPr>
                <w:sz w:val="20"/>
              </w:rPr>
              <w:t>4 (14%)</w:t>
            </w:r>
          </w:p>
        </w:tc>
      </w:tr>
      <w:tr>
        <w:tc>
          <w:tcPr>
            <w:tcW w:type="dxa" w:w="1728"/>
          </w:tcPr>
          <w:p>
            <w:r>
              <w:rPr>
                <w:sz w:val="20"/>
              </w:rPr>
            </w:r>
            <w:r>
              <w:rPr>
                <w:sz w:val="20"/>
              </w:rPr>
              <w:t>Health (HEA)</w:t>
            </w:r>
          </w:p>
        </w:tc>
        <w:tc>
          <w:tcPr>
            <w:tcW w:type="dxa" w:w="1728"/>
          </w:tcPr>
          <w:p>
            <w:r>
              <w:rPr>
                <w:sz w:val="20"/>
              </w:rPr>
            </w:r>
            <w:r>
              <w:rPr>
                <w:sz w:val="20"/>
              </w:rPr>
              <w:t>2 (25%)</w:t>
            </w:r>
          </w:p>
        </w:tc>
        <w:tc>
          <w:tcPr>
            <w:tcW w:type="dxa" w:w="1728"/>
          </w:tcPr>
          <w:p>
            <w:r>
              <w:rPr>
                <w:sz w:val="20"/>
              </w:rPr>
            </w:r>
            <w:r>
              <w:rPr>
                <w:sz w:val="20"/>
              </w:rPr>
              <w:t>1 (11%)</w:t>
            </w:r>
          </w:p>
        </w:tc>
        <w:tc>
          <w:tcPr>
            <w:tcW w:type="dxa" w:w="1728"/>
          </w:tcPr>
          <w:p>
            <w:r>
              <w:rPr>
                <w:sz w:val="20"/>
              </w:rPr>
            </w:r>
            <w:r>
              <w:rPr>
                <w:sz w:val="20"/>
              </w:rPr>
              <w:t>0 (0%)</w:t>
            </w:r>
          </w:p>
        </w:tc>
        <w:tc>
          <w:tcPr>
            <w:tcW w:type="dxa" w:w="1728"/>
          </w:tcPr>
          <w:p>
            <w:r>
              <w:rPr>
                <w:sz w:val="20"/>
              </w:rPr>
            </w:r>
            <w:r>
              <w:rPr>
                <w:sz w:val="20"/>
              </w:rPr>
              <w:t>3 (10%)</w:t>
            </w:r>
          </w:p>
        </w:tc>
      </w:tr>
      <w:tr>
        <w:tc>
          <w:tcPr>
            <w:tcW w:type="dxa" w:w="1728"/>
          </w:tcPr>
          <w:p>
            <w:r>
              <w:rPr>
                <w:sz w:val="20"/>
              </w:rPr>
            </w:r>
            <w:r>
              <w:rPr>
                <w:sz w:val="20"/>
              </w:rPr>
              <w:t>Education (EDU)</w:t>
            </w:r>
          </w:p>
        </w:tc>
        <w:tc>
          <w:tcPr>
            <w:tcW w:type="dxa" w:w="1728"/>
          </w:tcPr>
          <w:p>
            <w:r>
              <w:rPr>
                <w:sz w:val="20"/>
              </w:rPr>
            </w:r>
            <w:r>
              <w:rPr>
                <w:sz w:val="20"/>
              </w:rPr>
              <w:t>0 (0%)</w:t>
            </w:r>
          </w:p>
        </w:tc>
        <w:tc>
          <w:tcPr>
            <w:tcW w:type="dxa" w:w="1728"/>
          </w:tcPr>
          <w:p>
            <w:r>
              <w:rPr>
                <w:sz w:val="20"/>
              </w:rPr>
            </w:r>
            <w:r>
              <w:rPr>
                <w:sz w:val="20"/>
              </w:rPr>
              <w:t>1 (11%)</w:t>
            </w:r>
          </w:p>
        </w:tc>
        <w:tc>
          <w:tcPr>
            <w:tcW w:type="dxa" w:w="1728"/>
          </w:tcPr>
          <w:p>
            <w:r>
              <w:rPr>
                <w:sz w:val="20"/>
              </w:rPr>
            </w:r>
            <w:r>
              <w:rPr>
                <w:sz w:val="20"/>
              </w:rPr>
              <w:t>0 (0%)</w:t>
            </w:r>
          </w:p>
        </w:tc>
        <w:tc>
          <w:tcPr>
            <w:tcW w:type="dxa" w:w="1728"/>
          </w:tcPr>
          <w:p>
            <w:r>
              <w:rPr>
                <w:sz w:val="20"/>
              </w:rPr>
            </w:r>
            <w:r>
              <w:rPr>
                <w:sz w:val="20"/>
              </w:rPr>
              <w:t>1 (3%)</w:t>
            </w:r>
          </w:p>
        </w:tc>
      </w:tr>
      <w:tr>
        <w:tc>
          <w:tcPr>
            <w:tcW w:type="dxa" w:w="1728"/>
          </w:tcPr>
          <w:p>
            <w:r>
              <w:rPr>
                <w:sz w:val="20"/>
              </w:rPr>
            </w:r>
            <w:r>
              <w:rPr>
                <w:sz w:val="20"/>
              </w:rPr>
              <w:t>Security/Crime (SEC)</w:t>
            </w:r>
          </w:p>
        </w:tc>
        <w:tc>
          <w:tcPr>
            <w:tcW w:type="dxa" w:w="1728"/>
          </w:tcPr>
          <w:p>
            <w:r>
              <w:rPr>
                <w:sz w:val="20"/>
              </w:rPr>
            </w:r>
            <w:r>
              <w:rPr>
                <w:sz w:val="20"/>
              </w:rPr>
              <w:t>0 (0%)</w:t>
            </w:r>
          </w:p>
        </w:tc>
        <w:tc>
          <w:tcPr>
            <w:tcW w:type="dxa" w:w="1728"/>
          </w:tcPr>
          <w:p>
            <w:r>
              <w:rPr>
                <w:sz w:val="20"/>
              </w:rPr>
            </w:r>
            <w:r>
              <w:rPr>
                <w:sz w:val="20"/>
              </w:rPr>
              <w:t>1 (11%)</w:t>
            </w:r>
          </w:p>
        </w:tc>
        <w:tc>
          <w:tcPr>
            <w:tcW w:type="dxa" w:w="1728"/>
          </w:tcPr>
          <w:p>
            <w:r>
              <w:rPr>
                <w:sz w:val="20"/>
              </w:rPr>
            </w:r>
            <w:r>
              <w:rPr>
                <w:sz w:val="20"/>
              </w:rPr>
              <w:t>2 (17%)</w:t>
            </w:r>
          </w:p>
        </w:tc>
        <w:tc>
          <w:tcPr>
            <w:tcW w:type="dxa" w:w="1728"/>
          </w:tcPr>
          <w:p>
            <w:r>
              <w:rPr>
                <w:sz w:val="20"/>
              </w:rPr>
            </w:r>
            <w:r>
              <w:rPr>
                <w:sz w:val="20"/>
              </w:rPr>
              <w:t>3 (10%)</w:t>
            </w:r>
          </w:p>
        </w:tc>
      </w:tr>
      <w:tr>
        <w:tc>
          <w:tcPr>
            <w:tcW w:type="dxa" w:w="1728"/>
          </w:tcPr>
          <w:p>
            <w:r>
              <w:rPr>
                <w:sz w:val="20"/>
              </w:rPr>
            </w:r>
            <w:r>
              <w:rPr>
                <w:sz w:val="20"/>
              </w:rPr>
              <w:t>Sport (SPO)</w:t>
            </w:r>
          </w:p>
        </w:tc>
        <w:tc>
          <w:tcPr>
            <w:tcW w:type="dxa" w:w="1728"/>
          </w:tcPr>
          <w:p>
            <w:r>
              <w:rPr>
                <w:sz w:val="20"/>
              </w:rPr>
            </w:r>
            <w:r>
              <w:rPr>
                <w:sz w:val="20"/>
              </w:rPr>
              <w:t>1 (13%)</w:t>
            </w:r>
          </w:p>
        </w:tc>
        <w:tc>
          <w:tcPr>
            <w:tcW w:type="dxa" w:w="1728"/>
          </w:tcPr>
          <w:p>
            <w:r>
              <w:rPr>
                <w:sz w:val="20"/>
              </w:rPr>
            </w:r>
            <w:r>
              <w:rPr>
                <w:sz w:val="20"/>
              </w:rPr>
              <w:t>2 (22%)</w:t>
            </w:r>
          </w:p>
        </w:tc>
        <w:tc>
          <w:tcPr>
            <w:tcW w:type="dxa" w:w="1728"/>
          </w:tcPr>
          <w:p>
            <w:r>
              <w:rPr>
                <w:sz w:val="20"/>
              </w:rPr>
            </w:r>
            <w:r>
              <w:rPr>
                <w:sz w:val="20"/>
              </w:rPr>
              <w:t>0 (0%)</w:t>
            </w:r>
          </w:p>
        </w:tc>
        <w:tc>
          <w:tcPr>
            <w:tcW w:type="dxa" w:w="1728"/>
          </w:tcPr>
          <w:p>
            <w:r>
              <w:rPr>
                <w:sz w:val="20"/>
              </w:rPr>
            </w:r>
            <w:r>
              <w:rPr>
                <w:sz w:val="20"/>
              </w:rPr>
              <w:t>3 (10%)</w:t>
            </w:r>
          </w:p>
        </w:tc>
      </w:tr>
      <w:tr>
        <w:tc>
          <w:tcPr>
            <w:tcW w:type="dxa" w:w="1728"/>
          </w:tcPr>
          <w:p>
            <w:r>
              <w:rPr>
                <w:sz w:val="20"/>
              </w:rPr>
            </w:r>
            <w:r>
              <w:rPr>
                <w:sz w:val="20"/>
              </w:rPr>
              <w:t>Agriculture (AGR)</w:t>
            </w:r>
          </w:p>
        </w:tc>
        <w:tc>
          <w:tcPr>
            <w:tcW w:type="dxa" w:w="1728"/>
          </w:tcPr>
          <w:p>
            <w:r>
              <w:rPr>
                <w:sz w:val="20"/>
              </w:rPr>
            </w:r>
            <w:r>
              <w:rPr>
                <w:sz w:val="20"/>
              </w:rPr>
              <w:t>0 (0%)</w:t>
            </w:r>
          </w:p>
        </w:tc>
        <w:tc>
          <w:tcPr>
            <w:tcW w:type="dxa" w:w="1728"/>
          </w:tcPr>
          <w:p>
            <w:r>
              <w:rPr>
                <w:sz w:val="20"/>
              </w:rPr>
            </w:r>
            <w:r>
              <w:rPr>
                <w:sz w:val="20"/>
              </w:rPr>
              <w:t>0 (0%)</w:t>
            </w:r>
          </w:p>
        </w:tc>
        <w:tc>
          <w:tcPr>
            <w:tcW w:type="dxa" w:w="1728"/>
          </w:tcPr>
          <w:p>
            <w:r>
              <w:rPr>
                <w:sz w:val="20"/>
              </w:rPr>
            </w:r>
            <w:r>
              <w:rPr>
                <w:sz w:val="20"/>
              </w:rPr>
              <w:t>1 (8%)</w:t>
            </w:r>
          </w:p>
        </w:tc>
        <w:tc>
          <w:tcPr>
            <w:tcW w:type="dxa" w:w="1728"/>
          </w:tcPr>
          <w:p>
            <w:r>
              <w:rPr>
                <w:sz w:val="20"/>
              </w:rPr>
            </w:r>
            <w:r>
              <w:rPr>
                <w:sz w:val="20"/>
              </w:rPr>
              <w:t>1 (3%)</w:t>
            </w:r>
          </w:p>
        </w:tc>
      </w:tr>
      <w:tr>
        <w:tc>
          <w:tcPr>
            <w:tcW w:type="dxa" w:w="1728"/>
          </w:tcPr>
          <w:p>
            <w:r>
              <w:rPr>
                <w:sz w:val="20"/>
              </w:rPr>
            </w:r>
            <w:r>
              <w:rPr>
                <w:sz w:val="20"/>
              </w:rPr>
              <w:t>Tourism (TOUR)</w:t>
            </w:r>
          </w:p>
        </w:tc>
        <w:tc>
          <w:tcPr>
            <w:tcW w:type="dxa" w:w="1728"/>
          </w:tcPr>
          <w:p>
            <w:r>
              <w:rPr>
                <w:sz w:val="20"/>
              </w:rPr>
            </w:r>
            <w:r>
              <w:rPr>
                <w:sz w:val="20"/>
              </w:rPr>
              <w:t>0 (0%)</w:t>
            </w:r>
          </w:p>
        </w:tc>
        <w:tc>
          <w:tcPr>
            <w:tcW w:type="dxa" w:w="1728"/>
          </w:tcPr>
          <w:p>
            <w:r>
              <w:rPr>
                <w:sz w:val="20"/>
              </w:rPr>
            </w:r>
            <w:r>
              <w:rPr>
                <w:sz w:val="20"/>
              </w:rPr>
              <w:t>0 (0%)</w:t>
            </w:r>
          </w:p>
        </w:tc>
        <w:tc>
          <w:tcPr>
            <w:tcW w:type="dxa" w:w="1728"/>
          </w:tcPr>
          <w:p>
            <w:r>
              <w:rPr>
                <w:sz w:val="20"/>
              </w:rPr>
            </w:r>
            <w:r>
              <w:rPr>
                <w:sz w:val="20"/>
              </w:rPr>
              <w:t>1 (8%)</w:t>
            </w:r>
          </w:p>
        </w:tc>
        <w:tc>
          <w:tcPr>
            <w:tcW w:type="dxa" w:w="1728"/>
          </w:tcPr>
          <w:p>
            <w:r>
              <w:rPr>
                <w:sz w:val="20"/>
              </w:rPr>
            </w:r>
            <w:r>
              <w:rPr>
                <w:sz w:val="20"/>
              </w:rPr>
              <w:t>1 (3%)</w:t>
            </w:r>
          </w:p>
        </w:tc>
      </w:tr>
      <w:tr>
        <w:tc>
          <w:tcPr>
            <w:tcW w:type="dxa" w:w="1728"/>
          </w:tcPr>
          <w:p>
            <w:r>
              <w:rPr>
                <w:sz w:val="20"/>
              </w:rPr>
            </w:r>
            <w:r>
              <w:rPr>
                <w:sz w:val="20"/>
              </w:rPr>
              <w:t>Environment (ENV)</w:t>
            </w:r>
          </w:p>
        </w:tc>
        <w:tc>
          <w:tcPr>
            <w:tcW w:type="dxa" w:w="1728"/>
          </w:tcPr>
          <w:p>
            <w:r>
              <w:rPr>
                <w:sz w:val="20"/>
              </w:rPr>
            </w:r>
            <w:r>
              <w:rPr>
                <w:sz w:val="20"/>
              </w:rPr>
              <w:t>0 (0%)</w:t>
            </w:r>
          </w:p>
        </w:tc>
        <w:tc>
          <w:tcPr>
            <w:tcW w:type="dxa" w:w="1728"/>
          </w:tcPr>
          <w:p>
            <w:r>
              <w:rPr>
                <w:sz w:val="20"/>
              </w:rPr>
            </w:r>
            <w:r>
              <w:rPr>
                <w:sz w:val="20"/>
              </w:rPr>
              <w:t>1 (11%)</w:t>
            </w:r>
          </w:p>
        </w:tc>
        <w:tc>
          <w:tcPr>
            <w:tcW w:type="dxa" w:w="1728"/>
          </w:tcPr>
          <w:p>
            <w:r>
              <w:rPr>
                <w:sz w:val="20"/>
              </w:rPr>
            </w:r>
            <w:r>
              <w:rPr>
                <w:sz w:val="20"/>
              </w:rPr>
              <w:t>0 (0%)</w:t>
            </w:r>
          </w:p>
        </w:tc>
        <w:tc>
          <w:tcPr>
            <w:tcW w:type="dxa" w:w="1728"/>
          </w:tcPr>
          <w:p>
            <w:r>
              <w:rPr>
                <w:sz w:val="20"/>
              </w:rPr>
            </w:r>
            <w:r>
              <w:rPr>
                <w:sz w:val="20"/>
              </w:rPr>
              <w:t>1 (3%)</w:t>
            </w:r>
          </w:p>
        </w:tc>
      </w:tr>
      <w:tr>
        <w:tc>
          <w:tcPr>
            <w:tcW w:type="dxa" w:w="1728"/>
          </w:tcPr>
          <w:p>
            <w:r>
              <w:rPr>
                <w:sz w:val="20"/>
              </w:rPr>
            </w:r>
            <w:r>
              <w:rPr>
                <w:sz w:val="20"/>
              </w:rPr>
              <w:t>Entertainment (ENT)</w:t>
            </w:r>
          </w:p>
        </w:tc>
        <w:tc>
          <w:tcPr>
            <w:tcW w:type="dxa" w:w="1728"/>
          </w:tcPr>
          <w:p>
            <w:r>
              <w:rPr>
                <w:sz w:val="20"/>
              </w:rPr>
            </w:r>
            <w:r>
              <w:rPr>
                <w:sz w:val="20"/>
              </w:rPr>
              <w:t>0 (0%)</w:t>
            </w:r>
          </w:p>
        </w:tc>
        <w:tc>
          <w:tcPr>
            <w:tcW w:type="dxa" w:w="1728"/>
          </w:tcPr>
          <w:p>
            <w:r>
              <w:rPr>
                <w:sz w:val="20"/>
              </w:rPr>
            </w:r>
            <w:r>
              <w:rPr>
                <w:sz w:val="20"/>
              </w:rPr>
              <w:t>0 (0%)</w:t>
            </w:r>
          </w:p>
        </w:tc>
        <w:tc>
          <w:tcPr>
            <w:tcW w:type="dxa" w:w="1728"/>
          </w:tcPr>
          <w:p>
            <w:r>
              <w:rPr>
                <w:sz w:val="20"/>
              </w:rPr>
            </w:r>
            <w:r>
              <w:rPr>
                <w:sz w:val="20"/>
              </w:rPr>
              <w:t>1 (8%)</w:t>
            </w:r>
          </w:p>
        </w:tc>
        <w:tc>
          <w:tcPr>
            <w:tcW w:type="dxa" w:w="1728"/>
          </w:tcPr>
          <w:p>
            <w:r>
              <w:rPr>
                <w:sz w:val="20"/>
              </w:rPr>
            </w:r>
            <w:r>
              <w:rPr>
                <w:sz w:val="20"/>
              </w:rPr>
              <w:t>1 (3%)</w:t>
            </w:r>
          </w:p>
        </w:tc>
      </w:tr>
      <w:tr>
        <w:tc>
          <w:tcPr>
            <w:tcW w:type="dxa" w:w="1728"/>
          </w:tcPr>
          <w:p>
            <w:r>
              <w:rPr>
                <w:sz w:val="20"/>
              </w:rPr>
            </w:r>
            <w:r>
              <w:rPr>
                <w:sz w:val="20"/>
              </w:rPr>
              <w:t>International (INTL)</w:t>
            </w:r>
          </w:p>
        </w:tc>
        <w:tc>
          <w:tcPr>
            <w:tcW w:type="dxa" w:w="1728"/>
          </w:tcPr>
          <w:p>
            <w:r>
              <w:rPr>
                <w:sz w:val="20"/>
              </w:rPr>
            </w:r>
            <w:r>
              <w:rPr>
                <w:sz w:val="20"/>
              </w:rPr>
              <w:t>0 (0%)</w:t>
            </w:r>
          </w:p>
        </w:tc>
        <w:tc>
          <w:tcPr>
            <w:tcW w:type="dxa" w:w="1728"/>
          </w:tcPr>
          <w:p>
            <w:r>
              <w:rPr>
                <w:sz w:val="20"/>
              </w:rPr>
            </w:r>
            <w:r>
              <w:rPr>
                <w:sz w:val="20"/>
              </w:rPr>
              <w:t>0 (0%)</w:t>
            </w:r>
          </w:p>
        </w:tc>
        <w:tc>
          <w:tcPr>
            <w:tcW w:type="dxa" w:w="1728"/>
          </w:tcPr>
          <w:p>
            <w:r>
              <w:rPr>
                <w:sz w:val="20"/>
              </w:rPr>
            </w:r>
            <w:r>
              <w:rPr>
                <w:sz w:val="20"/>
              </w:rPr>
              <w:t>3 (25%)</w:t>
            </w:r>
          </w:p>
        </w:tc>
        <w:tc>
          <w:tcPr>
            <w:tcW w:type="dxa" w:w="1728"/>
          </w:tcPr>
          <w:p>
            <w:r>
              <w:rPr>
                <w:sz w:val="20"/>
              </w:rPr>
            </w:r>
            <w:r>
              <w:rPr>
                <w:sz w:val="20"/>
              </w:rPr>
              <w:t>3 (10%)</w:t>
            </w:r>
          </w:p>
        </w:tc>
      </w:tr>
      <w:tr>
        <w:tc>
          <w:tcPr>
            <w:tcW w:type="dxa" w:w="1728"/>
          </w:tcPr>
          <w:p>
            <w:r>
              <w:rPr>
                <w:sz w:val="20"/>
              </w:rPr>
            </w:r>
            <w:r>
              <w:rPr>
                <w:b/>
                <w:sz w:val="20"/>
              </w:rPr>
              <w:t>Development-flagged (any)</w:t>
            </w:r>
          </w:p>
        </w:tc>
        <w:tc>
          <w:tcPr>
            <w:tcW w:type="dxa" w:w="1728"/>
          </w:tcPr>
          <w:p>
            <w:r>
              <w:rPr>
                <w:sz w:val="20"/>
              </w:rPr>
            </w:r>
            <w:r>
              <w:rPr>
                <w:b/>
                <w:sz w:val="20"/>
              </w:rPr>
              <w:t>4 (50%)</w:t>
            </w:r>
          </w:p>
        </w:tc>
        <w:tc>
          <w:tcPr>
            <w:tcW w:type="dxa" w:w="1728"/>
          </w:tcPr>
          <w:p>
            <w:r>
              <w:rPr>
                <w:sz w:val="20"/>
              </w:rPr>
            </w:r>
            <w:r>
              <w:rPr>
                <w:b/>
                <w:sz w:val="20"/>
              </w:rPr>
              <w:t>5 (56%)</w:t>
            </w:r>
          </w:p>
        </w:tc>
        <w:tc>
          <w:tcPr>
            <w:tcW w:type="dxa" w:w="1728"/>
          </w:tcPr>
          <w:p>
            <w:r>
              <w:rPr>
                <w:sz w:val="20"/>
              </w:rPr>
            </w:r>
            <w:r>
              <w:rPr>
                <w:b/>
                <w:sz w:val="20"/>
              </w:rPr>
              <w:t>3 (25%)</w:t>
            </w:r>
          </w:p>
        </w:tc>
        <w:tc>
          <w:tcPr>
            <w:tcW w:type="dxa" w:w="1728"/>
          </w:tcPr>
          <w:p>
            <w:r>
              <w:rPr>
                <w:sz w:val="20"/>
              </w:rPr>
            </w:r>
            <w:r>
              <w:rPr>
                <w:b/>
                <w:sz w:val="20"/>
              </w:rPr>
              <w:t>12 (41%)</w:t>
            </w:r>
          </w:p>
        </w:tc>
      </w:tr>
    </w:tbl>
    <w:p/>
    <w:p>
      <w:r>
        <w:rPr>
          <w:b/>
        </w:rPr>
        <w:t>Table 4.4 (REAL): Stance of classifiable political items (n=7)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r>
            <w:r>
              <w:rPr>
                <w:b/>
                <w:sz w:val="20"/>
              </w:rPr>
              <w:t>Stance</w:t>
            </w:r>
          </w:p>
        </w:tc>
        <w:tc>
          <w:tcPr>
            <w:tcW w:type="dxa" w:w="2160"/>
          </w:tcPr>
          <w:p>
            <w:r>
              <w:rPr>
                <w:b/>
                <w:sz w:val="20"/>
              </w:rPr>
            </w:r>
            <w:r>
              <w:rPr>
                <w:b/>
                <w:sz w:val="20"/>
              </w:rPr>
              <w:t>n</w:t>
            </w:r>
          </w:p>
        </w:tc>
        <w:tc>
          <w:tcPr>
            <w:tcW w:type="dxa" w:w="2160"/>
          </w:tcPr>
          <w:p>
            <w:r>
              <w:rPr>
                <w:b/>
                <w:sz w:val="20"/>
              </w:rPr>
            </w:r>
            <w:r>
              <w:rPr>
                <w:b/>
                <w:sz w:val="20"/>
              </w:rPr>
              <w:t>%</w:t>
            </w:r>
          </w:p>
        </w:tc>
        <w:tc>
          <w:tcPr>
            <w:tcW w:type="dxa" w:w="2160"/>
          </w:tcPr>
          <w:p>
            <w:r>
              <w:rPr>
                <w:b/>
                <w:sz w:val="20"/>
              </w:rPr>
            </w:r>
            <w:r>
              <w:rPr>
                <w:b/>
                <w:sz w:val="20"/>
              </w:rPr>
              <w:t>Example headlines (verbatim)</w:t>
            </w:r>
          </w:p>
        </w:tc>
      </w:tr>
      <w:tr>
        <w:tc>
          <w:tcPr>
            <w:tcW w:type="dxa" w:w="2160"/>
          </w:tcPr>
          <w:p>
            <w:r>
              <w:rPr>
                <w:sz w:val="20"/>
              </w:rPr>
            </w:r>
            <w:r>
              <w:rPr>
                <w:sz w:val="20"/>
              </w:rPr>
              <w:t>Favourable to government/incumbent</w:t>
            </w:r>
          </w:p>
        </w:tc>
        <w:tc>
          <w:tcPr>
            <w:tcW w:type="dxa" w:w="2160"/>
          </w:tcPr>
          <w:p>
            <w:r>
              <w:rPr>
                <w:sz w:val="20"/>
              </w:rPr>
            </w:r>
            <w:r>
              <w:rPr>
                <w:sz w:val="20"/>
              </w:rPr>
              <w:t>4</w:t>
            </w:r>
          </w:p>
        </w:tc>
        <w:tc>
          <w:tcPr>
            <w:tcW w:type="dxa" w:w="2160"/>
          </w:tcPr>
          <w:p>
            <w:r>
              <w:rPr>
                <w:sz w:val="20"/>
              </w:rPr>
            </w:r>
            <w:r>
              <w:rPr>
                <w:sz w:val="20"/>
              </w:rPr>
              <w:t>57%</w:t>
            </w:r>
          </w:p>
        </w:tc>
        <w:tc>
          <w:tcPr>
            <w:tcW w:type="dxa" w:w="2160"/>
          </w:tcPr>
          <w:p>
            <w:r>
              <w:rPr>
                <w:sz w:val="20"/>
              </w:rPr>
            </w:r>
            <w:r>
              <w:rPr>
                <w:sz w:val="20"/>
              </w:rPr>
              <w:t>"Army warns opposition" (2010); "Exploit border trade, Museveni urges Bundibugyo" (2016); "Govt gives farmers 150 tractors" + "Museveni's 82nd birthday at Kololo" (2026)</w:t>
            </w:r>
          </w:p>
        </w:tc>
      </w:tr>
      <w:tr>
        <w:tc>
          <w:tcPr>
            <w:tcW w:type="dxa" w:w="2160"/>
          </w:tcPr>
          <w:p>
            <w:r>
              <w:rPr>
                <w:sz w:val="20"/>
              </w:rPr>
            </w:r>
            <w:r>
              <w:rPr>
                <w:sz w:val="20"/>
              </w:rPr>
              <w:t>Neutral/balanced</w:t>
            </w:r>
          </w:p>
        </w:tc>
        <w:tc>
          <w:tcPr>
            <w:tcW w:type="dxa" w:w="2160"/>
          </w:tcPr>
          <w:p>
            <w:r>
              <w:rPr>
                <w:sz w:val="20"/>
              </w:rPr>
            </w:r>
            <w:r>
              <w:rPr>
                <w:sz w:val="20"/>
              </w:rPr>
              <w:t>1</w:t>
            </w:r>
          </w:p>
        </w:tc>
        <w:tc>
          <w:tcPr>
            <w:tcW w:type="dxa" w:w="2160"/>
          </w:tcPr>
          <w:p>
            <w:r>
              <w:rPr>
                <w:sz w:val="20"/>
              </w:rPr>
            </w:r>
            <w:r>
              <w:rPr>
                <w:sz w:val="20"/>
              </w:rPr>
              <w:t>14%</w:t>
            </w:r>
          </w:p>
        </w:tc>
        <w:tc>
          <w:tcPr>
            <w:tcW w:type="dxa" w:w="2160"/>
          </w:tcPr>
          <w:p>
            <w:r>
              <w:rPr>
                <w:sz w:val="20"/>
              </w:rPr>
            </w:r>
            <w:r>
              <w:rPr>
                <w:sz w:val="20"/>
              </w:rPr>
              <w:t>"Uganda pushes for UN action on development funding" (2026)</w:t>
            </w:r>
          </w:p>
        </w:tc>
      </w:tr>
      <w:tr>
        <w:tc>
          <w:tcPr>
            <w:tcW w:type="dxa" w:w="2160"/>
          </w:tcPr>
          <w:p>
            <w:r>
              <w:rPr>
                <w:sz w:val="20"/>
              </w:rPr>
            </w:r>
            <w:r>
              <w:rPr>
                <w:sz w:val="20"/>
              </w:rPr>
              <w:t>Unfavourable/critical of state actors</w:t>
            </w:r>
          </w:p>
        </w:tc>
        <w:tc>
          <w:tcPr>
            <w:tcW w:type="dxa" w:w="2160"/>
          </w:tcPr>
          <w:p>
            <w:r>
              <w:rPr>
                <w:sz w:val="20"/>
              </w:rPr>
            </w:r>
            <w:r>
              <w:rPr>
                <w:sz w:val="20"/>
              </w:rPr>
              <w:t>2</w:t>
            </w:r>
          </w:p>
        </w:tc>
        <w:tc>
          <w:tcPr>
            <w:tcW w:type="dxa" w:w="2160"/>
          </w:tcPr>
          <w:p>
            <w:r>
              <w:rPr>
                <w:sz w:val="20"/>
              </w:rPr>
            </w:r>
            <w:r>
              <w:rPr>
                <w:sz w:val="20"/>
              </w:rPr>
              <w:t>29%</w:t>
            </w:r>
          </w:p>
        </w:tc>
        <w:tc>
          <w:tcPr>
            <w:tcW w:type="dxa" w:w="2160"/>
          </w:tcPr>
          <w:p>
            <w:r>
              <w:rPr>
                <w:sz w:val="20"/>
              </w:rPr>
            </w:r>
            <w:r>
              <w:rPr>
                <w:sz w:val="20"/>
              </w:rPr>
              <w:t>"Local govts fail to recover sh8b from councillors" + "Uganda lacks half of required health workers" (both 2010)</w:t>
            </w:r>
          </w:p>
        </w:tc>
      </w:tr>
    </w:tbl>
    <w:p/>
    <w:p>
      <w:r>
        <w:rPr>
          <w:b/>
        </w:rPr>
        <w:t>Women as sources/subjects (REAL, n=29):</w:t>
      </w:r>
      <w:r>
        <w:t xml:space="preserve"> 1 confirmed (2010 "Fake doctor…" — mother + girl victim) + 1 probable (2026 beauty-event story) — directionally consistent with the UMWA/ACME industry baseline (§4.3.2); the full 100 will quantify it.</w:t>
      </w:r>
    </w:p>
    <w:p>
      <w:r>
        <w:rPr>
          <w:b/>
        </w:rPr>
        <w:t>Preliminary interpretation (3-edition micro-sample — illustrative, NOT conclusive):</w:t>
      </w:r>
    </w:p>
    <w:p>
      <w:pPr>
        <w:pStyle w:val="ListNumber"/>
      </w:pPr>
      <w:r>
        <w:rPr>
          <w:b/>
        </w:rPr>
        <w:t>Politics+elections = 8/29 (28%)</w:t>
      </w:r>
      <w:r>
        <w:t xml:space="preserve"> — New Vision leads with more than politics even one month before the 2016 polls (that homepage carried 2 sport, 1 health, 1 education, 1 environment item alongside 3 election items), nuancing the print-front-page bias finding: </w:t>
      </w:r>
      <w:r>
        <w:rPr>
          <w:i/>
        </w:rPr>
        <w:t>online homepage agenda ≠ print front-page agenda</w:t>
      </w:r>
      <w:r>
        <w:t xml:space="preserve"> — flagged for the full study.</w:t>
      </w:r>
    </w:p>
    <w:p>
      <w:pPr>
        <w:pStyle w:val="ListNumber"/>
      </w:pPr>
      <w:r>
        <w:rPr>
          <w:b/>
        </w:rPr>
        <w:t>Development share 12/29 (41%)</w:t>
      </w:r>
      <w:r>
        <w:t xml:space="preserve"> — first-blush support for the Development Media Theory pathway (P3 in </w:t>
      </w:r>
      <w:r>
        <w:rPr>
          <w:rFonts w:ascii="Courier New" w:hAnsi="Courier New"/>
          <w:sz w:val="20"/>
        </w:rPr>
        <w:t>Theory-of-Change.md</w:t>
      </w:r>
      <w:r>
        <w:t>).</w:t>
      </w:r>
    </w:p>
    <w:p>
      <w:pPr>
        <w:pStyle w:val="ListNumber"/>
      </w:pPr>
      <w:r>
        <w:rPr>
          <w:b/>
        </w:rPr>
        <w:t>Stance is mixed, not monolithic:</w:t>
      </w:r>
      <w:r>
        <w:t xml:space="preserve"> 57% favourable coexists with 29% accountability-critical items — first-blush support for the ToC's "bounded, not captured" P1 claim. The full 100 must test whether criticism survives in election windows and on national (vs. local) government.</w:t>
      </w:r>
    </w:p>
    <w:p>
      <w:pPr>
        <w:pStyle w:val="ListNumber"/>
      </w:pPr>
      <w:r>
        <w:rPr>
          <w:b/>
        </w:rPr>
        <w:t>Museveni-visibility check (Jan 2016):</w:t>
      </w:r>
      <w:r>
        <w:t xml:space="preserve"> this homepage shows 1 Museveni item of 9 — below ACME's print finding (front-page lead 15/31 days) — consistent with web/print agenda divergence, not contradiction.</w:t>
      </w:r>
    </w:p>
    <w:p>
      <w:pPr>
        <w:pStyle w:val="Heading3"/>
      </w:pPr>
      <w:r>
        <w:t>[YOUR DATA — PENDING] Tables to complete at n=100: 4.5 Actor presence by decade; 4.6 Stance by decade × election-window; 4.7 Dominant frames in election items (Entman-lite). Figures: clustered bar chart of issue shares; stance trend line. Pre-registered expected patterns: `Hypothetical-Projections-DO-NOT-SUBMIT.md` (planning only — never submit).</w:t>
      </w:r>
    </w:p>
    <w:p>
      <w:pPr>
        <w:pStyle w:val="Heading3"/>
      </w:pPr>
      <w:r>
        <w:t>4.3.5 Survey agenda + trust items [YOUR DATA — PENDING]</w:t>
      </w:r>
    </w:p>
    <w:p>
      <w:pPr>
        <w:pStyle w:val="ListBullet"/>
      </w:pPr>
      <w:r>
        <w:t>"Most important problem" ranking vs. coded New Vision agenda (rank comparison table).</w:t>
      </w:r>
    </w:p>
    <w:p>
      <w:pPr>
        <w:pStyle w:val="ListBullet"/>
      </w:pPr>
      <w:r>
        <w:t>Trust scores (0–10) per outlet; fairness-during-elections item (Table: Government strongly … Balanced … Don't know).</w:t>
      </w:r>
    </w:p>
    <w:p>
      <w:pPr>
        <w:pStyle w:val="ListBullet"/>
      </w:pPr>
      <w:r>
        <w:t>FGD-style open ends (Q on memorable political coverage): 3–5 illustrative quotes.</w:t>
      </w:r>
    </w:p>
    <w:p>
      <w:pPr>
        <w:pStyle w:val="Heading3"/>
      </w:pPr>
      <w:r>
        <w:t>4.3.6 KII political-economy evidence [YOUR DATA — PENDING]</w:t>
      </w:r>
    </w:p>
    <w:p>
      <w:pPr>
        <w:pStyle w:val="ListBullet"/>
      </w:pPr>
      <w:r>
        <w:t>Thematic matrix (3 informants × ownership pressure / advertiser influence / autonomy episodes / digital verdict), anonymised.</w:t>
      </w:r>
    </w:p>
    <w:p>
      <w:pPr>
        <w:pStyle w:val="Heading3"/>
      </w:pPr>
      <w:r>
        <w:t>4.3.7 Objective 1 preliminary synthesis [DRAFT AFTER FIELDWORK]</w:t>
      </w:r>
    </w:p>
    <w:p>
      <w:pPr>
        <w:pStyle w:val="ListBullet"/>
      </w:pPr>
      <w:r>
        <w:t>Joint display: strongest desk statistic + strongest own count + strongest quote per sub-finding; convergence/divergence verdict.</w:t>
      </w:r>
    </w:p>
    <w:p>
      <w:pPr>
        <w:pStyle w:val="Heading2"/>
      </w:pPr>
      <w:r>
        <w:t>4.4 Findings on Objective 2: Economic Impacts (Desk — REAL + Templates)</w:t>
      </w:r>
    </w:p>
    <w:p>
      <w:pPr>
        <w:pStyle w:val="Heading3"/>
      </w:pPr>
      <w:r>
        <w:t>4.4.1 What the public record already shows (REAL)</w:t>
      </w:r>
    </w:p>
    <w:p>
      <w:pPr>
        <w:pStyle w:val="ListBullet"/>
      </w:pPr>
      <w:r>
        <w:rPr>
          <w:b/>
        </w:rPr>
        <w:t>Market leadership (print):</w:t>
      </w:r>
      <w:r>
        <w:t xml:space="preserve"> Q4 2019 — </w:t>
      </w:r>
      <w:r>
        <w:rPr>
          <w:i/>
        </w:rPr>
        <w:t>Bukedde</w:t>
      </w:r>
      <w:r>
        <w:t xml:space="preserve"> 33,289; </w:t>
      </w:r>
      <w:r>
        <w:rPr>
          <w:i/>
        </w:rPr>
        <w:t>New Vision</w:t>
      </w:r>
      <w:r>
        <w:t xml:space="preserve"> 23,636; </w:t>
      </w:r>
      <w:r>
        <w:rPr>
          <w:i/>
        </w:rPr>
        <w:t>Monitor</w:t>
      </w:r>
      <w:r>
        <w:t xml:space="preserve"> 16,169 (ABC via Wikipedia [VERIFY original]).</w:t>
      </w:r>
    </w:p>
    <w:p>
      <w:pPr>
        <w:pStyle w:val="ListBullet"/>
      </w:pPr>
      <w:r>
        <w:rPr>
          <w:b/>
        </w:rPr>
        <w:t>Ownership/finance structure:</w:t>
      </w:r>
      <w:r>
        <w:t xml:space="preserve"> state-majority (53.3%) USE-listed (NVL) since 2004 [VERIFY via USE/CMA].</w:t>
      </w:r>
    </w:p>
    <w:p>
      <w:pPr>
        <w:pStyle w:val="ListBullet"/>
      </w:pPr>
      <w:r>
        <w:rPr>
          <w:b/>
        </w:rPr>
        <w:t>Diversification:</w:t>
      </w:r>
      <w:r>
        <w:t xml:space="preserve"> print → broadcast → digital → commercial printing → expos (launch years to verify per platform).</w:t>
      </w:r>
    </w:p>
    <w:p>
      <w:pPr>
        <w:pStyle w:val="ListBullet"/>
      </w:pPr>
      <w:r>
        <w:rPr>
          <w:b/>
        </w:rPr>
        <w:t>Advertising footprint evolution (REAL, from the 3 gathered editions):</w:t>
      </w:r>
      <w:r>
        <w:t xml:space="preserve"> 2010 homepage carried display banners for Kenya Airways, NAADS, Dahabshiil, auto importers, safari firms — a visibly diversified advertiser base (Obj. 2 commercial-evidence); by 2016 the site offered self-service </w:t>
      </w:r>
      <w:r>
        <w:rPr>
          <w:b/>
        </w:rPr>
        <w:t>"Book Advert"</w:t>
      </w:r>
      <w:r>
        <w:t xml:space="preserve"> online booking + RSS/subscription products; by 2026 there is a dedicated </w:t>
      </w:r>
      <w:r>
        <w:rPr>
          <w:b/>
        </w:rPr>
        <w:t>Advertising Rates page</w:t>
      </w:r>
      <w:r>
        <w:t xml:space="preserve">, classifieds vertical, and expo businesses (Harvest Money, Bride &amp; Groom). This documents the </w:t>
      </w:r>
      <w:r>
        <w:rPr>
          <w:i/>
        </w:rPr>
        <w:t>commercialisation</w:t>
      </w:r>
      <w:r>
        <w:t xml:space="preserve"> leg of P2 even before revenue figures are obtained.</w:t>
      </w:r>
    </w:p>
    <w:p>
      <w:pPr>
        <w:pStyle w:val="Heading3"/>
      </w:pPr>
      <w:r>
        <w:t>4.4.2 What the public record does NOT show (pilot gaps → full-study tasks)</w:t>
      </w:r>
    </w:p>
    <w:p>
      <w:pPr>
        <w:pStyle w:val="ListBullet"/>
      </w:pPr>
      <w:r>
        <w:t xml:space="preserve">Employment headcount/wage time-series; advertising-revenue/market-share series; printing-division revenues; expo economics; digital-revenue share. The pilot reports these as </w:t>
      </w:r>
      <w:r>
        <w:rPr>
          <w:b/>
        </w:rPr>
        <w:t>documented absences</w:t>
      </w:r>
      <w:r>
        <w:t xml:space="preserve"> (with search trail) rather than pretending to measure them.</w:t>
      </w:r>
    </w:p>
    <w:p>
      <w:pPr>
        <w:pStyle w:val="Heading3"/>
      </w:pPr>
      <w:r>
        <w:t>[YOUR DATA — PENDING] §4.4.3–4.4.5: survey employment/advertising-awareness items; KII commercial testimony; pilot economic verdict (conservative, desk-led).</w:t>
      </w:r>
    </w:p>
    <w:p>
      <w:pPr>
        <w:pStyle w:val="Heading2"/>
      </w:pPr>
      <w:r>
        <w:t>4.5 Findings on Objective 3: Social/Development Impacts (Desk — REAL + Templates)</w:t>
      </w:r>
    </w:p>
    <w:p>
      <w:pPr>
        <w:pStyle w:val="Heading3"/>
      </w:pPr>
      <w:r>
        <w:t>4.5.1 Health communication (REAL secondary baseline)</w:t>
      </w:r>
    </w:p>
    <w:p>
      <w:pPr>
        <w:pStyle w:val="ListBullet"/>
      </w:pPr>
      <w:r>
        <w:t xml:space="preserve">Uganda's HIV/AIDS communication success (prevalence &gt;15% → &lt;6% by early 2000s; UNAIDS, 2022) with New Vision's sustained coverage role documented in §2.8.1 (Nassanga, 2008). The pilot's thematic coding (health flag within the 100 editions + campaign-linkage codes) tests the </w:t>
      </w:r>
      <w:r>
        <w:rPr>
          <w:i/>
        </w:rPr>
        <w:t>intensity and tone</w:t>
      </w:r>
      <w:r>
        <w:t xml:space="preserve"> of that role in the researcher's own sample.</w:t>
      </w:r>
    </w:p>
    <w:p>
      <w:pPr>
        <w:pStyle w:val="Heading3"/>
      </w:pPr>
      <w:r>
        <w:t>[YOUR DATA — PENDING] §4.5.2–4.5.5: health/education/unity item counts by decade (from the 100); tone/actionability mini-table; survey recall items (D4/D5: "message that changed behaviour"); KII development verdict; Development Media Theory scorecard (met/exceeded/betrayed per criterion).</w:t>
      </w:r>
    </w:p>
    <w:p>
      <w:pPr>
        <w:pStyle w:val="Heading2"/>
      </w:pPr>
      <w:r>
        <w:t>4.6 Findings on Objective 4: Digital Transformation (Desk — REAL + Templates)</w:t>
      </w:r>
    </w:p>
    <w:p>
      <w:pPr>
        <w:pStyle w:val="Heading3"/>
      </w:pPr>
      <w:r>
        <w:t>4.6.1 Uganda's digital environment, January 2025 (REAL — DataReportal)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r>
            <w:r>
              <w:rPr>
                <w:b/>
                <w:sz w:val="20"/>
              </w:rPr>
              <w:t>Indicator</w:t>
            </w:r>
          </w:p>
        </w:tc>
        <w:tc>
          <w:tcPr>
            <w:tcW w:type="dxa" w:w="2160"/>
          </w:tcPr>
          <w:p>
            <w:r>
              <w:rPr>
                <w:b/>
                <w:sz w:val="20"/>
              </w:rPr>
            </w:r>
            <w:r>
              <w:rPr>
                <w:b/>
                <w:sz w:val="20"/>
              </w:rPr>
              <w:t>Jan 2025</w:t>
            </w:r>
          </w:p>
        </w:tc>
        <w:tc>
          <w:tcPr>
            <w:tcW w:type="dxa" w:w="2160"/>
          </w:tcPr>
          <w:p>
            <w:r>
              <w:rPr>
                <w:b/>
                <w:sz w:val="20"/>
              </w:rPr>
            </w:r>
            <w:r>
              <w:rPr>
                <w:b/>
                <w:sz w:val="20"/>
              </w:rPr>
              <w:t>Change YoY</w:t>
            </w:r>
          </w:p>
        </w:tc>
        <w:tc>
          <w:tcPr>
            <w:tcW w:type="dxa" w:w="2160"/>
          </w:tcPr>
          <w:p>
            <w:r>
              <w:rPr>
                <w:b/>
                <w:sz w:val="20"/>
              </w:rPr>
            </w:r>
            <w:r>
              <w:rPr>
                <w:b/>
                <w:sz w:val="20"/>
              </w:rPr>
              <w:t>Source</w:t>
            </w:r>
          </w:p>
        </w:tc>
      </w:tr>
      <w:tr>
        <w:tc>
          <w:tcPr>
            <w:tcW w:type="dxa" w:w="2160"/>
          </w:tcPr>
          <w:p>
            <w:r>
              <w:rPr>
                <w:sz w:val="20"/>
              </w:rPr>
            </w:r>
            <w:r>
              <w:rPr>
                <w:sz w:val="20"/>
              </w:rPr>
              <w:t>Population</w:t>
            </w:r>
          </w:p>
        </w:tc>
        <w:tc>
          <w:tcPr>
            <w:tcW w:type="dxa" w:w="2160"/>
          </w:tcPr>
          <w:p>
            <w:r>
              <w:rPr>
                <w:sz w:val="20"/>
              </w:rPr>
            </w:r>
            <w:r>
              <w:rPr>
                <w:b/>
                <w:sz w:val="20"/>
              </w:rPr>
              <w:t>50.7M</w:t>
            </w:r>
            <w:r>
              <w:rPr>
                <w:sz w:val="20"/>
              </w:rPr>
              <w:t xml:space="preserve"> (27.7% urban; median age </w:t>
            </w:r>
            <w:r>
              <w:rPr>
                <w:b/>
                <w:sz w:val="20"/>
              </w:rPr>
              <w:t>16.9</w:t>
            </w:r>
            <w:r>
              <w:rPr>
                <w:sz w:val="20"/>
              </w:rPr>
              <w:t>; 72.3% rural)</w:t>
            </w:r>
          </w:p>
        </w:tc>
        <w:tc>
          <w:tcPr>
            <w:tcW w:type="dxa" w:w="2160"/>
          </w:tcPr>
          <w:p>
            <w:r>
              <w:rPr>
                <w:sz w:val="20"/>
              </w:rPr>
            </w:r>
            <w:r>
              <w:rPr>
                <w:sz w:val="20"/>
              </w:rPr>
              <w:t>+1.4M (+2.8%)</w:t>
            </w:r>
          </w:p>
        </w:tc>
        <w:tc>
          <w:tcPr>
            <w:tcW w:type="dxa" w:w="2160"/>
          </w:tcPr>
          <w:p>
            <w:r>
              <w:rPr>
                <w:sz w:val="20"/>
              </w:rPr>
            </w:r>
            <w:r>
              <w:rPr>
                <w:sz w:val="20"/>
              </w:rPr>
              <w:t>DataReportal, 2025</w:t>
            </w:r>
          </w:p>
        </w:tc>
      </w:tr>
      <w:tr>
        <w:tc>
          <w:tcPr>
            <w:tcW w:type="dxa" w:w="2160"/>
          </w:tcPr>
          <w:p>
            <w:r>
              <w:rPr>
                <w:sz w:val="20"/>
              </w:rPr>
            </w:r>
            <w:r>
              <w:rPr>
                <w:sz w:val="20"/>
              </w:rPr>
              <w:t>Mobile connections</w:t>
            </w:r>
          </w:p>
        </w:tc>
        <w:tc>
          <w:tcPr>
            <w:tcW w:type="dxa" w:w="2160"/>
          </w:tcPr>
          <w:p>
            <w:r>
              <w:rPr>
                <w:sz w:val="20"/>
              </w:rPr>
            </w:r>
            <w:r>
              <w:rPr>
                <w:b/>
                <w:sz w:val="20"/>
              </w:rPr>
              <w:t>38.6M</w:t>
            </w:r>
            <w:r>
              <w:rPr>
                <w:sz w:val="20"/>
              </w:rPr>
              <w:t xml:space="preserve"> (76.2% of pop; 86.5% broadband-capable)</w:t>
            </w:r>
          </w:p>
        </w:tc>
        <w:tc>
          <w:tcPr>
            <w:tcW w:type="dxa" w:w="2160"/>
          </w:tcPr>
          <w:p>
            <w:r>
              <w:rPr>
                <w:sz w:val="20"/>
              </w:rPr>
            </w:r>
            <w:r>
              <w:rPr>
                <w:sz w:val="20"/>
              </w:rPr>
              <w:t>+3.9M (+11.1%)</w:t>
            </w:r>
          </w:p>
        </w:tc>
        <w:tc>
          <w:tcPr>
            <w:tcW w:type="dxa" w:w="2160"/>
          </w:tcPr>
          <w:p>
            <w:r>
              <w:rPr>
                <w:sz w:val="20"/>
              </w:rPr>
            </w:r>
            <w:r>
              <w:rPr>
                <w:sz w:val="20"/>
              </w:rPr>
              <w:t>GSMA Intelligence via DataReportal, 2025</w:t>
            </w:r>
          </w:p>
        </w:tc>
      </w:tr>
      <w:tr>
        <w:tc>
          <w:tcPr>
            <w:tcW w:type="dxa" w:w="2160"/>
          </w:tcPr>
          <w:p>
            <w:r>
              <w:rPr>
                <w:sz w:val="20"/>
              </w:rPr>
            </w:r>
            <w:r>
              <w:rPr>
                <w:sz w:val="20"/>
              </w:rPr>
              <w:t>Internet users</w:t>
            </w:r>
          </w:p>
        </w:tc>
        <w:tc>
          <w:tcPr>
            <w:tcW w:type="dxa" w:w="2160"/>
          </w:tcPr>
          <w:p>
            <w:r>
              <w:rPr>
                <w:sz w:val="20"/>
              </w:rPr>
            </w:r>
            <w:r>
              <w:rPr>
                <w:b/>
                <w:sz w:val="20"/>
              </w:rPr>
              <w:t>14.2M</w:t>
            </w:r>
            <w:r>
              <w:rPr>
                <w:sz w:val="20"/>
              </w:rPr>
              <w:t xml:space="preserve"> (</w:t>
            </w:r>
            <w:r>
              <w:rPr>
                <w:b/>
                <w:sz w:val="20"/>
              </w:rPr>
              <w:t>28.0%</w:t>
            </w:r>
            <w:r>
              <w:rPr>
                <w:sz w:val="20"/>
              </w:rPr>
              <w:t xml:space="preserve"> penetration)</w:t>
            </w:r>
          </w:p>
        </w:tc>
        <w:tc>
          <w:tcPr>
            <w:tcW w:type="dxa" w:w="2160"/>
          </w:tcPr>
          <w:p>
            <w:r>
              <w:rPr>
                <w:sz w:val="20"/>
              </w:rPr>
            </w:r>
            <w:r>
              <w:rPr>
                <w:sz w:val="20"/>
              </w:rPr>
              <w:t>+1.0M (+7.8%)</w:t>
            </w:r>
          </w:p>
        </w:tc>
        <w:tc>
          <w:tcPr>
            <w:tcW w:type="dxa" w:w="2160"/>
          </w:tcPr>
          <w:p>
            <w:r>
              <w:rPr>
                <w:sz w:val="20"/>
              </w:rPr>
            </w:r>
            <w:r>
              <w:rPr>
                <w:sz w:val="20"/>
              </w:rPr>
              <w:t>Kepios via DataReportal, 2025</w:t>
            </w:r>
          </w:p>
        </w:tc>
      </w:tr>
      <w:tr>
        <w:tc>
          <w:tcPr>
            <w:tcW w:type="dxa" w:w="2160"/>
          </w:tcPr>
          <w:p>
            <w:r>
              <w:rPr>
                <w:sz w:val="20"/>
              </w:rPr>
            </w:r>
            <w:r>
              <w:rPr>
                <w:sz w:val="20"/>
              </w:rPr>
              <w:t>Social-media user identities</w:t>
            </w:r>
          </w:p>
        </w:tc>
        <w:tc>
          <w:tcPr>
            <w:tcW w:type="dxa" w:w="2160"/>
          </w:tcPr>
          <w:p>
            <w:r>
              <w:rPr>
                <w:sz w:val="20"/>
              </w:rPr>
            </w:r>
            <w:r>
              <w:rPr>
                <w:b/>
                <w:sz w:val="20"/>
              </w:rPr>
              <w:t>2.40M</w:t>
            </w:r>
            <w:r>
              <w:rPr>
                <w:sz w:val="20"/>
              </w:rPr>
              <w:t xml:space="preserve"> (</w:t>
            </w:r>
            <w:r>
              <w:rPr>
                <w:b/>
                <w:sz w:val="20"/>
              </w:rPr>
              <w:t>4.7%</w:t>
            </w:r>
            <w:r>
              <w:rPr>
                <w:sz w:val="20"/>
              </w:rPr>
              <w:t xml:space="preserve"> of pop)</w:t>
            </w:r>
          </w:p>
        </w:tc>
        <w:tc>
          <w:tcPr>
            <w:tcW w:type="dxa" w:w="2160"/>
          </w:tcPr>
          <w:p>
            <w:r>
              <w:rPr>
                <w:sz w:val="20"/>
              </w:rPr>
            </w:r>
            <w:r>
              <w:rPr>
                <w:sz w:val="20"/>
              </w:rPr>
              <w:t>— (see caution)</w:t>
            </w:r>
          </w:p>
        </w:tc>
        <w:tc>
          <w:tcPr>
            <w:tcW w:type="dxa" w:w="2160"/>
          </w:tcPr>
          <w:p>
            <w:r>
              <w:rPr>
                <w:sz w:val="20"/>
              </w:rPr>
            </w:r>
            <w:r>
              <w:rPr>
                <w:sz w:val="20"/>
              </w:rPr>
              <w:t>DataReportal, 2025</w:t>
            </w:r>
          </w:p>
        </w:tc>
      </w:tr>
      <w:tr>
        <w:tc>
          <w:tcPr>
            <w:tcW w:type="dxa" w:w="2160"/>
          </w:tcPr>
          <w:p>
            <w:r>
              <w:rPr>
                <w:sz w:val="20"/>
              </w:rPr>
            </w:r>
            <w:r>
              <w:rPr>
                <w:sz w:val="20"/>
              </w:rPr>
              <w:t>Facebook ad reach</w:t>
            </w:r>
          </w:p>
        </w:tc>
        <w:tc>
          <w:tcPr>
            <w:tcW w:type="dxa" w:w="2160"/>
          </w:tcPr>
          <w:p>
            <w:r>
              <w:rPr>
                <w:sz w:val="20"/>
              </w:rPr>
            </w:r>
            <w:r>
              <w:rPr>
                <w:sz w:val="20"/>
              </w:rPr>
              <w:t>≈4.7% of pop; 9.5% of 18+; 16.9% of internet users (37.6% F / 62.4% M)</w:t>
            </w:r>
          </w:p>
        </w:tc>
        <w:tc>
          <w:tcPr>
            <w:tcW w:type="dxa" w:w="2160"/>
          </w:tcPr>
          <w:p>
            <w:r>
              <w:rPr>
                <w:sz w:val="20"/>
              </w:rPr>
            </w:r>
            <w:r>
              <w:rPr>
                <w:sz w:val="20"/>
              </w:rPr>
              <w:t>—</w:t>
            </w:r>
          </w:p>
        </w:tc>
        <w:tc>
          <w:tcPr>
            <w:tcW w:type="dxa" w:w="2160"/>
          </w:tcPr>
          <w:p>
            <w:r>
              <w:rPr>
                <w:sz w:val="20"/>
              </w:rPr>
            </w:r>
            <w:r>
              <w:rPr>
                <w:sz w:val="20"/>
              </w:rPr>
              <w:t>Meta via DataReportal, 2025</w:t>
            </w:r>
          </w:p>
        </w:tc>
      </w:tr>
      <w:tr>
        <w:tc>
          <w:tcPr>
            <w:tcW w:type="dxa" w:w="2160"/>
          </w:tcPr>
          <w:p>
            <w:r>
              <w:rPr>
                <w:sz w:val="20"/>
              </w:rPr>
            </w:r>
            <w:r>
              <w:rPr>
                <w:sz w:val="20"/>
              </w:rPr>
              <w:t>Instagram users</w:t>
            </w:r>
          </w:p>
        </w:tc>
        <w:tc>
          <w:tcPr>
            <w:tcW w:type="dxa" w:w="2160"/>
          </w:tcPr>
          <w:p>
            <w:r>
              <w:rPr>
                <w:sz w:val="20"/>
              </w:rPr>
            </w:r>
            <w:r>
              <w:rPr>
                <w:b/>
                <w:sz w:val="20"/>
              </w:rPr>
              <w:t>790K</w:t>
            </w:r>
            <w:r>
              <w:rPr>
                <w:sz w:val="20"/>
              </w:rPr>
              <w:t xml:space="preserve"> (1.6% of pop; 41.0% F / 59.0% M adults)</w:t>
            </w:r>
          </w:p>
        </w:tc>
        <w:tc>
          <w:tcPr>
            <w:tcW w:type="dxa" w:w="2160"/>
          </w:tcPr>
          <w:p>
            <w:r>
              <w:rPr>
                <w:sz w:val="20"/>
              </w:rPr>
            </w:r>
            <w:r>
              <w:rPr>
                <w:sz w:val="20"/>
              </w:rPr>
              <w:t>+78.5K (+11.0%)</w:t>
            </w:r>
          </w:p>
        </w:tc>
        <w:tc>
          <w:tcPr>
            <w:tcW w:type="dxa" w:w="2160"/>
          </w:tcPr>
          <w:p>
            <w:r>
              <w:rPr>
                <w:sz w:val="20"/>
              </w:rPr>
            </w:r>
            <w:r>
              <w:rPr>
                <w:sz w:val="20"/>
              </w:rPr>
              <w:t>Meta via DataReportal, 2025</w:t>
            </w:r>
          </w:p>
        </w:tc>
      </w:tr>
      <w:tr>
        <w:tc>
          <w:tcPr>
            <w:tcW w:type="dxa" w:w="2160"/>
          </w:tcPr>
          <w:p>
            <w:r>
              <w:rPr>
                <w:sz w:val="20"/>
              </w:rPr>
            </w:r>
            <w:r>
              <w:rPr>
                <w:sz w:val="20"/>
              </w:rPr>
              <w:t>LinkedIn members</w:t>
            </w:r>
          </w:p>
        </w:tc>
        <w:tc>
          <w:tcPr>
            <w:tcW w:type="dxa" w:w="2160"/>
          </w:tcPr>
          <w:p>
            <w:r>
              <w:rPr>
                <w:sz w:val="20"/>
              </w:rPr>
            </w:r>
            <w:r>
              <w:rPr>
                <w:b/>
                <w:sz w:val="20"/>
              </w:rPr>
              <w:t>1.60M</w:t>
            </w:r>
            <w:r>
              <w:rPr>
                <w:sz w:val="20"/>
              </w:rPr>
              <w:t xml:space="preserve"> (3.2% of pop)</w:t>
            </w:r>
          </w:p>
        </w:tc>
        <w:tc>
          <w:tcPr>
            <w:tcW w:type="dxa" w:w="2160"/>
          </w:tcPr>
          <w:p>
            <w:r>
              <w:rPr>
                <w:sz w:val="20"/>
              </w:rPr>
            </w:r>
            <w:r>
              <w:rPr>
                <w:sz w:val="20"/>
              </w:rPr>
              <w:t>—</w:t>
            </w:r>
          </w:p>
        </w:tc>
        <w:tc>
          <w:tcPr>
            <w:tcW w:type="dxa" w:w="2160"/>
          </w:tcPr>
          <w:p>
            <w:r>
              <w:rPr>
                <w:sz w:val="20"/>
              </w:rPr>
            </w:r>
            <w:r>
              <w:rPr>
                <w:sz w:val="20"/>
              </w:rPr>
              <w:t>LinkedIn via DataReportal, 2025</w:t>
            </w:r>
          </w:p>
        </w:tc>
      </w:tr>
    </w:tbl>
    <w:p/>
    <w:p>
      <w:pPr>
        <w:ind w:left="480"/>
      </w:pPr>
      <w:r>
        <w:rPr>
          <w:i/>
        </w:rPr>
        <w:t xml:space="preserve">[!CAUTION] </w:t>
      </w:r>
      <w:r>
        <w:rPr>
          <w:b/>
          <w:i/>
        </w:rPr>
        <w:t>Methodology warning (examiners will probe this):</w:t>
      </w:r>
      <w:r>
        <w:rPr>
          <w:i/>
        </w:rPr>
        <w:t xml:space="preserve"> Chapter Two cited 6.7M social-media users (14%) for 2023 (DataReportal, 2023). The January 2025 report uses revised "</w:t>
      </w:r>
      <w:r>
        <w:rPr>
          <w:b/>
          <w:i/>
        </w:rPr>
        <w:t>user identities</w:t>
      </w:r>
      <w:r>
        <w:rPr>
          <w:i/>
        </w:rPr>
        <w:t xml:space="preserve">" methodology plus Meta's "corrections" (duplicate/false-account removals), explicitly warning that apparent declines "should not be interpreted" as real usage falls (DataReportal, 2025, notes on data). </w:t>
      </w:r>
      <w:r>
        <w:rPr>
          <w:b/>
          <w:i/>
        </w:rPr>
        <w:t>Do not present 6.7M→2.40M as a real collapse.</w:t>
      </w:r>
      <w:r>
        <w:rPr>
          <w:i/>
        </w:rPr>
        <w:t xml:space="preserve"> Report both figures with this caveat, and use 2025-methodology figures only for forward comparison. (Check Digital 2026: Uganda at write-up.)</w:t>
      </w:r>
    </w:p>
    <w:p>
      <w:r>
        <w:rPr>
          <w:b/>
        </w:rPr>
        <w:t>Pilot interpretation:</w:t>
      </w:r>
      <w:r>
        <w:t xml:space="preserve"> the environment data reframes Objective 4 starkly — with 28% internet penetration, 72% rural population, and a 16.9-year median age, New Vision's digital future depends on a young, mostly-rural, mobile-first audience that is still largely offline: a direct test of Wasserman's (2011) digital-inequality warning (§2.7.2) and of whether any "networked journalism" model (Beckett, 2008) can pay (AMI, 2016).</w:t>
      </w:r>
    </w:p>
    <w:p>
      <w:r>
        <w:rPr>
          <w:b/>
        </w:rPr>
        <w:t>Table 4.8 (REAL): New Vision's digital evolution from the 3 gathered editions (platform archaeology)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r>
            <w:r>
              <w:rPr>
                <w:b/>
                <w:sz w:val="20"/>
              </w:rPr>
              <w:t>Feature</w:t>
            </w:r>
          </w:p>
        </w:tc>
        <w:tc>
          <w:tcPr>
            <w:tcW w:type="dxa" w:w="2160"/>
          </w:tcPr>
          <w:p>
            <w:r>
              <w:rPr>
                <w:b/>
                <w:sz w:val="20"/>
              </w:rPr>
            </w:r>
            <w:r>
              <w:rPr>
                <w:b/>
                <w:sz w:val="20"/>
              </w:rPr>
              <w:t>2010 snapshot</w:t>
            </w:r>
          </w:p>
        </w:tc>
        <w:tc>
          <w:tcPr>
            <w:tcW w:type="dxa" w:w="2160"/>
          </w:tcPr>
          <w:p>
            <w:r>
              <w:rPr>
                <w:b/>
                <w:sz w:val="20"/>
              </w:rPr>
            </w:r>
            <w:r>
              <w:rPr>
                <w:b/>
                <w:sz w:val="20"/>
              </w:rPr>
              <w:t>2016 snapshot</w:t>
            </w:r>
          </w:p>
        </w:tc>
        <w:tc>
          <w:tcPr>
            <w:tcW w:type="dxa" w:w="2160"/>
          </w:tcPr>
          <w:p>
            <w:r>
              <w:rPr>
                <w:b/>
                <w:sz w:val="20"/>
              </w:rPr>
            </w:r>
            <w:r>
              <w:rPr>
                <w:b/>
                <w:sz w:val="20"/>
              </w:rPr>
              <w:t>2026 live site</w:t>
            </w:r>
          </w:p>
        </w:tc>
      </w:tr>
      <w:tr>
        <w:tc>
          <w:tcPr>
            <w:tcW w:type="dxa" w:w="2160"/>
          </w:tcPr>
          <w:p>
            <w:r>
              <w:rPr>
                <w:sz w:val="20"/>
              </w:rPr>
            </w:r>
            <w:r>
              <w:rPr>
                <w:sz w:val="20"/>
              </w:rPr>
              <w:t>Social links</w:t>
            </w:r>
          </w:p>
        </w:tc>
        <w:tc>
          <w:tcPr>
            <w:tcW w:type="dxa" w:w="2160"/>
          </w:tcPr>
          <w:p>
            <w:r>
              <w:rPr>
                <w:sz w:val="20"/>
              </w:rPr>
            </w:r>
            <w:r>
              <w:rPr>
                <w:sz w:val="20"/>
              </w:rPr>
              <w:t>Facebook page + @newvisionwire Twitter</w:t>
            </w:r>
          </w:p>
        </w:tc>
        <w:tc>
          <w:tcPr>
            <w:tcW w:type="dxa" w:w="2160"/>
          </w:tcPr>
          <w:p>
            <w:r>
              <w:rPr>
                <w:sz w:val="20"/>
              </w:rPr>
            </w:r>
            <w:r>
              <w:rPr>
                <w:sz w:val="20"/>
              </w:rPr>
              <w:t>(site chrome — social assumed)</w:t>
            </w:r>
          </w:p>
        </w:tc>
        <w:tc>
          <w:tcPr>
            <w:tcW w:type="dxa" w:w="2160"/>
          </w:tcPr>
          <w:p>
            <w:r>
              <w:rPr>
                <w:sz w:val="20"/>
              </w:rPr>
            </w:r>
            <w:r>
              <w:rPr>
                <w:sz w:val="20"/>
              </w:rPr>
              <w:t>Full social distribution (FB/X/YouTube/TikTok per audit)</w:t>
            </w:r>
          </w:p>
        </w:tc>
      </w:tr>
      <w:tr>
        <w:tc>
          <w:tcPr>
            <w:tcW w:type="dxa" w:w="2160"/>
          </w:tcPr>
          <w:p>
            <w:r>
              <w:rPr>
                <w:sz w:val="20"/>
              </w:rPr>
            </w:r>
            <w:r>
              <w:rPr>
                <w:sz w:val="20"/>
              </w:rPr>
              <w:t>E-paper / apps</w:t>
            </w:r>
          </w:p>
        </w:tc>
        <w:tc>
          <w:tcPr>
            <w:tcW w:type="dxa" w:w="2160"/>
          </w:tcPr>
          <w:p>
            <w:r>
              <w:rPr>
                <w:sz w:val="20"/>
              </w:rPr>
            </w:r>
            <w:r>
              <w:rPr>
                <w:sz w:val="20"/>
              </w:rPr>
              <w:t>—</w:t>
            </w:r>
          </w:p>
        </w:tc>
        <w:tc>
          <w:tcPr>
            <w:tcW w:type="dxa" w:w="2160"/>
          </w:tcPr>
          <w:p>
            <w:r>
              <w:rPr>
                <w:sz w:val="20"/>
              </w:rPr>
            </w:r>
            <w:r>
              <w:rPr>
                <w:sz w:val="20"/>
              </w:rPr>
              <w:t xml:space="preserve">E-Paper </w:t>
            </w:r>
            <w:r>
              <w:rPr>
                <w:b/>
                <w:sz w:val="20"/>
              </w:rPr>
              <w:t>mobile + desktop apps</w:t>
            </w:r>
          </w:p>
        </w:tc>
        <w:tc>
          <w:tcPr>
            <w:tcW w:type="dxa" w:w="2160"/>
          </w:tcPr>
          <w:p>
            <w:r>
              <w:rPr>
                <w:sz w:val="20"/>
              </w:rPr>
            </w:r>
            <w:r>
              <w:rPr>
                <w:sz w:val="20"/>
              </w:rPr>
              <w:t xml:space="preserve">E-Paper + </w:t>
            </w:r>
            <w:r>
              <w:rPr>
                <w:b/>
                <w:sz w:val="20"/>
              </w:rPr>
              <w:t>Premium paywall + login</w:t>
            </w:r>
          </w:p>
        </w:tc>
      </w:tr>
      <w:tr>
        <w:tc>
          <w:tcPr>
            <w:tcW w:type="dxa" w:w="2160"/>
          </w:tcPr>
          <w:p>
            <w:r>
              <w:rPr>
                <w:sz w:val="20"/>
              </w:rPr>
            </w:r>
            <w:r>
              <w:rPr>
                <w:sz w:val="20"/>
              </w:rPr>
              <w:t>Multimedia</w:t>
            </w:r>
          </w:p>
        </w:tc>
        <w:tc>
          <w:tcPr>
            <w:tcW w:type="dxa" w:w="2160"/>
          </w:tcPr>
          <w:p>
            <w:r>
              <w:rPr>
                <w:sz w:val="20"/>
              </w:rPr>
            </w:r>
            <w:r>
              <w:rPr>
                <w:sz w:val="20"/>
              </w:rPr>
              <w:t>—</w:t>
            </w:r>
          </w:p>
        </w:tc>
        <w:tc>
          <w:tcPr>
            <w:tcW w:type="dxa" w:w="2160"/>
          </w:tcPr>
          <w:p>
            <w:r>
              <w:rPr>
                <w:sz w:val="20"/>
              </w:rPr>
            </w:r>
            <w:r>
              <w:rPr>
                <w:sz w:val="20"/>
              </w:rPr>
              <w:t xml:space="preserve">Video, photo galleries, </w:t>
            </w:r>
            <w:r>
              <w:rPr>
                <w:b/>
                <w:sz w:val="20"/>
              </w:rPr>
              <w:t>audio podcasts</w:t>
            </w:r>
          </w:p>
        </w:tc>
        <w:tc>
          <w:tcPr>
            <w:tcW w:type="dxa" w:w="2160"/>
          </w:tcPr>
          <w:p>
            <w:r>
              <w:rPr>
                <w:sz w:val="20"/>
              </w:rPr>
            </w:r>
            <w:r>
              <w:rPr>
                <w:sz w:val="20"/>
              </w:rPr>
              <w:t>Podcasts + TV-on-air embed</w:t>
            </w:r>
          </w:p>
        </w:tc>
      </w:tr>
      <w:tr>
        <w:tc>
          <w:tcPr>
            <w:tcW w:type="dxa" w:w="2160"/>
          </w:tcPr>
          <w:p>
            <w:r>
              <w:rPr>
                <w:sz w:val="20"/>
              </w:rPr>
            </w:r>
            <w:r>
              <w:rPr>
                <w:sz w:val="20"/>
              </w:rPr>
              <w:t>Election product</w:t>
            </w:r>
          </w:p>
        </w:tc>
        <w:tc>
          <w:tcPr>
            <w:tcW w:type="dxa" w:w="2160"/>
          </w:tcPr>
          <w:p>
            <w:r>
              <w:rPr>
                <w:sz w:val="20"/>
              </w:rPr>
            </w:r>
            <w:r>
              <w:rPr>
                <w:sz w:val="20"/>
              </w:rPr>
              <w:t>—</w:t>
            </w:r>
          </w:p>
        </w:tc>
        <w:tc>
          <w:tcPr>
            <w:tcW w:type="dxa" w:w="2160"/>
          </w:tcPr>
          <w:p>
            <w:r>
              <w:rPr>
                <w:sz w:val="20"/>
              </w:rPr>
            </w:r>
            <w:r>
              <w:rPr>
                <w:sz w:val="20"/>
              </w:rPr>
              <w:t xml:space="preserve">Dedicated </w:t>
            </w:r>
            <w:r>
              <w:rPr>
                <w:b/>
                <w:sz w:val="20"/>
              </w:rPr>
              <w:t>Elections portal</w:t>
            </w:r>
            <w:r>
              <w:rPr>
                <w:sz w:val="20"/>
              </w:rPr>
              <w:t xml:space="preserve"> (elections.co.ug)</w:t>
            </w:r>
          </w:p>
        </w:tc>
        <w:tc>
          <w:tcPr>
            <w:tcW w:type="dxa" w:w="2160"/>
          </w:tcPr>
          <w:p>
            <w:r>
              <w:rPr>
                <w:sz w:val="20"/>
              </w:rPr>
            </w:r>
            <w:r>
              <w:rPr>
                <w:b/>
                <w:sz w:val="20"/>
              </w:rPr>
              <w:t>Elections Portal</w:t>
            </w:r>
            <w:r>
              <w:rPr>
                <w:sz w:val="20"/>
              </w:rPr>
              <w:t xml:space="preserve"> in main nav</w:t>
            </w:r>
          </w:p>
        </w:tc>
      </w:tr>
      <w:tr>
        <w:tc>
          <w:tcPr>
            <w:tcW w:type="dxa" w:w="2160"/>
          </w:tcPr>
          <w:p>
            <w:r>
              <w:rPr>
                <w:sz w:val="20"/>
              </w:rPr>
            </w:r>
            <w:r>
              <w:rPr>
                <w:sz w:val="20"/>
              </w:rPr>
              <w:t>Verticals</w:t>
            </w:r>
          </w:p>
        </w:tc>
        <w:tc>
          <w:tcPr>
            <w:tcW w:type="dxa" w:w="2160"/>
          </w:tcPr>
          <w:p>
            <w:r>
              <w:rPr>
                <w:sz w:val="20"/>
              </w:rPr>
            </w:r>
            <w:r>
              <w:rPr>
                <w:sz w:val="20"/>
              </w:rPr>
              <w:t>Jobs.co.ug; sister titles (Bukedde/Orumuri/Rupiny/Etop)</w:t>
            </w:r>
          </w:p>
        </w:tc>
        <w:tc>
          <w:tcPr>
            <w:tcW w:type="dxa" w:w="2160"/>
          </w:tcPr>
          <w:p>
            <w:r>
              <w:rPr>
                <w:sz w:val="20"/>
              </w:rPr>
            </w:r>
            <w:r>
              <w:rPr>
                <w:sz w:val="20"/>
              </w:rPr>
              <w:t>Oil &amp; Gas desk; Pakasa; Supplements/Tenders</w:t>
            </w:r>
          </w:p>
        </w:tc>
        <w:tc>
          <w:tcPr>
            <w:tcW w:type="dxa" w:w="2160"/>
          </w:tcPr>
          <w:p>
            <w:r>
              <w:rPr>
                <w:sz w:val="20"/>
              </w:rPr>
            </w:r>
            <w:r>
              <w:rPr>
                <w:sz w:val="20"/>
              </w:rPr>
              <w:t>Jobs, Classified, Harvest Money, Bride &amp; Groom Expo</w:t>
            </w:r>
          </w:p>
        </w:tc>
      </w:tr>
      <w:tr>
        <w:tc>
          <w:tcPr>
            <w:tcW w:type="dxa" w:w="2160"/>
          </w:tcPr>
          <w:p>
            <w:r>
              <w:rPr>
                <w:sz w:val="20"/>
              </w:rPr>
            </w:r>
            <w:r>
              <w:rPr>
                <w:sz w:val="20"/>
              </w:rPr>
              <w:t>Languages</w:t>
            </w:r>
          </w:p>
        </w:tc>
        <w:tc>
          <w:tcPr>
            <w:tcW w:type="dxa" w:w="2160"/>
          </w:tcPr>
          <w:p>
            <w:r>
              <w:rPr>
                <w:sz w:val="20"/>
              </w:rPr>
            </w:r>
            <w:r>
              <w:rPr>
                <w:sz w:val="20"/>
              </w:rPr>
              <w:t>English + sister-title sites</w:t>
            </w:r>
          </w:p>
        </w:tc>
        <w:tc>
          <w:tcPr>
            <w:tcW w:type="dxa" w:w="2160"/>
          </w:tcPr>
          <w:p>
            <w:r>
              <w:rPr>
                <w:sz w:val="20"/>
              </w:rPr>
            </w:r>
            <w:r>
              <w:rPr>
                <w:sz w:val="20"/>
              </w:rPr>
              <w:t>English (+ sisters)</w:t>
            </w:r>
          </w:p>
        </w:tc>
        <w:tc>
          <w:tcPr>
            <w:tcW w:type="dxa" w:w="2160"/>
          </w:tcPr>
          <w:p>
            <w:r>
              <w:rPr>
                <w:sz w:val="20"/>
              </w:rPr>
            </w:r>
            <w:r>
              <w:rPr>
                <w:b/>
                <w:sz w:val="20"/>
              </w:rPr>
              <w:t>3-language toggle: Runyankole / English / Luganda</w:t>
            </w:r>
          </w:p>
        </w:tc>
      </w:tr>
    </w:tbl>
    <w:p/>
    <w:p>
      <w:r>
        <w:rPr>
          <w:i/>
        </w:rPr>
        <w:t>Reading:</w:t>
      </w:r>
      <w:r>
        <w:t xml:space="preserve"> a genuine 16-year digitalisation arc (social → apps → paywall/verticals) is directly observable — P4's </w:t>
      </w:r>
      <w:r>
        <w:rPr>
          <w:i/>
        </w:rPr>
        <w:t>investment</w:t>
      </w:r>
      <w:r>
        <w:t xml:space="preserve"> leg is confirmed; the </w:t>
      </w:r>
      <w:r>
        <w:rPr>
          <w:i/>
        </w:rPr>
        <w:t>revenue</w:t>
      </w:r>
      <w:r>
        <w:t xml:space="preserve"> leg (does it pay?) remains the open question for the audit + survey willingness-to-pay items.</w:t>
      </w:r>
    </w:p>
    <w:p>
      <w:pPr>
        <w:pStyle w:val="Heading3"/>
      </w:pPr>
      <w:r>
        <w:t>[YOUR DATA — PENDING] §4.6.2–4.6.4: one-week platform-audit snapshot (followers, frequency, engagement, Luganda-vs-English mix, New Vision vs. Monitor); survey digital module (devices, willingness-to-pay, "more/less important" verdict); KII digital verdict; sustainability verdict (transformed / transforming / stuck).</w:t>
      </w:r>
    </w:p>
    <w:p>
      <w:pPr>
        <w:pStyle w:val="Heading2"/>
      </w:pPr>
      <w:r>
        <w:t>4.7 Comparative Note: Uganda Among Peers (Desk — REAL, mini)</w:t>
      </w:r>
    </w:p>
    <w:p>
      <w:pPr>
        <w:pStyle w:val="ListBullet"/>
      </w:pPr>
      <w:r>
        <w:t xml:space="preserve">RSF 2025 Africa: Uganda </w:t>
      </w:r>
      <w:r>
        <w:rPr>
          <w:b/>
        </w:rPr>
        <w:t>143rd</w:t>
      </w:r>
      <w:r>
        <w:t xml:space="preserve"> sits in the "very serious" group with Ethiopia (145th) and Rwanda (146th); Ghana 30th globally in the current table vs. Uganda's lower band — the full study's comparison matrix (§3.10.3) starts here. [Expand with Barometer/AMI desk data at write-up.]</w:t>
      </w:r>
    </w:p>
    <w:p>
      <w:pPr>
        <w:pStyle w:val="Heading2"/>
      </w:pPr>
      <w:r>
        <w:t>4.8 Preliminary Synthesis, Limitations, and Desk Tasks</w:t>
      </w:r>
    </w:p>
    <w:p>
      <w:r>
        <w:rPr>
          <w:b/>
        </w:rPr>
        <w:t>What the pilot already establishes (desk + 3 coded editions, preliminary):</w:t>
      </w:r>
      <w:r>
        <w:t xml:space="preserve"> (1) New Vision's 40-year institutional exceptionalism is publicly verifiable; (2) two election cycles of independent monitoring support the pro-incumbent electoral-coverage expectation; (3) industry-wide gender-source deficits set the baseline the 100-edition sample must beat or match; (4) press-freedom context deteriorated into "very serious" in 2025; (5) the digital environment is young, rural, and still mostly offline — the hard constraint on digital sustainability; </w:t>
      </w:r>
      <w:r>
        <w:rPr>
          <w:b/>
        </w:rPr>
        <w:t>(6) the researcher's own 3-edition micro-sample (n=29, REAL) already shows the ToC-expected mixed pattern — 28% politics/elections, 41% development-flagged, stance 57% favourable / 29% critical — plus a directly observed 2010→2016→2026 digitalisation arc and advertiser footprint evolution.</w:t>
      </w:r>
      <w:r>
        <w:t xml:space="preserve"> The full 100/40/3 will test whether these micro-patterns hold.</w:t>
      </w:r>
    </w:p>
    <w:p>
      <w:r>
        <w:rPr>
          <w:b/>
        </w:rPr>
        <w:t>Priority desk tasks before defence:</w:t>
      </w:r>
      <w:r>
        <w:t xml:space="preserve"> ☐ verify first-issue date from library holdings; ☐ verify 53.3%/NVL via USE/CMA filings; ☐ retrieve original ABC Q4 2019 report; ☐ add RSF 2026 + DataReportal 2026 figures; ☐ verify June-2026 editorship report.</w:t>
      </w:r>
    </w:p>
    <w:p>
      <w:r>
        <w:rPr>
          <w:b/>
        </w:rPr>
        <w:t>Pilot limitations restated:</w:t>
      </w:r>
      <w:r>
        <w:t xml:space="preserve"> small samples; no newsroom access; convenience survey; thin pre-2000 holdings expected — all converted into the full-study roadmap in §5.5.</w:t>
      </w:r>
    </w:p>
    <w:p>
      <w:r>
        <w:br w:type="page"/>
      </w:r>
    </w:p>
    <w:p>
      <w:pPr>
        <w:pStyle w:val="Heading1"/>
      </w:pPr>
      <w:r>
        <w:t>CHAPTER FIVE: SUMMARY, CONCLUSIONS AND RECOMMENDATIONS — FRAMEWORK</w:t>
      </w:r>
    </w:p>
    <w:p>
      <w:pPr>
        <w:ind w:left="480"/>
      </w:pPr>
      <w:r>
        <w:rPr>
          <w:b/>
          <w:i/>
        </w:rPr>
        <w:t>Status:</w:t>
      </w:r>
      <w:r>
        <w:rPr>
          <w:i/>
        </w:rPr>
        <w:t xml:space="preserve"> SHELL to be completed after Chapter Four analysis.</w:t>
      </w:r>
    </w:p>
    <w:p>
      <w:pPr>
        <w:ind w:left="480"/>
      </w:pPr>
      <w:r>
        <w:rPr>
          <w:i/>
        </w:rPr>
        <w:t>Examiners read this chapter closely: every conclusion must trace to a Chapter Four finding, and every recommendation to a conclusion.</w:t>
      </w:r>
    </w:p>
    <w:p>
      <w:pPr>
        <w:pStyle w:val="Heading2"/>
      </w:pPr>
      <w:r>
        <w:t>5.1 Introduction</w:t>
      </w:r>
    </w:p>
    <w:p>
      <w:pPr>
        <w:pStyle w:val="ListBullet"/>
      </w:pPr>
      <w:r>
        <w:t>Restate purpose, objectives, and methodology in brief (design, sample, methods — 1 page max).</w:t>
      </w:r>
    </w:p>
    <w:p>
      <w:pPr>
        <w:pStyle w:val="ListBullet"/>
      </w:pPr>
      <w:r>
        <w:t>Roadmap the chapter.</w:t>
      </w:r>
    </w:p>
    <w:p>
      <w:pPr>
        <w:pStyle w:val="Heading2"/>
      </w:pPr>
      <w:r>
        <w:t>5.2 Summary of Key Findings (One Subsection Per Objective)</w:t>
      </w:r>
    </w:p>
    <w:p>
      <w:pPr>
        <w:pStyle w:val="ListBullet"/>
      </w:pPr>
      <w:r>
        <w:t>5.2.1 Political impacts (answer Research Question 1 in ~5–8 bullet findings, each citing §4.3 tables/figures).</w:t>
      </w:r>
    </w:p>
    <w:p>
      <w:pPr>
        <w:pStyle w:val="ListBullet"/>
      </w:pPr>
      <w:r>
        <w:t>5.2.2 Economic impacts (answer RQ2 from §4.4).</w:t>
      </w:r>
    </w:p>
    <w:p>
      <w:pPr>
        <w:pStyle w:val="ListBullet"/>
      </w:pPr>
      <w:r>
        <w:t>5.2.3 Social/development impacts (answer RQ3 from §4.5).</w:t>
      </w:r>
    </w:p>
    <w:p>
      <w:pPr>
        <w:pStyle w:val="ListBullet"/>
      </w:pPr>
      <w:r>
        <w:t>5.2.4 Digital transformation and sustainability (answer RQ4 from §4.6).</w:t>
      </w:r>
    </w:p>
    <w:p>
      <w:pPr>
        <w:pStyle w:val="ListBullet"/>
      </w:pPr>
      <w:r>
        <w:t>5.2.5 Comparative placement (from §4.7).</w:t>
      </w:r>
    </w:p>
    <w:p>
      <w:pPr>
        <w:pStyle w:val="Heading2"/>
      </w:pPr>
      <w:r>
        <w:t>5.3 Conclusions</w:t>
      </w:r>
    </w:p>
    <w:p>
      <w:r>
        <w:t>Organised by (a) empirical conclusions, (b) theoretical conclusions, (c) methodological reflections:</w:t>
      </w:r>
    </w:p>
    <w:p>
      <w:pPr>
        <w:pStyle w:val="ListBullet"/>
      </w:pPr>
      <w:r>
        <w:rPr>
          <w:b/>
        </w:rPr>
        <w:t>5.3.1 Empirical conclusions:</w:t>
      </w:r>
      <w:r>
        <w:t xml:space="preserve"> the overall 40-year verdict — e.g., indispensable development communicator with constrained democratic contribution? Multimedia success facing sustainability cliff? (To be written from evidence; avoid pre-judging in proposal.)</w:t>
      </w:r>
    </w:p>
    <w:p>
      <w:pPr>
        <w:pStyle w:val="ListBullet"/>
      </w:pPr>
      <w:r>
        <w:rPr>
          <w:b/>
        </w:rPr>
        <w:t>5.3.2 Theoretical conclusions:</w:t>
      </w:r>
      <w:r>
        <w:t xml:space="preserve"> what does New Vision's 40 years teach us about each Chapter Two theory?</w:t>
      </w:r>
    </w:p>
    <w:p>
      <w:pPr>
        <w:pStyle w:val="ListBullet"/>
      </w:pPr>
      <w:r>
        <w:t>Development Media Theory: vindicated, qualified, or refuted in the Ugandan case? (cf. Servaes, 1999; Wasserman, 2011 participatory reformulations.)</w:t>
      </w:r>
    </w:p>
    <w:p>
      <w:pPr>
        <w:pStyle w:val="ListBullet"/>
      </w:pPr>
      <w:r>
        <w:t>Agenda-Setting: does a state-majority daily still set the agenda in a social-media age? (cf. Kalyango &amp; Onyechi, 2013; Banda, 2009 limits.)</w:t>
      </w:r>
    </w:p>
    <w:p>
      <w:pPr>
        <w:pStyle w:val="ListBullet"/>
      </w:pPr>
      <w:r>
        <w:t>Political Economy: how did ownership/advertising mechanisms operate in practice? (cf. Herman &amp; Chomsky, 1988; Mwesige, 2004; Nassanga, 2008.)</w:t>
      </w:r>
    </w:p>
    <w:p>
      <w:pPr>
        <w:pStyle w:val="ListBullet"/>
      </w:pPr>
      <w:r>
        <w:t>Framing: which frames endured 40 years and which died? (cf. Entman, 1993.)</w:t>
      </w:r>
    </w:p>
    <w:p>
      <w:pPr>
        <w:pStyle w:val="ListBullet"/>
      </w:pPr>
      <w:r>
        <w:t>Uses &amp; Gratifications: how did audience agency reshape intended impacts? (cf. Katz et al., 1973.)</w:t>
      </w:r>
    </w:p>
    <w:p>
      <w:pPr>
        <w:pStyle w:val="ListBullet"/>
      </w:pPr>
      <w:r>
        <w:rPr>
          <w:b/>
        </w:rPr>
        <w:t>5.3.3 Contribution to knowledge:</w:t>
      </w:r>
      <w:r>
        <w:t xml:space="preserve"> state plainly what is now known that was not known before (the 5 gaps closed).</w:t>
      </w:r>
    </w:p>
    <w:p>
      <w:pPr>
        <w:pStyle w:val="Heading2"/>
      </w:pPr>
      <w:r>
        <w:t>5.4 Recommendations</w:t>
      </w:r>
    </w:p>
    <w:p>
      <w:r>
        <w:t>Tiered by stakeholder (each recommendation numbered, action-oriented, and tied to a finding):</w:t>
      </w:r>
    </w:p>
    <w:p>
      <w:pPr>
        <w:pStyle w:val="ListBullet"/>
      </w:pPr>
      <w:r>
        <w:rPr>
          <w:b/>
        </w:rPr>
        <w:t>5.4.1 To the Government of Uganda (majority shareholder &amp; policymaker):</w:t>
      </w:r>
      <w:r>
        <w:t xml:space="preserve"> e.g., governance reforms (editorial-independence charter? public-service compact? Berger, 2007 models); press-freedom environment (RSF/Barometer concerns).</w:t>
      </w:r>
    </w:p>
    <w:p>
      <w:pPr>
        <w:pStyle w:val="ListBullet"/>
      </w:pPr>
      <w:r>
        <w:rPr>
          <w:b/>
        </w:rPr>
        <w:t>5.4.2 To New Vision management and board:</w:t>
      </w:r>
      <w:r>
        <w:t xml:space="preserve"> e.g., newsroom (election-coverage guidelines, source-diversity targets), commercial (advertising-independence firewall), digital (sustainable model roadmap, language-inclusive digital).</w:t>
      </w:r>
    </w:p>
    <w:p>
      <w:pPr>
        <w:pStyle w:val="ListBullet"/>
      </w:pPr>
      <w:r>
        <w:rPr>
          <w:b/>
        </w:rPr>
        <w:t>5.4.3 To regulators and professional bodies (UCC, Media Council, UJA, ACME):</w:t>
      </w:r>
      <w:r>
        <w:t xml:space="preserve"> e.g., monitoring, training, archives preservation.</w:t>
      </w:r>
    </w:p>
    <w:p>
      <w:pPr>
        <w:pStyle w:val="ListBullet"/>
      </w:pPr>
      <w:r>
        <w:rPr>
          <w:b/>
        </w:rPr>
        <w:t>5.4.4 To journalism educators:</w:t>
      </w:r>
      <w:r>
        <w:t xml:space="preserve"> curriculum lessons from 40 years (political reporting, development journalism, digital verification).</w:t>
      </w:r>
    </w:p>
    <w:p>
      <w:pPr>
        <w:pStyle w:val="ListBullet"/>
      </w:pPr>
      <w:r>
        <w:rPr>
          <w:b/>
        </w:rPr>
        <w:t>5.4.5 To development partners and advertisers:</w:t>
      </w:r>
      <w:r>
        <w:t xml:space="preserve"> e.g., supporting independent media research, archive digitisation, sustainable ad markets.</w:t>
      </w:r>
    </w:p>
    <w:p>
      <w:pPr>
        <w:pStyle w:val="Heading2"/>
      </w:pPr>
      <w:r>
        <w:t>5.5 Suggestions for Further Research</w:t>
      </w:r>
    </w:p>
    <w:p>
      <w:pPr>
        <w:pStyle w:val="ListBullet"/>
      </w:pPr>
      <w:r>
        <w:t>Studies this design could not cover: full financial audit; ethnography of specific newsroom eras; reception studies in Karamoja/refugee settlements; comparative East African state-media panel study; AI and the next decade of Ugandan journalism.</w:t>
      </w:r>
    </w:p>
    <w:p>
      <w:pPr>
        <w:pStyle w:val="Heading2"/>
      </w:pPr>
      <w:r>
        <w:t>5.6 Personal Reflection (if required by your university)</w:t>
      </w:r>
    </w:p>
    <w:p>
      <w:pPr>
        <w:pStyle w:val="ListBullet"/>
      </w:pPr>
      <w:r>
        <w:t>What conducting a 40-year assessment taught you as a researcher; positionality note (Ugandan researcher studying a state institution — how you managed bias expectations).</w:t>
      </w:r>
    </w:p>
    <w:p>
      <w:r>
        <w:rPr>
          <w:i/>
        </w:rPr>
        <w:t>Proposal-stage instruction: in your proposal defence, present §5.1–§5.3 as "expected outcomes" (tentative, not pre-empted findings). Examiners penalise proposals that sound like conclusions are already written.</w:t>
      </w:r>
    </w:p>
    <w:p>
      <w:r>
        <w:br w:type="page"/>
      </w:r>
    </w:p>
    <w:p>
      <w:pPr>
        <w:pStyle w:val="Heading1"/>
      </w:pPr>
      <w:r>
        <w:t>REFERENCES (Consolidated — APA 7th)</w:t>
      </w:r>
    </w:p>
    <w:p>
      <w:pPr>
        <w:ind w:left="480"/>
      </w:pPr>
      <w:r>
        <w:rPr>
          <w:i/>
        </w:rPr>
        <w:t>Your Chapter Two citations preserved below + new methodology sources added for Chapter Three.</w:t>
      </w:r>
    </w:p>
    <w:p>
      <w:pPr>
        <w:ind w:left="480"/>
      </w:pPr>
      <w:r>
        <w:rPr>
          <w:b/>
          <w:i/>
        </w:rPr>
        <w:t>Action required:</w:t>
      </w:r>
      <w:r>
        <w:rPr>
          <w:i/>
        </w:rPr>
        <w:t xml:space="preserve"> verify each entry against the original (several Ch.2 citations lack full bibliographic details — flagged with [VERIFY]). Your supervisor/external examiner WILL check references.</w:t>
      </w:r>
    </w:p>
    <w:p>
      <w:pPr>
        <w:pStyle w:val="Heading2"/>
      </w:pPr>
      <w:r>
        <w:t>From Chapter Two (media/substantive literature)</w:t>
      </w:r>
    </w:p>
    <w:p>
      <w:r>
        <w:t xml:space="preserve">African Centre for Media Excellence. (2019). </w:t>
      </w:r>
      <w:r>
        <w:rPr>
          <w:i/>
        </w:rPr>
        <w:t>Reports on journalistic standards and editorial practices in Uganda</w:t>
      </w:r>
      <w:r>
        <w:t xml:space="preserve"> [VERIFY full titles]. Kampala: ACME.</w:t>
      </w:r>
    </w:p>
    <w:p>
      <w:r>
        <w:t xml:space="preserve">African Media Barometer. (2004–2022). </w:t>
      </w:r>
      <w:r>
        <w:rPr>
          <w:i/>
        </w:rPr>
        <w:t>Uganda country reports</w:t>
      </w:r>
      <w:r>
        <w:t>. Windhoek: Friedrich-Ebert-Stiftung (FES). [VERIFY years used]</w:t>
      </w:r>
    </w:p>
    <w:p>
      <w:r>
        <w:t xml:space="preserve">African Media Initiative. (2016). </w:t>
      </w:r>
      <w:r>
        <w:rPr>
          <w:i/>
        </w:rPr>
        <w:t>Africa's media transformation: Stocktaking report</w:t>
      </w:r>
      <w:r>
        <w:t xml:space="preserve"> [VERIFY title]. Nairobi: AMI.</w:t>
      </w:r>
    </w:p>
    <w:p>
      <w:r>
        <w:t xml:space="preserve">Banda, F. (2009). </w:t>
      </w:r>
      <w:r>
        <w:rPr>
          <w:i/>
        </w:rPr>
        <w:t>The media and democratic consolidation in Africa</w:t>
      </w:r>
      <w:r>
        <w:t xml:space="preserve"> [VERIFY — chapter/article?]. [Publisher/journal VERIFY].</w:t>
      </w:r>
    </w:p>
    <w:p>
      <w:r>
        <w:t xml:space="preserve">Beckett, C. (2008). </w:t>
      </w:r>
      <w:r>
        <w:rPr>
          <w:i/>
        </w:rPr>
        <w:t>SuperMedia: Saving journalism so it can save the world</w:t>
      </w:r>
      <w:r>
        <w:t>. Oxford: Blackwell.</w:t>
      </w:r>
    </w:p>
    <w:p>
      <w:r>
        <w:t xml:space="preserve">Berger, G. (2007). </w:t>
      </w:r>
      <w:r>
        <w:rPr>
          <w:i/>
        </w:rPr>
        <w:t>Media legislation in Africa: A comparative legal survey</w:t>
      </w:r>
      <w:r>
        <w:t>. Grahamstown: UNESCO / Rhodes University.</w:t>
      </w:r>
    </w:p>
    <w:p>
      <w:r>
        <w:t xml:space="preserve">Bourgault, L. M. (1995). </w:t>
      </w:r>
      <w:r>
        <w:rPr>
          <w:i/>
        </w:rPr>
        <w:t>Mass media in sub-Saharan Africa</w:t>
      </w:r>
      <w:r>
        <w:t>. Bloomington: Indiana University Press.</w:t>
      </w:r>
    </w:p>
    <w:p>
      <w:r>
        <w:t xml:space="preserve">Bratton, M., &amp; van de Walle, N. (1997). </w:t>
      </w:r>
      <w:r>
        <w:rPr>
          <w:i/>
        </w:rPr>
        <w:t>Democratic experiments in Africa: Regime transitions in comparative perspective</w:t>
      </w:r>
      <w:r>
        <w:t>. Cambridge: Cambridge University Press.</w:t>
      </w:r>
    </w:p>
    <w:p>
      <w:r>
        <w:t xml:space="preserve">Chibita, M. B. (2010). </w:t>
      </w:r>
      <w:r>
        <w:rPr>
          <w:i/>
        </w:rPr>
        <w:t>Language policy and the media in Uganda</w:t>
      </w:r>
      <w:r>
        <w:t xml:space="preserve"> [VERIFY — thesis/article?]. [Publisher VERIFY].</w:t>
      </w:r>
    </w:p>
    <w:p>
      <w:r>
        <w:t xml:space="preserve">Creswell, J. W., &amp; Creswell, J. D. (2018). </w:t>
      </w:r>
      <w:r>
        <w:rPr>
          <w:i/>
        </w:rPr>
        <w:t>Research design: Qualitative, quantitative, and mixed methods approaches</w:t>
      </w:r>
      <w:r>
        <w:t xml:space="preserve"> (5th ed.). Thousand Oaks, CA: Sage.</w:t>
      </w:r>
    </w:p>
    <w:p>
      <w:r>
        <w:t xml:space="preserve">Curran, J., &amp; Park, M.-J. (Eds.). (2000). </w:t>
      </w:r>
      <w:r>
        <w:rPr>
          <w:i/>
        </w:rPr>
        <w:t>De-Westernizing media studies</w:t>
      </w:r>
      <w:r>
        <w:t>. London: Routledge.</w:t>
      </w:r>
    </w:p>
    <w:p>
      <w:r>
        <w:t xml:space="preserve">DataReportal. (2023). </w:t>
      </w:r>
      <w:r>
        <w:rPr>
          <w:i/>
        </w:rPr>
        <w:t>Digital 2023: Uganda</w:t>
      </w:r>
      <w:r>
        <w:t>. https://datareportal.com/reports/digital-2023-uganda [VERIFY URL/date]</w:t>
      </w:r>
    </w:p>
    <w:p>
      <w:r>
        <w:t xml:space="preserve">Doyle, G. (2013). </w:t>
      </w:r>
      <w:r>
        <w:rPr>
          <w:i/>
        </w:rPr>
        <w:t>Understanding media economics</w:t>
      </w:r>
      <w:r>
        <w:t xml:space="preserve"> (2nd ed.). London: Sage.</w:t>
      </w:r>
    </w:p>
    <w:p>
      <w:r>
        <w:t xml:space="preserve">Entman, R. M. (1993). Framing: Toward clarification of a fractured paradigm. </w:t>
      </w:r>
      <w:r>
        <w:rPr>
          <w:i/>
        </w:rPr>
        <w:t>Journal of Communication, 43</w:t>
      </w:r>
      <w:r>
        <w:t>(4), 51–58.</w:t>
      </w:r>
    </w:p>
    <w:p>
      <w:r>
        <w:t xml:space="preserve">Fourie, P. J. (2007). </w:t>
      </w:r>
      <w:r>
        <w:rPr>
          <w:i/>
        </w:rPr>
        <w:t>Media studies: Media history, media and society</w:t>
      </w:r>
      <w:r>
        <w:t xml:space="preserve"> (2nd ed., Vol. 1). Cape Town: Juta.</w:t>
      </w:r>
    </w:p>
    <w:p>
      <w:r>
        <w:t xml:space="preserve">Friedrich-Ebert-Stiftung. (2022). </w:t>
      </w:r>
      <w:r>
        <w:rPr>
          <w:i/>
        </w:rPr>
        <w:t>African Media Barometer: Uganda 2022</w:t>
      </w:r>
      <w:r>
        <w:t xml:space="preserve"> [VERIFY]. Windhoek: FES.</w:t>
      </w:r>
    </w:p>
    <w:p>
      <w:r>
        <w:t xml:space="preserve">Herman, E. S., &amp; Chomsky, N. (1988). </w:t>
      </w:r>
      <w:r>
        <w:rPr>
          <w:i/>
        </w:rPr>
        <w:t>Manufacturing consent: The political economy of the mass media</w:t>
      </w:r>
      <w:r>
        <w:t>. New York: Pantheon.</w:t>
      </w:r>
    </w:p>
    <w:p>
      <w:r>
        <w:t xml:space="preserve">Hyden, G., Leslie, M., &amp; Ogundimu, F. F. (Eds.). (2002). </w:t>
      </w:r>
      <w:r>
        <w:rPr>
          <w:i/>
        </w:rPr>
        <w:t>Media and democracy in Africa</w:t>
      </w:r>
      <w:r>
        <w:t>. New Brunswick, NJ: Transaction.</w:t>
      </w:r>
    </w:p>
    <w:p>
      <w:r>
        <w:t xml:space="preserve">Kalyango, Y. (2011). </w:t>
      </w:r>
      <w:r>
        <w:rPr>
          <w:i/>
        </w:rPr>
        <w:t>African media and democratization: Public opinion, ownership and rule of law</w:t>
      </w:r>
      <w:r>
        <w:t xml:space="preserve"> [VERIFY full ref]. New York: Peter Lang.</w:t>
      </w:r>
    </w:p>
    <w:p>
      <w:r>
        <w:t>Kalyango, Y., &amp; Onyechi, N. (2013). [Article on media use in Africa — VERIFY full citation].</w:t>
      </w:r>
    </w:p>
    <w:p>
      <w:r>
        <w:t xml:space="preserve">Karikari, K. (Ed.). (1994). </w:t>
      </w:r>
      <w:r>
        <w:rPr>
          <w:i/>
        </w:rPr>
        <w:t>Independent broadcasting in Ghana: Implications and challenges</w:t>
      </w:r>
      <w:r>
        <w:t>. Accra: Ghana Universities Press. [VERIFY]</w:t>
      </w:r>
    </w:p>
    <w:p>
      <w:r>
        <w:t xml:space="preserve">Kasoma, F. P. (1995). The role of the independent media in Africa's change to democracy. </w:t>
      </w:r>
      <w:r>
        <w:rPr>
          <w:i/>
        </w:rPr>
        <w:t>Media, Culture &amp; Society, 17</w:t>
      </w:r>
      <w:r>
        <w:t>(4), 537–555. [VERIFY pages]</w:t>
      </w:r>
    </w:p>
    <w:p>
      <w:r>
        <w:t xml:space="preserve">Katz, E., Blumler, J. G., &amp; Gurevitch, M. (1973). Uses and gratifications research. </w:t>
      </w:r>
      <w:r>
        <w:rPr>
          <w:i/>
        </w:rPr>
        <w:t>The Public Opinion Quarterly, 37</w:t>
      </w:r>
      <w:r>
        <w:t>(4), 509–523.</w:t>
      </w:r>
    </w:p>
    <w:p>
      <w:r>
        <w:t>Mano, W. (2009). [On state media transformation in Southern Africa — VERIFY full citation].</w:t>
      </w:r>
    </w:p>
    <w:p>
      <w:r>
        <w:t xml:space="preserve">McCombs, M. E. (2014). </w:t>
      </w:r>
      <w:r>
        <w:rPr>
          <w:i/>
        </w:rPr>
        <w:t>Setting the agenda: Mass media and public opinion</w:t>
      </w:r>
      <w:r>
        <w:t xml:space="preserve"> (2nd ed.). Cambridge: Polity.</w:t>
      </w:r>
    </w:p>
    <w:p>
      <w:r>
        <w:t xml:space="preserve">McCombs, M. E., &amp; Shaw, D. L. (1972). The agenda-setting function of mass media. </w:t>
      </w:r>
      <w:r>
        <w:rPr>
          <w:i/>
        </w:rPr>
        <w:t>The Public Opinion Quarterly, 36</w:t>
      </w:r>
      <w:r>
        <w:t>(2), 176–187.</w:t>
      </w:r>
    </w:p>
    <w:p>
      <w:r>
        <w:t xml:space="preserve">McQuail, D. (1987). </w:t>
      </w:r>
      <w:r>
        <w:rPr>
          <w:i/>
        </w:rPr>
        <w:t>Mass communication theory: An introduction</w:t>
      </w:r>
      <w:r>
        <w:t xml:space="preserve"> (2nd ed.). London: Sage.</w:t>
      </w:r>
    </w:p>
    <w:p>
      <w:r>
        <w:t xml:space="preserve">Mosco, V. (2009). </w:t>
      </w:r>
      <w:r>
        <w:rPr>
          <w:i/>
        </w:rPr>
        <w:t>The political economy of communication</w:t>
      </w:r>
      <w:r>
        <w:t xml:space="preserve"> (2nd ed.). London: Sage.</w:t>
      </w:r>
    </w:p>
    <w:p>
      <w:r>
        <w:t xml:space="preserve">Mwesige, P. G. (2004). </w:t>
      </w:r>
      <w:r>
        <w:rPr>
          <w:i/>
        </w:rPr>
        <w:t>A profile of Ugandan journalists</w:t>
      </w:r>
      <w:r>
        <w:t xml:space="preserve"> [VERIFY — report/thesis?]. Kampala: [Publisher VERIFY].</w:t>
      </w:r>
    </w:p>
    <w:p>
      <w:r>
        <w:t>Mwesige, P. G. (2009). [On Ugandan elections/media — VERIFY full citation].</w:t>
      </w:r>
    </w:p>
    <w:p>
      <w:r>
        <w:t xml:space="preserve">Mytton, G. (1983). </w:t>
      </w:r>
      <w:r>
        <w:rPr>
          <w:i/>
        </w:rPr>
        <w:t>Mass communication in Africa</w:t>
      </w:r>
      <w:r>
        <w:t>. London: Edward Arnold.</w:t>
      </w:r>
    </w:p>
    <w:p>
      <w:r>
        <w:t>Nassanga, G. L. (2008). [On media and society in Uganda — VERIFY full citation].</w:t>
      </w:r>
    </w:p>
    <w:p>
      <w:r>
        <w:t>Nassanga, G. L., &amp; Makara, S. (2009). [On social/traditional media in Uganda — VERIFY full citation].</w:t>
      </w:r>
    </w:p>
    <w:p>
      <w:r>
        <w:t xml:space="preserve">Norris, P. (2000). </w:t>
      </w:r>
      <w:r>
        <w:rPr>
          <w:i/>
        </w:rPr>
        <w:t>A virtuous circle: Political communications in postindustrial societies</w:t>
      </w:r>
      <w:r>
        <w:t>. Cambridge: Cambridge University Press.</w:t>
      </w:r>
    </w:p>
    <w:p>
      <w:r>
        <w:t xml:space="preserve">Obregon, R., &amp; Waisbord, S. (Eds.). (2012). </w:t>
      </w:r>
      <w:r>
        <w:rPr>
          <w:i/>
        </w:rPr>
        <w:t>The handbook of global health communication</w:t>
      </w:r>
      <w:r>
        <w:t>. Chichester: Wiley-Blackwell.</w:t>
      </w:r>
    </w:p>
    <w:p>
      <w:r>
        <w:t xml:space="preserve">Pavlik, J. V. (2001). </w:t>
      </w:r>
      <w:r>
        <w:rPr>
          <w:i/>
        </w:rPr>
        <w:t>Journalism and new media</w:t>
      </w:r>
      <w:r>
        <w:t>. New York: Columbia University Press.</w:t>
      </w:r>
    </w:p>
    <w:p>
      <w:r>
        <w:t xml:space="preserve">Philo, G., &amp; Berry, M. (2011). </w:t>
      </w:r>
      <w:r>
        <w:rPr>
          <w:i/>
        </w:rPr>
        <w:t>More bad news from Israel</w:t>
      </w:r>
      <w:r>
        <w:t>. London: Pluto Press. [VERIFY relevance — cited for Propaganda Model adaptation]</w:t>
      </w:r>
    </w:p>
    <w:p>
      <w:r>
        <w:t xml:space="preserve">Picard, R. G. (2011). </w:t>
      </w:r>
      <w:r>
        <w:rPr>
          <w:i/>
        </w:rPr>
        <w:t>The economics and financing of media companies</w:t>
      </w:r>
      <w:r>
        <w:t xml:space="preserve"> (2nd ed.). New York: Fordham University Press.</w:t>
      </w:r>
    </w:p>
    <w:p>
      <w:r>
        <w:t>Picard, R. G. (2014). [On digital disruption of advertising — VERIFY full citation].</w:t>
      </w:r>
    </w:p>
    <w:p>
      <w:r>
        <w:t xml:space="preserve">Reporters Without Borders. (2023). </w:t>
      </w:r>
      <w:r>
        <w:rPr>
          <w:i/>
        </w:rPr>
        <w:t>World Press Freedom Index 2023: Uganda</w:t>
      </w:r>
      <w:r>
        <w:t>. https://rsf.org/en/index [VERIFY URL]</w:t>
      </w:r>
    </w:p>
    <w:p>
      <w:r>
        <w:t xml:space="preserve">Schramm, W. (1964). </w:t>
      </w:r>
      <w:r>
        <w:rPr>
          <w:i/>
        </w:rPr>
        <w:t>Mass media and national development: The role of information in the developing countries</w:t>
      </w:r>
      <w:r>
        <w:t>. Stanford, CA: Stanford University Press.</w:t>
      </w:r>
    </w:p>
    <w:p>
      <w:r>
        <w:t>Sengati-Kauma, M. (2003). [Assessment of New Vision at 17 — VERIFY full citation: thesis/report?].</w:t>
      </w:r>
    </w:p>
    <w:p>
      <w:r>
        <w:t xml:space="preserve">Servaes, J. (1999). </w:t>
      </w:r>
      <w:r>
        <w:rPr>
          <w:i/>
        </w:rPr>
        <w:t>Communication for development: One world, multiple cultures</w:t>
      </w:r>
      <w:r>
        <w:t>. Cresskill, NJ: Hampton Press.</w:t>
      </w:r>
    </w:p>
    <w:p>
      <w:r>
        <w:t xml:space="preserve">Sparks, C. (2007). </w:t>
      </w:r>
      <w:r>
        <w:rPr>
          <w:i/>
        </w:rPr>
        <w:t>Globalization, development and the mass media</w:t>
      </w:r>
      <w:r>
        <w:t>. London: Sage.</w:t>
      </w:r>
    </w:p>
    <w:p>
      <w:r>
        <w:t xml:space="preserve">Tufte, T. (2017). </w:t>
      </w:r>
      <w:r>
        <w:rPr>
          <w:i/>
        </w:rPr>
        <w:t>Communication and social change: A citizen perspective</w:t>
      </w:r>
      <w:r>
        <w:t>. Cambridge: Polity.</w:t>
      </w:r>
    </w:p>
    <w:p>
      <w:r>
        <w:t xml:space="preserve">UNAIDS. (2022). </w:t>
      </w:r>
      <w:r>
        <w:rPr>
          <w:i/>
        </w:rPr>
        <w:t>Uganda HIV estimates/country factsheet</w:t>
      </w:r>
      <w:r>
        <w:t xml:space="preserve"> [VERIFY]. Geneva: UNAIDS.</w:t>
      </w:r>
    </w:p>
    <w:p>
      <w:r>
        <w:t xml:space="preserve">UNESCO. (2022). </w:t>
      </w:r>
      <w:r>
        <w:rPr>
          <w:i/>
        </w:rPr>
        <w:t>Uganda literacy data</w:t>
      </w:r>
      <w:r>
        <w:t xml:space="preserve"> [VERIFY — UIS database]. Paris: UNESCO.</w:t>
      </w:r>
    </w:p>
    <w:p>
      <w:r>
        <w:t xml:space="preserve">Wasserman, H. (2011). </w:t>
      </w:r>
      <w:r>
        <w:rPr>
          <w:i/>
        </w:rPr>
        <w:t>Popular media, democracy and development in Africa</w:t>
      </w:r>
      <w:r>
        <w:t>. London: Routledge.</w:t>
      </w:r>
    </w:p>
    <w:p>
      <w:pPr>
        <w:pStyle w:val="Heading2"/>
      </w:pPr>
      <w:r>
        <w:t>Added for the Pilot (desk sources actually used in Chapter Four)</w:t>
      </w:r>
    </w:p>
    <w:p>
      <w:r>
        <w:t xml:space="preserve">African Centre for Media Excellence. (2016, February 11). </w:t>
      </w:r>
      <w:r>
        <w:rPr>
          <w:i/>
        </w:rPr>
        <w:t>January media monitoring report raises concern over quality of radio coverage of elections</w:t>
      </w:r>
      <w:r>
        <w:t xml:space="preserve"> (2016 election coverage monitoring). Kampala: ACME. https://acme-ug.org/2016/02/11/january-media-monitoring-report-raises-concern-over-quality-of-radio-coverage-of-elections/</w:t>
      </w:r>
    </w:p>
    <w:p>
      <w:r>
        <w:t xml:space="preserve">African Centre for Media Excellence. (2021). </w:t>
      </w:r>
      <w:r>
        <w:rPr>
          <w:i/>
        </w:rPr>
        <w:t>Uganda media coverage of the 2021 elections: January final report</w:t>
      </w:r>
      <w:r>
        <w:t>. Kampala: ACME. https://acme-ug.org/wp-content/uploads/Uganda-Media-Coverage-of-the-2021-Elections-DESIGNED-JANUARY-REPORT-_FINAL.pdf</w:t>
      </w:r>
    </w:p>
    <w:p>
      <w:r>
        <w:t xml:space="preserve">African Centre for Media Excellence. (2016, June 28). </w:t>
      </w:r>
      <w:r>
        <w:rPr>
          <w:i/>
        </w:rPr>
        <w:t>New report: Media portrayed women negatively in 2016 election coverage</w:t>
      </w:r>
      <w:r>
        <w:t xml:space="preserve"> (UMWA three-month study of 5 newspapers). https://acme-ug.org/2016/06/28/new-report-media-portrayed-women-negatively-in-2016-election-coverage/</w:t>
      </w:r>
    </w:p>
    <w:p>
      <w:r>
        <w:t xml:space="preserve">DataReportal. (2025). </w:t>
      </w:r>
      <w:r>
        <w:rPr>
          <w:i/>
        </w:rPr>
        <w:t>Digital 2025: Uganda</w:t>
      </w:r>
      <w:r>
        <w:t>. Kepios/Meltwater/We Are Social. https://datareportal.com/reports/digital-2025-uganda</w:t>
      </w:r>
    </w:p>
    <w:p>
      <w:r>
        <w:t xml:space="preserve">Deutsche Welle. (2025, May 6). </w:t>
      </w:r>
      <w:r>
        <w:rPr>
          <w:i/>
        </w:rPr>
        <w:t>Uganda's media freedom declines</w:t>
      </w:r>
      <w:r>
        <w:t xml:space="preserve"> [Audio]. https://www.dw.com/en/ugandas-media-freedom-declines/audio-72452374</w:t>
      </w:r>
    </w:p>
    <w:p>
      <w:r>
        <w:t xml:space="preserve">Reporters Without Borders. (2025). </w:t>
      </w:r>
      <w:r>
        <w:rPr>
          <w:i/>
        </w:rPr>
        <w:t>2025 World Press Freedom Index: Africa — the reddening map</w:t>
      </w:r>
      <w:r>
        <w:t xml:space="preserve"> (Uganda ranked 143rd, "very serious"). https://rsf.org/en/classement/2025/africa</w:t>
      </w:r>
    </w:p>
    <w:p>
      <w:r>
        <w:t xml:space="preserve">Wikipedia contributors. (2026). </w:t>
      </w:r>
      <w:r>
        <w:rPr>
          <w:i/>
        </w:rPr>
        <w:t>New Vision</w:t>
      </w:r>
      <w:r>
        <w:t>. Wikipedia. https://en.wikipedia.org/wiki/New_Vision [SECONDARY — replace with primary sources (USE filings, ABC report, NVPPCL profiles) wherever the examiner-facing claim matters; used here only for pilot orientation]</w:t>
      </w:r>
    </w:p>
    <w:p>
      <w:pPr>
        <w:pStyle w:val="Heading2"/>
      </w:pPr>
      <w:r>
        <w:t>Added for Chapters One &amp; Three (methodology/methods)</w:t>
      </w:r>
    </w:p>
    <w:p>
      <w:r>
        <w:t xml:space="preserve">Braun, V., &amp; Clarke, V. (2006). Using thematic analysis in psychology. </w:t>
      </w:r>
      <w:r>
        <w:rPr>
          <w:i/>
        </w:rPr>
        <w:t>Qualitative Research in Psychology, 3</w:t>
      </w:r>
      <w:r>
        <w:t>(2), 77–101.</w:t>
      </w:r>
    </w:p>
    <w:p>
      <w:r>
        <w:t xml:space="preserve">Guest, G., Bunce, A., &amp; Johnson, L. (2006). How many interviews are enough? An experiment with data saturation and variability. </w:t>
      </w:r>
      <w:r>
        <w:rPr>
          <w:i/>
        </w:rPr>
        <w:t>Field Methods, 18</w:t>
      </w:r>
      <w:r>
        <w:t>(1), 59–82.</w:t>
      </w:r>
    </w:p>
    <w:p>
      <w:r>
        <w:t xml:space="preserve">Guetterman, T. C., Fetters, M. D., &amp; Creswell, J. W. (2015). Integrating quantitative and qualitative results in health science mixed methods research through joint displays. </w:t>
      </w:r>
      <w:r>
        <w:rPr>
          <w:i/>
        </w:rPr>
        <w:t>Annals of Family Medicine, 13</w:t>
      </w:r>
      <w:r>
        <w:t>(6), 554–561.</w:t>
      </w:r>
    </w:p>
    <w:p>
      <w:r>
        <w:t xml:space="preserve">Krejcie, R. V., &amp; Morgan, D. W. (1970). Determining sample size for research activities. </w:t>
      </w:r>
      <w:r>
        <w:rPr>
          <w:i/>
        </w:rPr>
        <w:t>Educational and Psychological Measurement, 30</w:t>
      </w:r>
      <w:r>
        <w:t>(3), 607–610.</w:t>
      </w:r>
    </w:p>
    <w:p>
      <w:r>
        <w:t xml:space="preserve">Krippendorff, K. (2019). </w:t>
      </w:r>
      <w:r>
        <w:rPr>
          <w:i/>
        </w:rPr>
        <w:t>Content analysis: An introduction to its methodology</w:t>
      </w:r>
      <w:r>
        <w:t xml:space="preserve"> (4th ed.). Thousand Oaks, CA: Sage.</w:t>
      </w:r>
    </w:p>
    <w:p>
      <w:r>
        <w:t xml:space="preserve">Krueger, R. A., &amp; Casey, M. A. (2015). </w:t>
      </w:r>
      <w:r>
        <w:rPr>
          <w:i/>
        </w:rPr>
        <w:t>Focus groups: A practical guide for applied research</w:t>
      </w:r>
      <w:r>
        <w:t xml:space="preserve"> (5th ed.). Thousand Oaks, CA: Sage.</w:t>
      </w:r>
    </w:p>
    <w:p>
      <w:r>
        <w:t xml:space="preserve">Lincoln, Y. S., &amp; Guba, E. G. (1985). </w:t>
      </w:r>
      <w:r>
        <w:rPr>
          <w:i/>
        </w:rPr>
        <w:t>Naturalistic inquiry</w:t>
      </w:r>
      <w:r>
        <w:t>. Beverly Hills, CA: Sage.</w:t>
      </w:r>
    </w:p>
    <w:p>
      <w:r>
        <w:t xml:space="preserve">Yin, R. K. (2018). </w:t>
      </w:r>
      <w:r>
        <w:rPr>
          <w:i/>
        </w:rPr>
        <w:t>Case study research: Design and methods</w:t>
      </w:r>
      <w:r>
        <w:t xml:space="preserve"> (6th ed.). Thousand Oaks, CA: Sage.</w:t>
      </w:r>
    </w:p>
    <w:p>
      <w:r>
        <w:rPr>
          <w:i/>
        </w:rPr>
        <w:t>Formatting note: confirm your university's required style (APA 7th assumed here). Makerere/UCU/KIU departments vary — some require APA 6th or Harvard. Tell me which and I will reformat.</w:t>
      </w:r>
    </w:p>
    <w:p>
      <w:r>
        <w:br w:type="page"/>
      </w:r>
    </w:p>
    <w:p>
      <w:pPr>
        <w:pStyle w:val="Heading1"/>
      </w:pPr>
      <w:r>
        <w:t>APPENDIX A: PILOT RESEARCH INSTRUMENTS</w:t>
      </w:r>
    </w:p>
    <w:p>
      <w:pPr>
        <w:pStyle w:val="Heading1"/>
      </w:pPr>
      <w:r>
        <w:t>PILOT RESEARCH INSTRUMENTS — PRINT-READY</w:t>
      </w:r>
    </w:p>
    <w:p>
      <w:pPr>
        <w:ind w:left="480"/>
      </w:pPr>
      <w:r>
        <w:rPr>
          <w:i/>
        </w:rPr>
        <w:t>4 instruments for the 100 / 40 / 3 pilot. Pretest all before main fieldwork (§3.8).</w:t>
      </w:r>
    </w:p>
    <w:p>
      <w:pPr>
        <w:ind w:left="480"/>
      </w:pPr>
      <w:r>
        <w:rPr>
          <w:i/>
        </w:rPr>
        <w:t>Translate the Questionnaire into Luganda (back-translation check) — other languages only if your up-country site needs them.</w:t>
      </w:r>
    </w:p>
    <w:p>
      <w:pPr>
        <w:pStyle w:val="Heading2"/>
      </w:pPr>
      <w:r>
        <w:t>INSTRUMENT 1: Edition Coding Sheet (×100 — one per edition)</w:t>
      </w:r>
    </w:p>
    <w:p>
      <w:r>
        <w:rPr>
          <w:b/>
        </w:rPr>
        <w:t>Edition ID: NV-____ | Title: ☐ New Vision ☐ Sunday Vision ☐ Bukedde ☐ Other __ | Date sought: ____ Date obtained: ____ | Source rung: ☐1-Library ☐2-Wayback ☐3-Website ☐4-Reprint | Coder: __</w:t>
      </w:r>
    </w:p>
    <w:p>
      <w:r>
        <w:rPr>
          <w:b/>
        </w:rPr>
        <w:t>A. Front-page stories (list up to 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r>
            <w:r>
              <w:rPr>
                <w:b/>
                <w:sz w:val="20"/>
              </w:rPr>
              <w:t>#</w:t>
            </w:r>
          </w:p>
        </w:tc>
        <w:tc>
          <w:tcPr>
            <w:tcW w:type="dxa" w:w="1440"/>
          </w:tcPr>
          <w:p>
            <w:r>
              <w:rPr>
                <w:b/>
                <w:sz w:val="20"/>
              </w:rPr>
            </w:r>
            <w:r>
              <w:rPr>
                <w:b/>
                <w:sz w:val="20"/>
              </w:rPr>
              <w:t>Headline (short)</w:t>
            </w:r>
          </w:p>
        </w:tc>
        <w:tc>
          <w:tcPr>
            <w:tcW w:type="dxa" w:w="1440"/>
          </w:tcPr>
          <w:p>
            <w:r>
              <w:rPr>
                <w:b/>
                <w:sz w:val="20"/>
              </w:rPr>
            </w:r>
            <w:r>
              <w:rPr>
                <w:b/>
                <w:sz w:val="20"/>
              </w:rPr>
              <w:t>Issue code*</w:t>
            </w:r>
          </w:p>
        </w:tc>
        <w:tc>
          <w:tcPr>
            <w:tcW w:type="dxa" w:w="1440"/>
          </w:tcPr>
          <w:p>
            <w:r>
              <w:rPr>
                <w:b/>
                <w:sz w:val="20"/>
              </w:rPr>
            </w:r>
            <w:r>
              <w:rPr>
                <w:b/>
                <w:sz w:val="20"/>
              </w:rPr>
              <w:t>Main actor**</w:t>
            </w:r>
          </w:p>
        </w:tc>
        <w:tc>
          <w:tcPr>
            <w:tcW w:type="dxa" w:w="1440"/>
          </w:tcPr>
          <w:p>
            <w:r>
              <w:rPr>
                <w:b/>
                <w:sz w:val="20"/>
              </w:rPr>
            </w:r>
            <w:r>
              <w:rPr>
                <w:b/>
                <w:sz w:val="20"/>
              </w:rPr>
              <w:t>Stance***</w:t>
            </w:r>
          </w:p>
        </w:tc>
        <w:tc>
          <w:tcPr>
            <w:tcW w:type="dxa" w:w="1440"/>
          </w:tcPr>
          <w:p>
            <w:r>
              <w:rPr>
                <w:b/>
                <w:sz w:val="20"/>
              </w:rPr>
            </w:r>
            <w:r>
              <w:rPr>
                <w:b/>
                <w:sz w:val="20"/>
              </w:rPr>
              <w:t>Women source?</w:t>
            </w:r>
          </w:p>
        </w:tc>
      </w:tr>
      <w:tr>
        <w:tc>
          <w:tcPr>
            <w:tcW w:type="dxa" w:w="1440"/>
          </w:tcPr>
          <w:p>
            <w:r>
              <w:rPr>
                <w:sz w:val="20"/>
              </w:rPr>
            </w:r>
            <w:r>
              <w:rPr>
                <w:sz w:val="20"/>
              </w:rPr>
              <w:t>1</w:t>
            </w:r>
          </w:p>
        </w:tc>
        <w:tc>
          <w:tcPr>
            <w:tcW w:type="dxa" w:w="1440"/>
          </w:tcPr>
          <w:p>
            <w:r>
              <w:rPr>
                <w:sz w:val="20"/>
              </w:rPr>
            </w:r>
          </w:p>
        </w:tc>
        <w:tc>
          <w:tcPr>
            <w:tcW w:type="dxa" w:w="1440"/>
          </w:tcPr>
          <w:p>
            <w:r>
              <w:rPr>
                <w:sz w:val="20"/>
              </w:rPr>
            </w:r>
          </w:p>
        </w:tc>
        <w:tc>
          <w:tcPr>
            <w:tcW w:type="dxa" w:w="1440"/>
          </w:tcPr>
          <w:p>
            <w:r>
              <w:rPr>
                <w:sz w:val="20"/>
              </w:rPr>
            </w:r>
          </w:p>
        </w:tc>
        <w:tc>
          <w:tcPr>
            <w:tcW w:type="dxa" w:w="1440"/>
          </w:tcPr>
          <w:p>
            <w:r>
              <w:rPr>
                <w:sz w:val="20"/>
              </w:rPr>
            </w:r>
          </w:p>
        </w:tc>
        <w:tc>
          <w:tcPr>
            <w:tcW w:type="dxa" w:w="1440"/>
          </w:tcPr>
          <w:p>
            <w:r>
              <w:rPr>
                <w:sz w:val="20"/>
              </w:rPr>
            </w:r>
            <w:r>
              <w:rPr>
                <w:sz w:val="20"/>
              </w:rPr>
              <w:t>☐Y ☐N</w:t>
            </w:r>
          </w:p>
        </w:tc>
      </w:tr>
      <w:tr>
        <w:tc>
          <w:tcPr>
            <w:tcW w:type="dxa" w:w="1440"/>
          </w:tcPr>
          <w:p>
            <w:r>
              <w:rPr>
                <w:sz w:val="20"/>
              </w:rPr>
            </w:r>
            <w:r>
              <w:rPr>
                <w:sz w:val="20"/>
              </w:rPr>
              <w:t>2</w:t>
            </w:r>
          </w:p>
        </w:tc>
        <w:tc>
          <w:tcPr>
            <w:tcW w:type="dxa" w:w="1440"/>
          </w:tcPr>
          <w:p>
            <w:r>
              <w:rPr>
                <w:sz w:val="20"/>
              </w:rPr>
            </w:r>
          </w:p>
        </w:tc>
        <w:tc>
          <w:tcPr>
            <w:tcW w:type="dxa" w:w="1440"/>
          </w:tcPr>
          <w:p>
            <w:r>
              <w:rPr>
                <w:sz w:val="20"/>
              </w:rPr>
            </w:r>
          </w:p>
        </w:tc>
        <w:tc>
          <w:tcPr>
            <w:tcW w:type="dxa" w:w="1440"/>
          </w:tcPr>
          <w:p>
            <w:r>
              <w:rPr>
                <w:sz w:val="20"/>
              </w:rPr>
            </w:r>
          </w:p>
        </w:tc>
        <w:tc>
          <w:tcPr>
            <w:tcW w:type="dxa" w:w="1440"/>
          </w:tcPr>
          <w:p>
            <w:r>
              <w:rPr>
                <w:sz w:val="20"/>
              </w:rPr>
            </w:r>
          </w:p>
        </w:tc>
        <w:tc>
          <w:tcPr>
            <w:tcW w:type="dxa" w:w="1440"/>
          </w:tcPr>
          <w:p>
            <w:r>
              <w:rPr>
                <w:sz w:val="20"/>
              </w:rPr>
            </w:r>
            <w:r>
              <w:rPr>
                <w:sz w:val="20"/>
              </w:rPr>
              <w:t>☐Y ☐N</w:t>
            </w:r>
          </w:p>
        </w:tc>
      </w:tr>
      <w:tr>
        <w:tc>
          <w:tcPr>
            <w:tcW w:type="dxa" w:w="1440"/>
          </w:tcPr>
          <w:p>
            <w:r>
              <w:rPr>
                <w:sz w:val="20"/>
              </w:rPr>
            </w:r>
            <w:r>
              <w:rPr>
                <w:sz w:val="20"/>
              </w:rPr>
              <w:t>…</w:t>
            </w:r>
          </w:p>
        </w:tc>
        <w:tc>
          <w:tcPr>
            <w:tcW w:type="dxa" w:w="1440"/>
          </w:tcPr>
          <w:p>
            <w:r>
              <w:rPr>
                <w:sz w:val="20"/>
              </w:rPr>
            </w:r>
          </w:p>
        </w:tc>
        <w:tc>
          <w:tcPr>
            <w:tcW w:type="dxa" w:w="1440"/>
          </w:tcPr>
          <w:p>
            <w:r>
              <w:rPr>
                <w:sz w:val="20"/>
              </w:rPr>
            </w:r>
          </w:p>
        </w:tc>
        <w:tc>
          <w:tcPr>
            <w:tcW w:type="dxa" w:w="1440"/>
          </w:tcPr>
          <w:p>
            <w:r>
              <w:rPr>
                <w:sz w:val="20"/>
              </w:rPr>
            </w:r>
          </w:p>
        </w:tc>
        <w:tc>
          <w:tcPr>
            <w:tcW w:type="dxa" w:w="1440"/>
          </w:tcPr>
          <w:p>
            <w:r>
              <w:rPr>
                <w:sz w:val="20"/>
              </w:rPr>
            </w:r>
          </w:p>
        </w:tc>
        <w:tc>
          <w:tcPr>
            <w:tcW w:type="dxa" w:w="1440"/>
          </w:tcPr>
          <w:p>
            <w:r>
              <w:rPr>
                <w:sz w:val="20"/>
              </w:rPr>
            </w:r>
          </w:p>
        </w:tc>
      </w:tr>
    </w:tbl>
    <w:p/>
    <w:p>
      <w:r>
        <w:rPr>
          <w:b/>
        </w:rPr>
        <w:t>B. Editorials/Op-eds (up to 3):</w:t>
      </w:r>
      <w:r>
        <w:t xml:space="preserve"> headline + stance each: 1) ____________ 2) ____________ 3) ____________</w:t>
      </w:r>
    </w:p>
    <w:p>
      <w:r>
        <w:rPr>
          <w:b/>
        </w:rPr>
        <w:t>C. Development items anywhere in edition:</w:t>
      </w:r>
      <w:r>
        <w:t xml:space="preserve"> ☐ Health (topic: ___) ☐ Education ☐ Agriculture ☐ Unity/language ☐ None — Tone: ☐Fear ☐Empowerment ☐Neutral ☐Moralising ☐Stigmatising⚑ — Actionable info? ☐Y ☐N</w:t>
      </w:r>
    </w:p>
    <w:p>
      <w:r>
        <w:rPr>
          <w:b/>
        </w:rPr>
        <w:t>D. Election-window items only:</w:t>
      </w:r>
      <w:r>
        <w:t xml:space="preserve"> dominant frame: ☐Conflict ☐Responsibility ☐Development-progress ☐Unity ☐Liberation-legacy ☐Other __ — Entman-lite (tick present): ☐Problem defined ☐Cause given ☐Moral judgement ☐Solution offered</w:t>
      </w:r>
    </w:p>
    <w:p>
      <w:r>
        <w:rPr>
          <w:b/>
        </w:rPr>
        <w:t>E. Notes/difficult calls:</w:t>
      </w:r>
      <w:r>
        <w:t xml:space="preserve"> ______________________________________________</w:t>
      </w:r>
    </w:p>
    <w:p>
      <w:r>
        <w:t>\*Issue codes: POL politics/governance · ELE elections · ECO economy · AGR agriculture · HEA health · EDU education · SEC security · JUS justice/rights · REL religion/culture · GEN gender · ENV environment · INF infrastructure · SPO sport · ENT entertainment.</w:t>
      </w:r>
    </w:p>
    <w:p>
      <w:r>
        <w:t>\**Actor codes: PRES · GOVT · NRM · OPP(name) · PARL · JUD · ARMY/POLICE · CSO · BIZ · EXPERT · CITIZEN · INTL.</w:t>
      </w:r>
    </w:p>
    <w:p>
      <w:r>
        <w:t>\***Stance (political items): FAV favourable to government · NEU neutral/balanced · UNF unfavourable · NA.</w:t>
      </w:r>
    </w:p>
    <w:p>
      <w:pPr>
        <w:pStyle w:val="Heading2"/>
      </w:pPr>
      <w:r>
        <w:t>INSTRUMENT 2: Audience Questionnaire (n=40, ~15–20 min, face-to-face)</w:t>
      </w:r>
    </w:p>
    <w:p>
      <w:r>
        <w:rPr>
          <w:b/>
        </w:rPr>
        <w:t>Intro (read + tick consent):</w:t>
      </w:r>
      <w:r>
        <w:t xml:space="preserve"> "I am a university student researching New Vision's 40-year impacts. Voluntary &amp; anonymous; skip/stop anytime; ~15 minutes." Consent: ☐Yes ☐No→end. </w:t>
      </w:r>
      <w:r>
        <w:rPr>
          <w:b/>
        </w:rPr>
        <w:t>ID: Q-__ | Site: ☐Kampala ☐__district | Date: __ | Language: ☐EN ☐LG</w:t>
      </w:r>
    </w:p>
    <w:p>
      <w:r>
        <w:rPr>
          <w:b/>
        </w:rPr>
        <w:t>A. About you:</w:t>
      </w:r>
      <w:r>
        <w:t xml:space="preserve"> A1 Gender ☐M ☐F | A2 Age ☐18–30 ☐31–50 ☐51+ | A3 Education ☐None ☐Primary ☐Secondary ☐Diploma+ | A4 Phone ☐Basic ☐Smart ☐None | A5 Internet ☐Daily ☐Weekly ☐Rarely ☐Never | A6 Languages read: ☐LG ☐EN ☐Other __</w:t>
      </w:r>
    </w:p>
    <w:p>
      <w:r>
        <w:rPr>
          <w:b/>
        </w:rPr>
        <w:t>B. Use (tick all ever-used regularly):</w:t>
      </w:r>
      <w:r>
        <w:t xml:space="preserve"> ☐NV daily ☐Sunday Vision ☐Bukedde ☐Regional title __ ☐X-FM/Bukedde FM ☐Bukedde/Urban TV ☐website ☐e-paper/app ☐FB ☐X ☐YouTube ☐TikTok | Years using: ☐&lt;1 ☐1–5 ☐6–10 ☐11–20 ☐20+ ☐Stopped (why? ___) | Other weekly sources: ☐Monitor ☐NBS/NTV ☐UBC ☐Radio __ ☐FB/X/WhatsApp ☐Intl</w:t>
      </w:r>
    </w:p>
    <w:p>
      <w:r>
        <w:rPr>
          <w:b/>
        </w:rPr>
        <w:t>C. Views (1=strongly disagree … 5=strongly agree; circle):</w:t>
      </w:r>
    </w:p>
    <w:p>
      <w:pPr>
        <w:pStyle w:val="ListNumber"/>
      </w:pPr>
      <w:r>
        <w:t>NV helps me understand Uganda. 1-2-3-4-5</w:t>
      </w:r>
    </w:p>
    <w:p>
      <w:pPr>
        <w:pStyle w:val="ListNumber"/>
      </w:pPr>
      <w:r>
        <w:t>NV helps my decisions (farming/business/health/voting). 1-2-3-4-5</w:t>
      </w:r>
    </w:p>
    <w:p>
      <w:pPr>
        <w:pStyle w:val="ListNumber"/>
      </w:pPr>
      <w:r>
        <w:t>NV gives me things to discuss with family/friends. 1-2-3-4-5</w:t>
      </w:r>
    </w:p>
    <w:p>
      <w:pPr>
        <w:pStyle w:val="ListNumber"/>
      </w:pPr>
      <w:r>
        <w:t>I trust NV more than social-media rumours. 1-2-3-4-5</w:t>
      </w:r>
    </w:p>
    <w:p>
      <w:pPr>
        <w:pStyle w:val="ListNumber"/>
      </w:pPr>
      <w:r>
        <w:t>NV favours the government too much. 1-2-3-4-5</w:t>
      </w:r>
    </w:p>
    <w:p>
      <w:pPr>
        <w:pStyle w:val="ListNumber"/>
      </w:pPr>
      <w:r>
        <w:t>NV ignores opposition voices. 1-2-3-4-5</w:t>
      </w:r>
    </w:p>
    <w:p>
      <w:pPr>
        <w:pStyle w:val="ListNumber"/>
      </w:pPr>
      <w:r>
        <w:t>NV's health info has helped me/family. 1-2-3-4-5</w:t>
      </w:r>
    </w:p>
    <w:p>
      <w:pPr>
        <w:pStyle w:val="ListNumber"/>
      </w:pPr>
      <w:r>
        <w:t>NV's education content has helped learners I know. 1-2-3-4-5</w:t>
      </w:r>
    </w:p>
    <w:p>
      <w:pPr>
        <w:pStyle w:val="ListNumber"/>
      </w:pPr>
      <w:r>
        <w:t>NV speaks my language/culture. 1-2-3-4-5</w:t>
      </w:r>
    </w:p>
    <w:p>
      <w:pPr>
        <w:pStyle w:val="ListNumber"/>
      </w:pPr>
      <w:r>
        <w:t>Overall, Uganda is better off because of NV. 1-2-3-4-5</w:t>
      </w:r>
    </w:p>
    <w:p>
      <w:r>
        <w:rPr>
          <w:b/>
        </w:rPr>
        <w:t>D. Trust &amp; agenda:</w:t>
      </w:r>
      <w:r>
        <w:t xml:space="preserve"> D1 Trust 0–10: NV print __ Bukedde __ NV online __ Monitor __ NBS/NTV __ UBC __ FB news __ WhatsApp __ | D2 Most important problem facing Uganda? ______________ Second? ______________ | D3 Where first learnt it? ______________ | D4 Elections: NV coverage favours ☐Govt strongly ☐Govt slightly ☐Balanced ☐Opp ☐DK | D5 Recall: any NV health/education message that changed your family's action? ☐Y (which? ___) ☐N</w:t>
      </w:r>
    </w:p>
    <w:p>
      <w:r>
        <w:rPr>
          <w:b/>
        </w:rPr>
        <w:t>E. Digital:</w:t>
      </w:r>
      <w:r>
        <w:t xml:space="preserve"> E1 NV online via ☐smartphone ☐laptop ☐café ☐none | E2 Follow NV on ☐FB ☐X ☐YT ☐TikTok ☐none | E3 e-paper/app ☐pay ☐free ☐stopped ☐never heard | E4 Pay monthly? ☐0 ☐&lt;5k ☐5–15k ☐&gt;15k UGX | E5 Social media made NV ☐more ☐less ☐same importance (why? ___) | E6 Barrier to NV online: ☐data cost ☐no smartphone ☐network ☐electricity ☐language ☐interest</w:t>
      </w:r>
    </w:p>
    <w:p>
      <w:r>
        <w:rPr>
          <w:b/>
        </w:rPr>
        <w:t>F. Close:</w:t>
      </w:r>
      <w:r>
        <w:t xml:space="preserve"> F1 Single most memorable NV impact on you/community? ______________ F2 One change for NV managers? ______________ — Thank the respondent.</w:t>
      </w:r>
    </w:p>
    <w:p>
      <w:pPr>
        <w:pStyle w:val="Heading2"/>
      </w:pPr>
      <w:r>
        <w:t>INSTRUMENT 3: KII Guide (3 interviews × 30–45 min)</w:t>
      </w:r>
    </w:p>
    <w:p>
      <w:r>
        <w:rPr>
          <w:b/>
        </w:rPr>
        <w:t>Consent (read + sign):</w:t>
      </w:r>
      <w:r>
        <w:t xml:space="preserve"> voluntary; recording ☐Y ☐N; attribution ☐anonymous ☐role-only ☐named. </w:t>
      </w:r>
      <w:r>
        <w:rPr>
          <w:b/>
        </w:rPr>
        <w:t>KII-__: Role __ | Date __ | Duration __ | Mode ☐in-person ☐remote</w:t>
      </w:r>
    </w:p>
    <w:p>
      <w:pPr>
        <w:pStyle w:val="ListNumber"/>
      </w:pPr>
      <w:r>
        <w:t>When did you first encounter New Vision? Walk me through the period you know best.</w:t>
      </w:r>
    </w:p>
    <w:p>
      <w:pPr>
        <w:pStyle w:val="ListNumber"/>
      </w:pPr>
      <w:r>
        <w:t>In that period, what was New Vision's political role? Give one example each of strong and compromised coverage.</w:t>
      </w:r>
    </w:p>
    <w:p>
      <w:pPr>
        <w:pStyle w:val="ListNumber"/>
      </w:pPr>
      <w:r>
        <w:t>Elections: from what you observed, how did New Vision cover incumbents vs. opposition? (Probe: 2016/2021 if known.)</w:t>
      </w:r>
    </w:p>
    <w:p>
      <w:pPr>
        <w:pStyle w:val="ListNumber"/>
      </w:pPr>
      <w:r>
        <w:t>Best development contribution (health/education/unity)? What evidence convinced you?</w:t>
      </w:r>
    </w:p>
    <w:p>
      <w:pPr>
        <w:pStyle w:val="ListNumber"/>
      </w:pPr>
      <w:r>
        <w:t>How did money shape coverage — adverts, government supplements, expos? Any boycott/pressure episode you can share?</w:t>
      </w:r>
    </w:p>
    <w:p>
      <w:pPr>
        <w:pStyle w:val="ListNumber"/>
      </w:pPr>
      <w:r>
        <w:t>Who was included/excluded by language and distribution choices?</w:t>
      </w:r>
    </w:p>
    <w:p>
      <w:pPr>
        <w:pStyle w:val="ListNumber"/>
      </w:pPr>
      <w:r>
        <w:t>When did digital "hit" New Vision? What worked, what failed, why?</w:t>
      </w:r>
    </w:p>
    <w:p>
      <w:pPr>
        <w:pStyle w:val="ListNumber"/>
      </w:pPr>
      <w:r>
        <w:t>Compared to Monitor/UBC, where does New Vision stand today — and why?</w:t>
      </w:r>
    </w:p>
    <w:p>
      <w:pPr>
        <w:pStyle w:val="ListNumber"/>
      </w:pPr>
      <w:r>
        <w:t>What must change for New Vision to thrive to 50 (2036)?</w:t>
      </w:r>
    </w:p>
    <w:p>
      <w:pPr>
        <w:pStyle w:val="ListNumber"/>
      </w:pPr>
      <w:r>
        <w:t>What documents/people must this study not miss? May I send you my 1-page summary to check?</w:t>
      </w:r>
    </w:p>
    <w:p>
      <w:r>
        <w:rPr>
          <w:i/>
        </w:rPr>
        <w:t>Role probes:</w:t>
      </w:r>
      <w:r>
        <w:t xml:space="preserve"> Lecturer → theory fit (Schramm? Herman &amp; Chomsky? Entman?) + student uses. Veteran journalist → newsroom routines then vs now; story-kill example (anonymised). NGO officer → monitoring data pointers; reform demands.</w:t>
      </w:r>
    </w:p>
    <w:p>
      <w:pPr>
        <w:pStyle w:val="Heading2"/>
      </w:pPr>
      <w:r>
        <w:t>INSTRUMENT 4A: Document Extraction Sheet (per document)</w:t>
      </w:r>
    </w:p>
    <w:p>
      <w:r>
        <w:rPr>
          <w:b/>
        </w:rPr>
        <w:t>Ref D-__ | Title __ | Date __ | Source/archive __ | Pages used __ | Data type ☐circ ☐finance ☐HR ☐rates ☐campaign ☐governance ☐press-freedom ☐digital | Extract (facts + page): __ | Reliability note: __ | Corroborating source #2: __</w:t>
      </w:r>
    </w:p>
    <w:p>
      <w:pPr>
        <w:pStyle w:val="Heading2"/>
      </w:pPr>
      <w:r>
        <w:t>INSTRUMENT 4B: One-Week Platform Audit (New Vision vs Daily Monitor)</w:t>
      </w:r>
    </w:p>
    <w:p>
      <w:r>
        <w:rPr>
          <w:b/>
        </w:rPr>
        <w:t>Week of: __ | Captured by: __ | Date/time of capture: __ (public pages change — always timestamp)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r>
            <w:r>
              <w:rPr>
                <w:b/>
                <w:sz w:val="20"/>
              </w:rPr>
              <w:t>Metric</w:t>
            </w:r>
          </w:p>
        </w:tc>
        <w:tc>
          <w:tcPr>
            <w:tcW w:type="dxa" w:w="1234"/>
          </w:tcPr>
          <w:p>
            <w:r>
              <w:rPr>
                <w:b/>
                <w:sz w:val="20"/>
              </w:rPr>
            </w:r>
            <w:r>
              <w:rPr>
                <w:b/>
                <w:sz w:val="20"/>
              </w:rPr>
              <w:t>NV Facebook</w:t>
            </w:r>
          </w:p>
        </w:tc>
        <w:tc>
          <w:tcPr>
            <w:tcW w:type="dxa" w:w="1234"/>
          </w:tcPr>
          <w:p>
            <w:r>
              <w:rPr>
                <w:b/>
                <w:sz w:val="20"/>
              </w:rPr>
            </w:r>
            <w:r>
              <w:rPr>
                <w:b/>
                <w:sz w:val="20"/>
              </w:rPr>
              <w:t>NV X</w:t>
            </w:r>
          </w:p>
        </w:tc>
        <w:tc>
          <w:tcPr>
            <w:tcW w:type="dxa" w:w="1234"/>
          </w:tcPr>
          <w:p>
            <w:r>
              <w:rPr>
                <w:b/>
                <w:sz w:val="20"/>
              </w:rPr>
            </w:r>
            <w:r>
              <w:rPr>
                <w:b/>
                <w:sz w:val="20"/>
              </w:rPr>
              <w:t>NV YouTube</w:t>
            </w:r>
          </w:p>
        </w:tc>
        <w:tc>
          <w:tcPr>
            <w:tcW w:type="dxa" w:w="1234"/>
          </w:tcPr>
          <w:p>
            <w:r>
              <w:rPr>
                <w:b/>
                <w:sz w:val="20"/>
              </w:rPr>
            </w:r>
            <w:r>
              <w:rPr>
                <w:b/>
                <w:sz w:val="20"/>
              </w:rPr>
              <w:t>NV website</w:t>
            </w:r>
          </w:p>
        </w:tc>
        <w:tc>
          <w:tcPr>
            <w:tcW w:type="dxa" w:w="1234"/>
          </w:tcPr>
          <w:p>
            <w:r>
              <w:rPr>
                <w:b/>
                <w:sz w:val="20"/>
              </w:rPr>
            </w:r>
            <w:r>
              <w:rPr>
                <w:b/>
                <w:sz w:val="20"/>
              </w:rPr>
              <w:t>Monitor FB</w:t>
            </w:r>
          </w:p>
        </w:tc>
        <w:tc>
          <w:tcPr>
            <w:tcW w:type="dxa" w:w="1234"/>
          </w:tcPr>
          <w:p>
            <w:r>
              <w:rPr>
                <w:b/>
                <w:sz w:val="20"/>
              </w:rPr>
            </w:r>
            <w:r>
              <w:rPr>
                <w:b/>
                <w:sz w:val="20"/>
              </w:rPr>
              <w:t>Monitor X</w:t>
            </w:r>
          </w:p>
        </w:tc>
      </w:tr>
      <w:tr>
        <w:tc>
          <w:tcPr>
            <w:tcW w:type="dxa" w:w="1234"/>
          </w:tcPr>
          <w:p>
            <w:r>
              <w:rPr>
                <w:sz w:val="20"/>
              </w:rPr>
            </w:r>
            <w:r>
              <w:rPr>
                <w:sz w:val="20"/>
              </w:rPr>
              <w:t>Followers/subs</w:t>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r>
              <w:rPr>
                <w:sz w:val="20"/>
              </w:rPr>
              <w:t>— (UV if public)</w:t>
            </w:r>
          </w:p>
        </w:tc>
        <w:tc>
          <w:tcPr>
            <w:tcW w:type="dxa" w:w="1234"/>
          </w:tcPr>
          <w:p>
            <w:r>
              <w:rPr>
                <w:sz w:val="20"/>
              </w:rPr>
            </w:r>
          </w:p>
        </w:tc>
        <w:tc>
          <w:tcPr>
            <w:tcW w:type="dxa" w:w="1234"/>
          </w:tcPr>
          <w:p>
            <w:r>
              <w:rPr>
                <w:sz w:val="20"/>
              </w:rPr>
            </w:r>
          </w:p>
        </w:tc>
      </w:tr>
      <w:tr>
        <w:tc>
          <w:tcPr>
            <w:tcW w:type="dxa" w:w="1234"/>
          </w:tcPr>
          <w:p>
            <w:r>
              <w:rPr>
                <w:sz w:val="20"/>
              </w:rPr>
            </w:r>
            <w:r>
              <w:rPr>
                <w:sz w:val="20"/>
              </w:rPr>
              <w:t>Posts/week</w:t>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r>
              <w:rPr>
                <w:sz w:val="20"/>
              </w:rPr>
              <w:t>stories/day</w:t>
            </w:r>
          </w:p>
        </w:tc>
        <w:tc>
          <w:tcPr>
            <w:tcW w:type="dxa" w:w="1234"/>
          </w:tcPr>
          <w:p>
            <w:r>
              <w:rPr>
                <w:sz w:val="20"/>
              </w:rPr>
            </w:r>
          </w:p>
        </w:tc>
        <w:tc>
          <w:tcPr>
            <w:tcW w:type="dxa" w:w="1234"/>
          </w:tcPr>
          <w:p>
            <w:r>
              <w:rPr>
                <w:sz w:val="20"/>
              </w:rPr>
            </w:r>
          </w:p>
        </w:tc>
      </w:tr>
      <w:tr>
        <w:tc>
          <w:tcPr>
            <w:tcW w:type="dxa" w:w="1234"/>
          </w:tcPr>
          <w:p>
            <w:r>
              <w:rPr>
                <w:sz w:val="20"/>
              </w:rPr>
            </w:r>
            <w:r>
              <w:rPr>
                <w:sz w:val="20"/>
              </w:rPr>
              <w:t>Avg engagement top-5</w:t>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r>
              <w:rPr>
                <w:sz w:val="20"/>
              </w:rPr>
              <w:t>—</w:t>
            </w:r>
          </w:p>
        </w:tc>
        <w:tc>
          <w:tcPr>
            <w:tcW w:type="dxa" w:w="1234"/>
          </w:tcPr>
          <w:p>
            <w:r>
              <w:rPr>
                <w:sz w:val="20"/>
              </w:rPr>
            </w:r>
          </w:p>
        </w:tc>
        <w:tc>
          <w:tcPr>
            <w:tcW w:type="dxa" w:w="1234"/>
          </w:tcPr>
          <w:p>
            <w:r>
              <w:rPr>
                <w:sz w:val="20"/>
              </w:rPr>
            </w:r>
          </w:p>
        </w:tc>
      </w:tr>
      <w:tr>
        <w:tc>
          <w:tcPr>
            <w:tcW w:type="dxa" w:w="1234"/>
          </w:tcPr>
          <w:p>
            <w:r>
              <w:rPr>
                <w:sz w:val="20"/>
              </w:rPr>
            </w:r>
            <w:r>
              <w:rPr>
                <w:sz w:val="20"/>
              </w:rPr>
              <w:t>Luganda share (est.)</w:t>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p>
        </w:tc>
      </w:tr>
      <w:tr>
        <w:tc>
          <w:tcPr>
            <w:tcW w:type="dxa" w:w="1234"/>
          </w:tcPr>
          <w:p>
            <w:r>
              <w:rPr>
                <w:sz w:val="20"/>
              </w:rPr>
            </w:r>
            <w:r>
              <w:rPr>
                <w:sz w:val="20"/>
              </w:rPr>
              <w:t>Top post topic/format</w:t>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p>
        </w:tc>
      </w:tr>
      <w:tr>
        <w:tc>
          <w:tcPr>
            <w:tcW w:type="dxa" w:w="1234"/>
          </w:tcPr>
          <w:p>
            <w:r>
              <w:rPr>
                <w:sz w:val="20"/>
              </w:rPr>
            </w:r>
            <w:r>
              <w:rPr>
                <w:sz w:val="20"/>
              </w:rPr>
              <w:t>Comment sentiment (20/post: +/=/-)</w:t>
            </w:r>
          </w:p>
        </w:tc>
        <w:tc>
          <w:tcPr>
            <w:tcW w:type="dxa" w:w="1234"/>
          </w:tcPr>
          <w:p>
            <w:r>
              <w:rPr>
                <w:sz w:val="20"/>
              </w:rPr>
            </w:r>
          </w:p>
        </w:tc>
        <w:tc>
          <w:tcPr>
            <w:tcW w:type="dxa" w:w="1234"/>
          </w:tcPr>
          <w:p>
            <w:r>
              <w:rPr>
                <w:sz w:val="20"/>
              </w:rPr>
            </w:r>
          </w:p>
        </w:tc>
        <w:tc>
          <w:tcPr>
            <w:tcW w:type="dxa" w:w="1234"/>
          </w:tcPr>
          <w:p>
            <w:r>
              <w:rPr>
                <w:sz w:val="20"/>
              </w:rPr>
            </w:r>
          </w:p>
        </w:tc>
        <w:tc>
          <w:tcPr>
            <w:tcW w:type="dxa" w:w="1234"/>
          </w:tcPr>
          <w:p>
            <w:r>
              <w:rPr>
                <w:sz w:val="20"/>
              </w:rPr>
            </w:r>
            <w:r>
              <w:rPr>
                <w:sz w:val="20"/>
              </w:rPr>
              <w:t>—</w:t>
            </w:r>
          </w:p>
        </w:tc>
        <w:tc>
          <w:tcPr>
            <w:tcW w:type="dxa" w:w="1234"/>
          </w:tcPr>
          <w:p>
            <w:r>
              <w:rPr>
                <w:sz w:val="20"/>
              </w:rPr>
            </w:r>
          </w:p>
        </w:tc>
        <w:tc>
          <w:tcPr>
            <w:tcW w:type="dxa" w:w="1234"/>
          </w:tcPr>
          <w:p>
            <w:r>
              <w:rPr>
                <w:sz w:val="20"/>
              </w:rPr>
            </w:r>
          </w:p>
        </w:tc>
      </w:tr>
    </w:tbl>
    <w:p/>
    <w:p>
      <w:r>
        <w:br w:type="page"/>
      </w:r>
    </w:p>
    <w:p>
      <w:pPr>
        <w:pStyle w:val="Heading1"/>
      </w:pPr>
      <w:r>
        <w:t>APPENDIX B: THEORY OF CHANGE</w:t>
      </w:r>
    </w:p>
    <w:p>
      <w:pPr>
        <w:pStyle w:val="Heading1"/>
      </w:pPr>
      <w:r>
        <w:t>THEORY OF CHANGE (ToC): New Vision's 40-Year Impacts</w:t>
      </w:r>
    </w:p>
    <w:p>
      <w:pPr>
        <w:ind w:left="480"/>
      </w:pPr>
      <w:r>
        <w:rPr>
          <w:i/>
        </w:rPr>
        <w:t xml:space="preserve">The explicit causal story this whole research tests. Insert the diagram + pathway summary into </w:t>
      </w:r>
      <w:r>
        <w:rPr>
          <w:b/>
          <w:i/>
        </w:rPr>
        <w:t>Chapter One (§1.8, beside the conceptual framework)</w:t>
      </w:r>
      <w:r>
        <w:rPr>
          <w:i/>
        </w:rPr>
        <w:t xml:space="preserve"> and use the "pilot test" column to show examiners exactly which table tests which link.</w:t>
      </w:r>
    </w:p>
    <w:p>
      <w:pPr>
        <w:pStyle w:val="Heading2"/>
      </w:pPr>
      <w:r>
        <w:t>Vision statement</w:t>
      </w:r>
    </w:p>
    <w:p>
      <w:r>
        <w:rPr>
          <w:b/>
        </w:rPr>
        <w:t>IF</w:t>
      </w:r>
      <w:r>
        <w:t xml:space="preserve"> a state-majority but commercially operating national media house (New Vision) produces sustained political, development, and multilingual content over 40 years, </w:t>
      </w:r>
      <w:r>
        <w:rPr>
          <w:b/>
        </w:rPr>
        <w:t>THEN</w:t>
      </w:r>
      <w:r>
        <w:t xml:space="preserve"> it shapes Uganda's public agenda and democratic discourse, builds media-industry and advertising capacity, improves health/education knowledge and national cohesion, and — contingent on digital adaptation — sustains these roles into the online era, </w:t>
      </w:r>
      <w:r>
        <w:rPr>
          <w:b/>
        </w:rPr>
        <w:t>BECAUSE</w:t>
      </w:r>
      <w:r>
        <w:t xml:space="preserve"> audiences use its content for decisions and identity (Uses &amp; Gratifications), elites and citizens take issue cues from its agenda (Agenda-Setting), its frames define problems and solutions (Framing), its development content teaches and mobilises (Development Media Theory), </w:t>
      </w:r>
      <w:r>
        <w:rPr>
          <w:b/>
        </w:rPr>
        <w:t>BUT</w:t>
      </w:r>
      <w:r>
        <w:t xml:space="preserve"> all of this is bounded by ownership and advertiser pressures (Political Economy) and by who is offline, non-literate, or non-covered (digital divide).</w:t>
      </w:r>
    </w:p>
    <w:p>
      <w:pPr>
        <w:pStyle w:val="Heading2"/>
      </w:pPr>
      <w:r>
        <w:t>Results chain</w:t>
      </w:r>
    </w:p>
    <w:p>
      <w:r>
        <w:rPr>
          <w:rFonts w:ascii="Courier New" w:hAnsi="Courier New"/>
          <w:sz w:val="20"/>
        </w:rPr>
        <w:t>INPUTS (1986–2026) → ACTIVITIES → OUTPUTS → OUTCOMES (short/med) → IMPACTS (long/40-yr)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r>
            <w:r>
              <w:rPr>
                <w:b/>
                <w:sz w:val="20"/>
              </w:rPr>
              <w:t>Level</w:t>
            </w:r>
          </w:p>
        </w:tc>
        <w:tc>
          <w:tcPr>
            <w:tcW w:type="dxa" w:w="2880"/>
          </w:tcPr>
          <w:p>
            <w:r>
              <w:rPr>
                <w:b/>
                <w:sz w:val="20"/>
              </w:rPr>
            </w:r>
            <w:r>
              <w:rPr>
                <w:b/>
                <w:sz w:val="20"/>
              </w:rPr>
              <w:t>Content (New Vision case)</w:t>
            </w:r>
          </w:p>
        </w:tc>
        <w:tc>
          <w:tcPr>
            <w:tcW w:type="dxa" w:w="2880"/>
          </w:tcPr>
          <w:p>
            <w:r>
              <w:rPr>
                <w:b/>
                <w:sz w:val="20"/>
              </w:rPr>
            </w:r>
            <w:r>
              <w:rPr>
                <w:b/>
                <w:sz w:val="20"/>
              </w:rPr>
              <w:t>Pilot test (where in thesis)</w:t>
            </w:r>
          </w:p>
        </w:tc>
      </w:tr>
      <w:tr>
        <w:tc>
          <w:tcPr>
            <w:tcW w:type="dxa" w:w="2880"/>
          </w:tcPr>
          <w:p>
            <w:r>
              <w:rPr>
                <w:sz w:val="20"/>
              </w:rPr>
            </w:r>
            <w:r>
              <w:rPr>
                <w:b/>
                <w:sz w:val="20"/>
              </w:rPr>
              <w:t>Inputs</w:t>
            </w:r>
          </w:p>
        </w:tc>
        <w:tc>
          <w:tcPr>
            <w:tcW w:type="dxa" w:w="2880"/>
          </w:tcPr>
          <w:p>
            <w:r>
              <w:rPr>
                <w:sz w:val="20"/>
              </w:rPr>
            </w:r>
            <w:r>
              <w:rPr>
                <w:sz w:val="20"/>
              </w:rPr>
              <w:t>State capital + USE minority capital; newsroom labour; printing plant; licences; donor/campaign partnerships</w:t>
            </w:r>
          </w:p>
        </w:tc>
        <w:tc>
          <w:tcPr>
            <w:tcW w:type="dxa" w:w="2880"/>
          </w:tcPr>
          <w:p>
            <w:r>
              <w:rPr>
                <w:sz w:val="20"/>
              </w:rPr>
            </w:r>
            <w:r>
              <w:rPr>
                <w:sz w:val="20"/>
              </w:rPr>
              <w:t>§4.2 timeline; §4.4 desk (NVL/53.3%)</w:t>
            </w:r>
          </w:p>
        </w:tc>
      </w:tr>
      <w:tr>
        <w:tc>
          <w:tcPr>
            <w:tcW w:type="dxa" w:w="2880"/>
          </w:tcPr>
          <w:p>
            <w:r>
              <w:rPr>
                <w:sz w:val="20"/>
              </w:rPr>
            </w:r>
            <w:r>
              <w:rPr>
                <w:b/>
                <w:sz w:val="20"/>
              </w:rPr>
              <w:t>Activities</w:t>
            </w:r>
          </w:p>
        </w:tc>
        <w:tc>
          <w:tcPr>
            <w:tcW w:type="dxa" w:w="2880"/>
          </w:tcPr>
          <w:p>
            <w:r>
              <w:rPr>
                <w:sz w:val="20"/>
              </w:rPr>
            </w:r>
            <w:r>
              <w:rPr>
                <w:sz w:val="20"/>
              </w:rPr>
              <w:t>Daily news production; election coverage; health/education campaigns; multilingual titles; expos; broadcast; website/social/e-paper</w:t>
            </w:r>
          </w:p>
        </w:tc>
        <w:tc>
          <w:tcPr>
            <w:tcW w:type="dxa" w:w="2880"/>
          </w:tcPr>
          <w:p>
            <w:r>
              <w:rPr>
                <w:sz w:val="20"/>
              </w:rPr>
            </w:r>
            <w:r>
              <w:rPr>
                <w:sz w:val="20"/>
              </w:rPr>
              <w:t>§4.3.4 content coding; §4.6 audit</w:t>
            </w:r>
          </w:p>
        </w:tc>
      </w:tr>
      <w:tr>
        <w:tc>
          <w:tcPr>
            <w:tcW w:type="dxa" w:w="2880"/>
          </w:tcPr>
          <w:p>
            <w:r>
              <w:rPr>
                <w:sz w:val="20"/>
              </w:rPr>
            </w:r>
            <w:r>
              <w:rPr>
                <w:b/>
                <w:sz w:val="20"/>
              </w:rPr>
              <w:t>Outputs</w:t>
            </w:r>
          </w:p>
        </w:tc>
        <w:tc>
          <w:tcPr>
            <w:tcW w:type="dxa" w:w="2880"/>
          </w:tcPr>
          <w:p>
            <w:r>
              <w:rPr>
                <w:sz w:val="20"/>
              </w:rPr>
            </w:r>
            <w:r>
              <w:rPr>
                <w:sz w:val="20"/>
              </w:rPr>
              <w:t>~14,600 editions; 1000s of broadcast hours; campaign materials; digital inventory</w:t>
            </w:r>
          </w:p>
        </w:tc>
        <w:tc>
          <w:tcPr>
            <w:tcW w:type="dxa" w:w="2880"/>
          </w:tcPr>
          <w:p>
            <w:r>
              <w:rPr>
                <w:sz w:val="20"/>
              </w:rPr>
            </w:r>
            <w:r>
              <w:rPr>
                <w:sz w:val="20"/>
              </w:rPr>
              <w:t>Coverage log; 100-edition counts</w:t>
            </w:r>
          </w:p>
        </w:tc>
      </w:tr>
      <w:tr>
        <w:tc>
          <w:tcPr>
            <w:tcW w:type="dxa" w:w="2880"/>
          </w:tcPr>
          <w:p>
            <w:r>
              <w:rPr>
                <w:sz w:val="20"/>
              </w:rPr>
            </w:r>
            <w:r>
              <w:rPr>
                <w:b/>
                <w:sz w:val="20"/>
              </w:rPr>
              <w:t>Outcomes</w:t>
            </w:r>
          </w:p>
        </w:tc>
        <w:tc>
          <w:tcPr>
            <w:tcW w:type="dxa" w:w="2880"/>
          </w:tcPr>
          <w:p>
            <w:r>
              <w:rPr>
                <w:sz w:val="20"/>
              </w:rPr>
            </w:r>
            <w:r>
              <w:rPr>
                <w:sz w:val="20"/>
              </w:rPr>
              <w:t>Agenda influence; voter/candidate knowledge; ad-market growth; jobs; health/education recall; language inclusion; online reach</w:t>
            </w:r>
          </w:p>
        </w:tc>
        <w:tc>
          <w:tcPr>
            <w:tcW w:type="dxa" w:w="2880"/>
          </w:tcPr>
          <w:p>
            <w:r>
              <w:rPr>
                <w:sz w:val="20"/>
              </w:rPr>
            </w:r>
            <w:r>
              <w:rPr>
                <w:sz w:val="20"/>
              </w:rPr>
              <w:t>Survey (agenda, trust, recall); ACME secondary; DataReportal</w:t>
            </w:r>
          </w:p>
        </w:tc>
      </w:tr>
      <w:tr>
        <w:tc>
          <w:tcPr>
            <w:tcW w:type="dxa" w:w="2880"/>
          </w:tcPr>
          <w:p>
            <w:r>
              <w:rPr>
                <w:sz w:val="20"/>
              </w:rPr>
            </w:r>
            <w:r>
              <w:rPr>
                <w:b/>
                <w:sz w:val="20"/>
              </w:rPr>
              <w:t>Impacts</w:t>
            </w:r>
          </w:p>
        </w:tc>
        <w:tc>
          <w:tcPr>
            <w:tcW w:type="dxa" w:w="2880"/>
          </w:tcPr>
          <w:p>
            <w:r>
              <w:rPr>
                <w:sz w:val="20"/>
              </w:rPr>
            </w:r>
            <w:r>
              <w:rPr>
                <w:sz w:val="20"/>
              </w:rPr>
              <w:t>Democratic discourse quality; industry/economic capacity; public-health &amp; literacy contribution; cohesion; institutional sustainability</w:t>
            </w:r>
          </w:p>
        </w:tc>
        <w:tc>
          <w:tcPr>
            <w:tcW w:type="dxa" w:w="2880"/>
          </w:tcPr>
          <w:p>
            <w:r>
              <w:rPr>
                <w:sz w:val="20"/>
              </w:rPr>
            </w:r>
            <w:r>
              <w:rPr>
                <w:sz w:val="20"/>
              </w:rPr>
              <w:t>§4.8 synthesis; §5.3 verdicts</w:t>
            </w:r>
          </w:p>
        </w:tc>
      </w:tr>
    </w:tbl>
    <w:p/>
    <w:p>
      <w:pPr>
        <w:pStyle w:val="Heading2"/>
      </w:pPr>
      <w:r>
        <w:t>Four impact pathways (one per objective) + assumptions</w:t>
      </w:r>
    </w:p>
    <w:p>
      <w:r>
        <w:rPr>
          <w:b/>
        </w:rPr>
        <w:t>P1 — Political pathway (Obj.1; Agenda-Setting + Framing + Political Economy).</w:t>
      </w:r>
      <w:r>
        <w:t xml:space="preserve"> Sustained coverage → issues become publicly salient → citizens/elites act → discourse quality shifts. </w:t>
      </w:r>
      <w:r>
        <w:rPr>
          <w:i/>
        </w:rPr>
        <w:t>Assumptions:</w:t>
      </w:r>
      <w:r>
        <w:t xml:space="preserve"> (A1) audiences exposed; (A2) coverage minimally credible; (A3) opposition/critical voices not fully excluded. </w:t>
      </w:r>
      <w:r>
        <w:rPr>
          <w:i/>
        </w:rPr>
        <w:t>Risk:</w:t>
      </w:r>
      <w:r>
        <w:t xml:space="preserve"> state ownership collapses A3 (bias → agenda capture). </w:t>
      </w:r>
      <w:r>
        <w:rPr>
          <w:b/>
        </w:rPr>
        <w:t>Pilot test:</w:t>
      </w:r>
      <w:r>
        <w:t xml:space="preserve"> Tables 4.3–4.5 (issue/actor/stance shares) + ACME 2016/2021 secondary + survey trust/fairness items.</w:t>
      </w:r>
    </w:p>
    <w:p>
      <w:r>
        <w:rPr>
          <w:b/>
        </w:rPr>
        <w:t>P2 — Economic pathway (Obj.2; Picard/Doyle + Political Economy).</w:t>
      </w:r>
      <w:r>
        <w:t xml:space="preserve"> Scale + credibility → advertiser demand → revenue → jobs, printing value chain, talent pipeline → industry capacity. </w:t>
      </w:r>
      <w:r>
        <w:rPr>
          <w:i/>
        </w:rPr>
        <w:t>Assumptions:</w:t>
      </w:r>
      <w:r>
        <w:t xml:space="preserve"> (A4) ad market grows with economy; (A5) commercial logic doesn't corrupt editorial firewall. </w:t>
      </w:r>
      <w:r>
        <w:rPr>
          <w:i/>
        </w:rPr>
        <w:t>Risk:</w:t>
      </w:r>
      <w:r>
        <w:t xml:space="preserve"> digital unbundles classifieds/display (Picard, 2014). </w:t>
      </w:r>
      <w:r>
        <w:rPr>
          <w:b/>
        </w:rPr>
        <w:t>Pilot test:</w:t>
      </w:r>
      <w:r>
        <w:t xml:space="preserve"> §4.4 desk (circulation, NVL, advertiser footprint 2010→2026) + KII commercial testimony.</w:t>
      </w:r>
    </w:p>
    <w:p>
      <w:r>
        <w:rPr>
          <w:b/>
        </w:rPr>
        <w:t>P3 — Social/development pathway (Obj.3; Development Media Theory + Uses &amp; Gratifications).</w:t>
      </w:r>
      <w:r>
        <w:t xml:space="preserve"> Health/education/unity content → knowledge → behaviour/practice → welfare gains. </w:t>
      </w:r>
      <w:r>
        <w:rPr>
          <w:i/>
        </w:rPr>
        <w:t>Assumptions:</w:t>
      </w:r>
      <w:r>
        <w:t xml:space="preserve"> (A6) content actionable and comprehensible; (A7) audiences motivated and able to act; (A8) multilingual reach covers diversity. </w:t>
      </w:r>
      <w:r>
        <w:rPr>
          <w:i/>
        </w:rPr>
        <w:t>Risk:</w:t>
      </w:r>
      <w:r>
        <w:t xml:space="preserve"> top-down messaging without participation (Servaes/Wasserman critique). </w:t>
      </w:r>
      <w:r>
        <w:rPr>
          <w:b/>
        </w:rPr>
        <w:t>Pilot test:</w:t>
      </w:r>
      <w:r>
        <w:t xml:space="preserve"> thematic coding (tone/actionability) + survey recall items D4/D5 + health/education KII.</w:t>
      </w:r>
    </w:p>
    <w:p>
      <w:r>
        <w:rPr>
          <w:b/>
        </w:rPr>
        <w:t>P4 — Digital-sustainability pathway (Obj.4; Pavlik/Beckett + Wasserman).</w:t>
      </w:r>
      <w:r>
        <w:t xml:space="preserve"> Platform investment → online reach/engagement → digital revenue → survival of P1–P3 impacts. </w:t>
      </w:r>
      <w:r>
        <w:rPr>
          <w:i/>
        </w:rPr>
        <w:t>Assumptions:</w:t>
      </w:r>
      <w:r>
        <w:t xml:space="preserve"> (A9) connectivity/affordability rise; (A10) audiences pay or advertisers follow online; (A11) newsroom converges without quality collapse. </w:t>
      </w:r>
      <w:r>
        <w:rPr>
          <w:i/>
        </w:rPr>
        <w:t>Risk:</w:t>
      </w:r>
      <w:r>
        <w:t xml:space="preserve"> 28% penetration + rural youth majority → reach without revenue (AMI, 2016). </w:t>
      </w:r>
      <w:r>
        <w:rPr>
          <w:b/>
        </w:rPr>
        <w:t>Pilot test:</w:t>
      </w:r>
      <w:r>
        <w:t xml:space="preserve"> §4.6 evolution table (2010→2016→2026) + audit snapshot + willingness-to-pay items.</w:t>
      </w:r>
    </w:p>
    <w:p>
      <w:pPr>
        <w:pStyle w:val="Heading2"/>
      </w:pPr>
      <w:r>
        <w:t>ToC diagram (for Chapter One)</w:t>
      </w:r>
    </w:p>
    <w:p>
      <w:r>
        <w:rPr>
          <w:rFonts w:ascii="Courier New" w:hAnsi="Courier New"/>
          <w:sz w:val="20"/>
        </w:rPr>
        <w:t>[State capital + commercial revenue + newsroom]</w:t>
      </w:r>
    </w:p>
    <w:p>
      <w:r>
        <w:rPr>
          <w:rFonts w:ascii="Courier New" w:hAnsi="Courier New"/>
          <w:sz w:val="20"/>
        </w:rPr>
        <w:t xml:space="preserve">        │ Activities: publish/broadcast/campaign/go digital</w:t>
      </w:r>
    </w:p>
    <w:p>
      <w:r>
        <w:rPr>
          <w:rFonts w:ascii="Courier New" w:hAnsi="Courier New"/>
          <w:sz w:val="20"/>
        </w:rPr>
        <w:t xml:space="preserve">        ▼</w:t>
      </w:r>
    </w:p>
    <w:p>
      <w:r>
        <w:rPr>
          <w:rFonts w:ascii="Courier New" w:hAnsi="Courier New"/>
          <w:sz w:val="20"/>
        </w:rPr>
        <w:t>[40 years of content: political + development + multilingual + digital]</w:t>
      </w:r>
    </w:p>
    <w:p>
      <w:r>
        <w:rPr>
          <w:rFonts w:ascii="Courier New" w:hAnsi="Courier New"/>
          <w:sz w:val="20"/>
        </w:rPr>
        <w:t xml:space="preserve">   ┌────┼────┬────┐</w:t>
      </w:r>
    </w:p>
    <w:p>
      <w:r>
        <w:rPr>
          <w:rFonts w:ascii="Courier New" w:hAnsi="Courier New"/>
          <w:sz w:val="20"/>
        </w:rPr>
        <w:t xml:space="preserve">   ▼    ▼    ▼    ▼</w:t>
      </w:r>
    </w:p>
    <w:p>
      <w:r>
        <w:rPr>
          <w:rFonts w:ascii="Courier New" w:hAnsi="Courier New"/>
          <w:sz w:val="20"/>
        </w:rPr>
        <w:t xml:space="preserve">  P1   P2   P3   P4   ←── moderators: press freedom, economy,</w:t>
      </w:r>
    </w:p>
    <w:p>
      <w:r>
        <w:rPr>
          <w:rFonts w:ascii="Courier New" w:hAnsi="Courier New"/>
          <w:sz w:val="20"/>
        </w:rPr>
        <w:t xml:space="preserve">   │    │    │    │        literacy, connectivity, audience agency</w:t>
      </w:r>
    </w:p>
    <w:p>
      <w:r>
        <w:rPr>
          <w:rFonts w:ascii="Courier New" w:hAnsi="Courier New"/>
          <w:sz w:val="20"/>
        </w:rPr>
        <w:t xml:space="preserve">   ▼    ▼    ▼    ▼</w:t>
      </w:r>
    </w:p>
    <w:p>
      <w:r>
        <w:rPr>
          <w:rFonts w:ascii="Courier New" w:hAnsi="Courier New"/>
          <w:sz w:val="20"/>
        </w:rPr>
        <w:t>[Discourse] [Industry] [Welfare] [Sustainability]  = 40-YEAR IMPACTS</w:t>
      </w:r>
    </w:p>
    <w:p>
      <w:pPr>
        <w:pStyle w:val="Heading2"/>
      </w:pPr>
      <w:r>
        <w:t>Falsification rules (what would DISPROVE each pathway — state these to earn examiner trust)</w:t>
      </w:r>
    </w:p>
    <w:p>
      <w:pPr>
        <w:pStyle w:val="ListBullet"/>
      </w:pPr>
      <w:r>
        <w:t>P1 fails if: opposition voices ≈0 across decades AND audiences report zero agenda/learning effect AND trust collapses → then New Vision is pure propaganda, not agenda-setter.</w:t>
      </w:r>
    </w:p>
    <w:p>
      <w:pPr>
        <w:pStyle w:val="ListBullet"/>
      </w:pPr>
      <w:r>
        <w:t>P2 fails if: no employment/ad-market/training footprint is documentable → then it's economically extractive, not developmental.</w:t>
      </w:r>
    </w:p>
    <w:p>
      <w:pPr>
        <w:pStyle w:val="ListBullet"/>
      </w:pPr>
      <w:r>
        <w:t>P3 fails if: health/education content is rare, non-actionable, or unrecalled → then development claims are rhetoric.</w:t>
      </w:r>
    </w:p>
    <w:p>
      <w:pPr>
        <w:pStyle w:val="ListBullet"/>
      </w:pPr>
      <w:r>
        <w:t>P4 fails if: digital reach is negligible, unmonetised, and newsroom unconverted → then impacts die with print.</w:t>
      </w:r>
    </w:p>
    <w:p>
      <w:r>
        <w:rPr>
          <w:i/>
        </w:rPr>
        <w:t>The hypothetical projections file shows the expected direction; the real data (3 editions coded so far) already gives P1–P4 preliminary, mixed support — see Chapter Four.</w:t>
      </w:r>
    </w:p>
    <w:p>
      <w:r>
        <w:br w:type="page"/>
      </w:r>
    </w:p>
    <w:p>
      <w:pPr>
        <w:pStyle w:val="Heading1"/>
      </w:pPr>
      <w:r>
        <w:t>APPENDIX C: GATHERED EDITIONS LOG</w:t>
      </w:r>
    </w:p>
    <w:p>
      <w:pPr>
        <w:pStyle w:val="Heading1"/>
      </w:pPr>
      <w:r>
        <w:t>GATHERED EDITIONS LOG (Online Sources — Real Data)</w:t>
      </w:r>
    </w:p>
    <w:p>
      <w:pPr>
        <w:ind w:left="480"/>
      </w:pPr>
      <w:r>
        <w:rPr>
          <w:i/>
        </w:rPr>
        <w:t xml:space="preserve">This is Appendix Table 1 in the making: every online edition gathered, with source rung, URL, and capture status. </w:t>
      </w:r>
      <w:r>
        <w:rPr>
          <w:b/>
          <w:i/>
        </w:rPr>
        <w:t>Target: 100. Gathered so far: 3 coded + 1 logged failure (method lesson).</w:t>
      </w:r>
    </w:p>
    <w:p>
      <w:pPr>
        <w:pStyle w:val="Heading2"/>
      </w:pPr>
      <w:r>
        <w:t>Coded editions (REAL — used in Chapter Four tables)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r>
            <w:r>
              <w:rPr>
                <w:b/>
                <w:sz w:val="20"/>
              </w:rPr>
              <w:t>Edition ID</w:t>
            </w:r>
          </w:p>
        </w:tc>
        <w:tc>
          <w:tcPr>
            <w:tcW w:type="dxa" w:w="1234"/>
          </w:tcPr>
          <w:p>
            <w:r>
              <w:rPr>
                <w:b/>
                <w:sz w:val="20"/>
              </w:rPr>
            </w:r>
            <w:r>
              <w:rPr>
                <w:b/>
                <w:sz w:val="20"/>
              </w:rPr>
              <w:t>Date</w:t>
            </w:r>
          </w:p>
        </w:tc>
        <w:tc>
          <w:tcPr>
            <w:tcW w:type="dxa" w:w="1234"/>
          </w:tcPr>
          <w:p>
            <w:r>
              <w:rPr>
                <w:b/>
                <w:sz w:val="20"/>
              </w:rPr>
            </w:r>
            <w:r>
              <w:rPr>
                <w:b/>
                <w:sz w:val="20"/>
              </w:rPr>
              <w:t>Decade</w:t>
            </w:r>
          </w:p>
        </w:tc>
        <w:tc>
          <w:tcPr>
            <w:tcW w:type="dxa" w:w="1234"/>
          </w:tcPr>
          <w:p>
            <w:r>
              <w:rPr>
                <w:b/>
                <w:sz w:val="20"/>
              </w:rPr>
            </w:r>
            <w:r>
              <w:rPr>
                <w:b/>
                <w:sz w:val="20"/>
              </w:rPr>
              <w:t>Source rung</w:t>
            </w:r>
          </w:p>
        </w:tc>
        <w:tc>
          <w:tcPr>
            <w:tcW w:type="dxa" w:w="1234"/>
          </w:tcPr>
          <w:p>
            <w:r>
              <w:rPr>
                <w:b/>
                <w:sz w:val="20"/>
              </w:rPr>
            </w:r>
            <w:r>
              <w:rPr>
                <w:b/>
                <w:sz w:val="20"/>
              </w:rPr>
              <w:t>URL / snapshot</w:t>
            </w:r>
          </w:p>
        </w:tc>
        <w:tc>
          <w:tcPr>
            <w:tcW w:type="dxa" w:w="1234"/>
          </w:tcPr>
          <w:p>
            <w:r>
              <w:rPr>
                <w:b/>
                <w:sz w:val="20"/>
              </w:rPr>
            </w:r>
            <w:r>
              <w:rPr>
                <w:b/>
                <w:sz w:val="20"/>
              </w:rPr>
              <w:t>Items coded</w:t>
            </w:r>
          </w:p>
        </w:tc>
        <w:tc>
          <w:tcPr>
            <w:tcW w:type="dxa" w:w="1234"/>
          </w:tcPr>
          <w:p>
            <w:r>
              <w:rPr>
                <w:b/>
                <w:sz w:val="20"/>
              </w:rPr>
            </w:r>
            <w:r>
              <w:rPr>
                <w:b/>
                <w:sz w:val="20"/>
              </w:rPr>
              <w:t>Notes</w:t>
            </w:r>
          </w:p>
        </w:tc>
      </w:tr>
      <w:tr>
        <w:tc>
          <w:tcPr>
            <w:tcW w:type="dxa" w:w="1234"/>
          </w:tcPr>
          <w:p>
            <w:r>
              <w:rPr>
                <w:sz w:val="20"/>
              </w:rPr>
            </w:r>
            <w:r>
              <w:rPr>
                <w:sz w:val="20"/>
              </w:rPr>
              <w:t>NV-WB-2010-06-16</w:t>
            </w:r>
          </w:p>
        </w:tc>
        <w:tc>
          <w:tcPr>
            <w:tcW w:type="dxa" w:w="1234"/>
          </w:tcPr>
          <w:p>
            <w:r>
              <w:rPr>
                <w:sz w:val="20"/>
              </w:rPr>
            </w:r>
            <w:r>
              <w:rPr>
                <w:sz w:val="20"/>
              </w:rPr>
              <w:t>16 Jun 2010</w:t>
            </w:r>
          </w:p>
        </w:tc>
        <w:tc>
          <w:tcPr>
            <w:tcW w:type="dxa" w:w="1234"/>
          </w:tcPr>
          <w:p>
            <w:r>
              <w:rPr>
                <w:sz w:val="20"/>
              </w:rPr>
            </w:r>
            <w:r>
              <w:rPr>
                <w:sz w:val="20"/>
              </w:rPr>
              <w:t>3 (2006–2015)</w:t>
            </w:r>
          </w:p>
        </w:tc>
        <w:tc>
          <w:tcPr>
            <w:tcW w:type="dxa" w:w="1234"/>
          </w:tcPr>
          <w:p>
            <w:r>
              <w:rPr>
                <w:sz w:val="20"/>
              </w:rPr>
            </w:r>
            <w:r>
              <w:rPr>
                <w:sz w:val="20"/>
              </w:rPr>
              <w:t>Rung 2 (Wayback)</w:t>
            </w:r>
          </w:p>
        </w:tc>
        <w:tc>
          <w:tcPr>
            <w:tcW w:type="dxa" w:w="1234"/>
          </w:tcPr>
          <w:p>
            <w:r>
              <w:rPr>
                <w:sz w:val="20"/>
              </w:rPr>
            </w:r>
            <w:r>
              <w:rPr>
                <w:rFonts w:ascii="Courier New" w:hAnsi="Courier New"/>
                <w:sz w:val="20"/>
              </w:rPr>
              <w:t>web.archive.org/web/20100616024713/http://www.newvision.co.ug/</w:t>
            </w:r>
          </w:p>
        </w:tc>
        <w:tc>
          <w:tcPr>
            <w:tcW w:type="dxa" w:w="1234"/>
          </w:tcPr>
          <w:p>
            <w:r>
              <w:rPr>
                <w:sz w:val="20"/>
              </w:rPr>
            </w:r>
            <w:r>
              <w:rPr>
                <w:sz w:val="20"/>
              </w:rPr>
              <w:t>8</w:t>
            </w:r>
          </w:p>
        </w:tc>
        <w:tc>
          <w:tcPr>
            <w:tcW w:type="dxa" w:w="1234"/>
          </w:tcPr>
          <w:p>
            <w:r>
              <w:rPr>
                <w:sz w:val="20"/>
              </w:rPr>
            </w:r>
            <w:r>
              <w:rPr>
                <w:sz w:val="20"/>
              </w:rPr>
              <w:t>Pre-2011-election year; CDF "Army warns opposition" lead; FB + @newvisionwire links present</w:t>
            </w:r>
          </w:p>
        </w:tc>
      </w:tr>
      <w:tr>
        <w:tc>
          <w:tcPr>
            <w:tcW w:type="dxa" w:w="1234"/>
          </w:tcPr>
          <w:p>
            <w:r>
              <w:rPr>
                <w:sz w:val="20"/>
              </w:rPr>
            </w:r>
            <w:r>
              <w:rPr>
                <w:sz w:val="20"/>
              </w:rPr>
              <w:t>NV-WB-2016-01-20</w:t>
            </w:r>
          </w:p>
        </w:tc>
        <w:tc>
          <w:tcPr>
            <w:tcW w:type="dxa" w:w="1234"/>
          </w:tcPr>
          <w:p>
            <w:r>
              <w:rPr>
                <w:sz w:val="20"/>
              </w:rPr>
            </w:r>
            <w:r>
              <w:rPr>
                <w:sz w:val="20"/>
              </w:rPr>
              <w:t>20 Jan 2016</w:t>
            </w:r>
          </w:p>
        </w:tc>
        <w:tc>
          <w:tcPr>
            <w:tcW w:type="dxa" w:w="1234"/>
          </w:tcPr>
          <w:p>
            <w:r>
              <w:rPr>
                <w:sz w:val="20"/>
              </w:rPr>
            </w:r>
            <w:r>
              <w:rPr>
                <w:sz w:val="20"/>
              </w:rPr>
              <w:t>4 (2016–2026)</w:t>
            </w:r>
          </w:p>
        </w:tc>
        <w:tc>
          <w:tcPr>
            <w:tcW w:type="dxa" w:w="1234"/>
          </w:tcPr>
          <w:p>
            <w:r>
              <w:rPr>
                <w:sz w:val="20"/>
              </w:rPr>
            </w:r>
            <w:r>
              <w:rPr>
                <w:sz w:val="20"/>
              </w:rPr>
              <w:t>Rung 2 (Wayback)</w:t>
            </w:r>
          </w:p>
        </w:tc>
        <w:tc>
          <w:tcPr>
            <w:tcW w:type="dxa" w:w="1234"/>
          </w:tcPr>
          <w:p>
            <w:r>
              <w:rPr>
                <w:sz w:val="20"/>
              </w:rPr>
            </w:r>
            <w:r>
              <w:rPr>
                <w:rFonts w:ascii="Courier New" w:hAnsi="Courier New"/>
                <w:sz w:val="20"/>
              </w:rPr>
              <w:t>web.archive.org/web/20160120112311/http://www.newvision.co.ug/</w:t>
            </w:r>
          </w:p>
        </w:tc>
        <w:tc>
          <w:tcPr>
            <w:tcW w:type="dxa" w:w="1234"/>
          </w:tcPr>
          <w:p>
            <w:r>
              <w:rPr>
                <w:sz w:val="20"/>
              </w:rPr>
            </w:r>
            <w:r>
              <w:rPr>
                <w:sz w:val="20"/>
              </w:rPr>
              <w:t>9</w:t>
            </w:r>
          </w:p>
        </w:tc>
        <w:tc>
          <w:tcPr>
            <w:tcW w:type="dxa" w:w="1234"/>
          </w:tcPr>
          <w:p>
            <w:r>
              <w:rPr>
                <w:sz w:val="20"/>
              </w:rPr>
            </w:r>
            <w:r>
              <w:rPr>
                <w:sz w:val="20"/>
              </w:rPr>
              <w:t>ELECTION WINDOW (Feb 18, 2016 polls — 29 days out); matches ACME Jan-2016 monitoring month</w:t>
            </w:r>
          </w:p>
        </w:tc>
      </w:tr>
      <w:tr>
        <w:tc>
          <w:tcPr>
            <w:tcW w:type="dxa" w:w="1234"/>
          </w:tcPr>
          <w:p>
            <w:r>
              <w:rPr>
                <w:sz w:val="20"/>
              </w:rPr>
            </w:r>
            <w:r>
              <w:rPr>
                <w:sz w:val="20"/>
              </w:rPr>
              <w:t>NV-LIVE-2026-09-20</w:t>
            </w:r>
          </w:p>
        </w:tc>
        <w:tc>
          <w:tcPr>
            <w:tcW w:type="dxa" w:w="1234"/>
          </w:tcPr>
          <w:p>
            <w:r>
              <w:rPr>
                <w:sz w:val="20"/>
              </w:rPr>
            </w:r>
            <w:r>
              <w:rPr>
                <w:sz w:val="20"/>
              </w:rPr>
              <w:t>20 Sep 2026</w:t>
            </w:r>
          </w:p>
        </w:tc>
        <w:tc>
          <w:tcPr>
            <w:tcW w:type="dxa" w:w="1234"/>
          </w:tcPr>
          <w:p>
            <w:r>
              <w:rPr>
                <w:sz w:val="20"/>
              </w:rPr>
            </w:r>
            <w:r>
              <w:rPr>
                <w:sz w:val="20"/>
              </w:rPr>
              <w:t>4 (2016–2026)</w:t>
            </w:r>
          </w:p>
        </w:tc>
        <w:tc>
          <w:tcPr>
            <w:tcW w:type="dxa" w:w="1234"/>
          </w:tcPr>
          <w:p>
            <w:r>
              <w:rPr>
                <w:sz w:val="20"/>
              </w:rPr>
            </w:r>
            <w:r>
              <w:rPr>
                <w:sz w:val="20"/>
              </w:rPr>
              <w:t>Rung 3 (live site)</w:t>
            </w:r>
          </w:p>
        </w:tc>
        <w:tc>
          <w:tcPr>
            <w:tcW w:type="dxa" w:w="1234"/>
          </w:tcPr>
          <w:p>
            <w:r>
              <w:rPr>
                <w:sz w:val="20"/>
              </w:rPr>
            </w:r>
            <w:r>
              <w:rPr>
                <w:rFonts w:ascii="Courier New" w:hAnsi="Courier New"/>
                <w:sz w:val="20"/>
              </w:rPr>
              <w:t>www.newvision.co.ug</w:t>
            </w:r>
            <w:r>
              <w:rPr>
                <w:sz w:val="20"/>
              </w:rPr>
              <w:t xml:space="preserve"> (captured 20 Sep 2026, ~03:52 EAT)</w:t>
            </w:r>
          </w:p>
        </w:tc>
        <w:tc>
          <w:tcPr>
            <w:tcW w:type="dxa" w:w="1234"/>
          </w:tcPr>
          <w:p>
            <w:r>
              <w:rPr>
                <w:sz w:val="20"/>
              </w:rPr>
            </w:r>
            <w:r>
              <w:rPr>
                <w:sz w:val="20"/>
              </w:rPr>
              <w:t>12</w:t>
            </w:r>
          </w:p>
        </w:tc>
        <w:tc>
          <w:tcPr>
            <w:tcW w:type="dxa" w:w="1234"/>
          </w:tcPr>
          <w:p>
            <w:r>
              <w:rPr>
                <w:sz w:val="20"/>
              </w:rPr>
            </w:r>
            <w:r>
              <w:rPr>
                <w:sz w:val="20"/>
              </w:rPr>
              <w:t>Post-Jan-2026-election year; Premium paywall + Elections Portal live</w:t>
            </w:r>
          </w:p>
        </w:tc>
      </w:tr>
    </w:tbl>
    <w:p/>
    <w:p>
      <w:pPr>
        <w:pStyle w:val="Heading2"/>
      </w:pPr>
      <w:r>
        <w:t>Logged failure (honest method finding)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r>
            <w:r>
              <w:rPr>
                <w:b/>
                <w:sz w:val="20"/>
              </w:rPr>
              <w:t>Attempt</w:t>
            </w:r>
          </w:p>
        </w:tc>
        <w:tc>
          <w:tcPr>
            <w:tcW w:type="dxa" w:w="2160"/>
          </w:tcPr>
          <w:p>
            <w:r>
              <w:rPr>
                <w:b/>
                <w:sz w:val="20"/>
              </w:rPr>
            </w:r>
            <w:r>
              <w:rPr>
                <w:b/>
                <w:sz w:val="20"/>
              </w:rPr>
              <w:t>Date sought</w:t>
            </w:r>
          </w:p>
        </w:tc>
        <w:tc>
          <w:tcPr>
            <w:tcW w:type="dxa" w:w="2160"/>
          </w:tcPr>
          <w:p>
            <w:r>
              <w:rPr>
                <w:b/>
                <w:sz w:val="20"/>
              </w:rPr>
            </w:r>
            <w:r>
              <w:rPr>
                <w:b/>
                <w:sz w:val="20"/>
              </w:rPr>
              <w:t>Result</w:t>
            </w:r>
          </w:p>
        </w:tc>
        <w:tc>
          <w:tcPr>
            <w:tcW w:type="dxa" w:w="2160"/>
          </w:tcPr>
          <w:p>
            <w:r>
              <w:rPr>
                <w:b/>
                <w:sz w:val="20"/>
              </w:rPr>
            </w:r>
            <w:r>
              <w:rPr>
                <w:b/>
                <w:sz w:val="20"/>
              </w:rPr>
              <w:t>Lesson for the protocol</w:t>
            </w:r>
          </w:p>
        </w:tc>
      </w:tr>
      <w:tr>
        <w:tc>
          <w:tcPr>
            <w:tcW w:type="dxa" w:w="2160"/>
          </w:tcPr>
          <w:p>
            <w:r>
              <w:rPr>
                <w:sz w:val="20"/>
              </w:rPr>
            </w:r>
            <w:r>
              <w:rPr>
                <w:sz w:val="20"/>
              </w:rPr>
              <w:t>NV-WB-2021-01-19</w:t>
            </w:r>
          </w:p>
        </w:tc>
        <w:tc>
          <w:tcPr>
            <w:tcW w:type="dxa" w:w="2160"/>
          </w:tcPr>
          <w:p>
            <w:r>
              <w:rPr>
                <w:sz w:val="20"/>
              </w:rPr>
            </w:r>
            <w:r>
              <w:rPr>
                <w:sz w:val="20"/>
              </w:rPr>
              <w:t>19 Jan 2021 (5 days after Jan-14 polls)</w:t>
            </w:r>
          </w:p>
        </w:tc>
        <w:tc>
          <w:tcPr>
            <w:tcW w:type="dxa" w:w="2160"/>
          </w:tcPr>
          <w:p>
            <w:r>
              <w:rPr>
                <w:sz w:val="20"/>
              </w:rPr>
            </w:r>
            <w:r>
              <w:rPr>
                <w:sz w:val="20"/>
              </w:rPr>
              <w:t>Snapshot EXISTS (</w:t>
            </w:r>
            <w:r>
              <w:rPr>
                <w:rFonts w:ascii="Courier New" w:hAnsi="Courier New"/>
                <w:sz w:val="20"/>
              </w:rPr>
              <w:t>web.archive.org/web/20210119193329/https://www.newvision.co.ug/</w:t>
            </w:r>
            <w:r>
              <w:rPr>
                <w:sz w:val="20"/>
              </w:rPr>
              <w:t>) but page is a JS app shell ("new-vision-web") with no server-rendered headlines</w:t>
            </w:r>
          </w:p>
        </w:tc>
        <w:tc>
          <w:tcPr>
            <w:tcW w:type="dxa" w:w="2160"/>
          </w:tcPr>
          <w:p>
            <w:r>
              <w:rPr>
                <w:sz w:val="20"/>
              </w:rPr>
            </w:r>
            <w:r>
              <w:rPr>
                <w:b/>
                <w:sz w:val="20"/>
              </w:rPr>
              <w:t>Post-2020 Wayback text capture fails.</w:t>
            </w:r>
            <w:r>
              <w:rPr>
                <w:sz w:val="20"/>
              </w:rPr>
              <w:t xml:space="preserve"> Protocol fix: sample 2020+ via live site + timestamped screenshots + story URLs, not Wayback text. Noted in §3.6.</w:t>
            </w:r>
          </w:p>
        </w:tc>
      </w:tr>
    </w:tbl>
    <w:p/>
    <w:p>
      <w:pPr>
        <w:pStyle w:val="Heading2"/>
      </w:pPr>
      <w:r>
        <w:t>Item lists (verbatim headlines as captured)</w:t>
      </w:r>
    </w:p>
    <w:p>
      <w:r>
        <w:rPr>
          <w:b/>
        </w:rPr>
        <w:t>NV-WB-2010-06-16:</w:t>
      </w:r>
      <w:r>
        <w:t xml:space="preserve"> (1) Army warns opposition; (2) Umeme's flat rate rejected; (3) Fake doctor makes child lose buttock; (4) Local govts fail to recover sh8b from councillors; (5) Uganda lacks half of required health workers; (6) June coffee exports to drop 17%; (7) Regional cement dealers cry foul; (8) World Cup: Ivory Coast–Portugal draw (Drogba return).</w:t>
      </w:r>
    </w:p>
    <w:p>
      <w:r>
        <w:rPr>
          <w:b/>
        </w:rPr>
        <w:t>NV-WB-2016-01-20:</w:t>
      </w:r>
      <w:r>
        <w:t xml:space="preserve"> (1) Why Cranes needed Miya; (2) Solidarity for health workers; (3) National health insurance: a forgotten health policy issue at the presidential debate; (4) Schools Guide; (5) Awori hands over TZ election observation report to EAC secretary general; (6) 22 giraffes to be relocated from Murchison Falls NP; (7) CHAN 2016: Mali 2 Uganda 2; (8) No death in Gaaga bus fire; (9) Exploit border trade, Museveni urges Bundibugyo.</w:t>
      </w:r>
    </w:p>
    <w:p>
      <w:r>
        <w:rPr>
          <w:b/>
        </w:rPr>
        <w:t>NV-LIVE-2026-09-20:</w:t>
      </w:r>
      <w:r>
        <w:t xml:space="preserve"> (1) Driver arrested after crash kills motorcycle rider carrying school pupils; (2) Govt gives farmers 150 tractors to boost mechanisation; (3) Roosevelt Trail links Uganda to US tourism, business opportunities; (4) In pictures: Museveni's 82nd birthday celebrations at Kololo; (5) UPDF suspends all military cooperation with Turkey; (6) 'Logistics is much bigger than moving cargo'; (7) Uganda pushes for UN action on development funding and Sevilla commitments; (8) When Kampala braved the rain for a night of beauty and music; (9–11) World: Nigeria miners probe; UN poll for new chief; Trump/CNN ban; (12) PREMIUM: What King Charles told CDF Gen. Muhoozi during their private phone call.</w:t>
      </w:r>
    </w:p>
    <w:p>
      <w:pPr>
        <w:pStyle w:val="Heading2"/>
      </w:pPr>
      <w:r>
        <w:t>How to continue to 100 (researcher's runbook)</w:t>
      </w:r>
    </w:p>
    <w:p>
      <w:pPr>
        <w:pStyle w:val="ListNumber"/>
      </w:pPr>
      <w:r>
        <w:rPr>
          <w:b/>
        </w:rPr>
        <w:t>Decades 3–4 (need ~44 more):</w:t>
      </w:r>
      <w:r>
        <w:t xml:space="preserve"> repeat this procedure — Wayback </w:t>
      </w:r>
      <w:r>
        <w:rPr>
          <w:rFonts w:ascii="Courier New" w:hAnsi="Courier New"/>
          <w:sz w:val="20"/>
        </w:rPr>
        <w:t>web/YYYYMMDD/http://www.newvision.co.ug/</w:t>
      </w:r>
      <w:r>
        <w:t xml:space="preserve"> for 2006–2019 dates (constructed days per §3.6.1); live site + screenshots for 2020–2026. Log every substitution.</w:t>
      </w:r>
    </w:p>
    <w:p>
      <w:pPr>
        <w:pStyle w:val="ListNumber"/>
      </w:pPr>
      <w:r>
        <w:rPr>
          <w:b/>
        </w:rPr>
        <w:t>Decades 1–2 (need 50):</w:t>
      </w:r>
      <w:r>
        <w:t xml:space="preserve"> library bound volumes (no online source exists pre-2000s) — UCU/KIU/Makerere Africana; photograph front page + editorials; same coding sheet.</w:t>
      </w:r>
    </w:p>
    <w:p>
      <w:pPr>
        <w:pStyle w:val="ListNumber"/>
      </w:pPr>
      <w:r>
        <w:rPr>
          <w:b/>
        </w:rPr>
        <w:t>Election windows:</w:t>
      </w:r>
      <w:r>
        <w:t xml:space="preserve"> prioritise Jan/Feb 1996, 2001, 2006, 2011 + Jan 2016 (1 done) + Jan 2021 (use live/secondary — ACME 2021 tables already in §4.3.1).</w:t>
      </w:r>
    </w:p>
    <w:p>
      <w:pPr>
        <w:pStyle w:val="ListNumber"/>
      </w:pPr>
      <w:r>
        <w:rPr>
          <w:b/>
        </w:rPr>
        <w:t>Rung 4 fallback:</w:t>
      </w:r>
      <w:r>
        <w:t xml:space="preserve"> AllAfrica.com New Vision reprints for thematic gap-filling (code as </w:t>
      </w:r>
      <w:r>
        <w:rPr>
          <w:i/>
        </w:rPr>
        <w:t>reprint</w:t>
      </w:r>
      <w:r>
        <w:t>, separate table).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