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APFAF Kampala Ecosystem-based Adaptation Concept</w:t>
      </w:r>
    </w:p>
    <w:p>
      <w:pPr>
        <w:pStyle w:val="Subtitle"/>
      </w:pPr>
      <w:r>
        <w:rPr>
          <w:b w:val="0"/>
        </w:rPr>
        <w:t>Internal concept-development and proposal-writing brief</w:t>
      </w:r>
    </w:p>
    <w:p>
      <w:r>
        <w:rPr>
          <w:b w:val="0"/>
        </w:rPr>
      </w:r>
      <w:r>
        <w:rPr>
          <w:b/>
        </w:rPr>
        <w:t>Prepared for:</w:t>
      </w:r>
      <w:r>
        <w:rPr>
          <w:b w:val="0"/>
        </w:rPr>
        <w:t xml:space="preserve"> A Pen For Africa (APFAF) proposal-development team</w:t>
      </w:r>
    </w:p>
    <w:p>
      <w:r>
        <w:rPr>
          <w:b w:val="0"/>
        </w:rPr>
      </w:r>
      <w:r>
        <w:rPr>
          <w:b/>
        </w:rPr>
        <w:t>Prepared:</w:t>
      </w:r>
      <w:r>
        <w:rPr>
          <w:b w:val="0"/>
        </w:rPr>
        <w:t xml:space="preserve"> 10 October 2026</w:t>
      </w:r>
    </w:p>
    <w:p>
      <w:r>
        <w:rPr>
          <w:b w:val="0"/>
        </w:rPr>
      </w:r>
      <w:r>
        <w:rPr>
          <w:b/>
        </w:rPr>
        <w:t>Priority opportunity:</w:t>
      </w:r>
      <w:r>
        <w:rPr>
          <w:b w:val="0"/>
        </w:rPr>
        <w:t xml:space="preserve"> Global EbA Fund — 8th Call for Small-Size Grants</w:t>
      </w:r>
    </w:p>
    <w:p>
      <w:r>
        <w:rPr>
          <w:b w:val="0"/>
        </w:rPr>
      </w:r>
      <w:r>
        <w:rPr>
          <w:b/>
        </w:rPr>
        <w:t>Status:</w:t>
      </w:r>
      <w:r>
        <w:rPr>
          <w:b w:val="0"/>
        </w:rPr>
        <w:t xml:space="preserve"> Working concept for validation; not a completed application or confirmation of eligibility.</w:t>
      </w:r>
    </w:p>
    <w:p>
      <w:pPr>
        <w:pStyle w:val="Quote"/>
      </w:pPr>
      <w:r>
        <w:rPr>
          <w:b w:val="0"/>
        </w:rPr>
      </w:r>
      <w:r>
        <w:rPr>
          <w:b/>
        </w:rPr>
        <w:t>Central recommendation:</w:t>
      </w:r>
      <w:r>
        <w:rPr>
          <w:b w:val="0"/>
        </w:rPr>
        <w:t xml:space="preserve"> Develop a Kampala-linked small-grant proposal only if the 2024 APFAF survey provides a credible and relevant starting point, a specific ecosystem-based adaptation opportunity can be demonstrated, and a suitably qualified technical partner is secured. Do not present the survey as a climate-risk assessment unless its methods and evidence support that description.</w:t>
      </w:r>
    </w:p>
    <w:p>
      <w:pPr>
        <w:pStyle w:val="TOCHeading"/>
      </w:pPr>
      <w:r>
        <w:t>Table of contents</w:t>
      </w:r>
    </w:p>
    <w:p>
      <w:r>
        <w:t>Click a section title to navigate (Ctrl+click in some Word versions). The contents list uses section links rather than page numbers so it remains useful as the team edits the draft.</w:t>
      </w:r>
    </w:p>
    <w:p>
      <w:hyperlink w:anchor="APFAF_section_1">
        <w:r>
          <w:rPr>
            <w:color w:val="165A51"/>
          </w:rPr>
          <w:t>1. What the Global EbA Fund grant is all about</w:t>
        </w:r>
      </w:hyperlink>
    </w:p>
    <w:p>
      <w:hyperlink w:anchor="APFAF_section_2">
        <w:r>
          <w:rPr>
            <w:color w:val="165A51"/>
          </w:rPr>
          <w:t>2. Purpose of this brief</w:t>
        </w:r>
      </w:hyperlink>
    </w:p>
    <w:p>
      <w:hyperlink w:anchor="APFAF_section_3">
        <w:r>
          <w:rPr>
            <w:color w:val="165A51"/>
          </w:rPr>
          <w:t>3. Executive concept summary</w:t>
        </w:r>
      </w:hyperlink>
    </w:p>
    <w:p>
      <w:hyperlink w:anchor="APFAF_section_4">
        <w:r>
          <w:rPr>
            <w:color w:val="165A51"/>
          </w:rPr>
          <w:t>4. Why this concept fits APFAF</w:t>
        </w:r>
      </w:hyperlink>
    </w:p>
    <w:p>
      <w:hyperlink w:anchor="APFAF_section_5">
        <w:r>
          <w:rPr>
            <w:color w:val="165A51"/>
          </w:rPr>
          <w:t>5. Mandatory concept-validation gates</w:t>
        </w:r>
      </w:hyperlink>
    </w:p>
    <w:p>
      <w:hyperlink w:anchor="APFAF_section_6">
        <w:r>
          <w:rPr>
            <w:color w:val="165A51"/>
          </w:rPr>
          <w:t>6. Problem statement: writing instructions</w:t>
        </w:r>
      </w:hyperlink>
    </w:p>
    <w:p>
      <w:hyperlink w:anchor="APFAF_section_7">
        <w:r>
          <w:rPr>
            <w:color w:val="165A51"/>
          </w:rPr>
          <w:t>7. Theory of change</w:t>
        </w:r>
      </w:hyperlink>
    </w:p>
    <w:p>
      <w:hyperlink w:anchor="APFAF_section_8">
        <w:r>
          <w:rPr>
            <w:color w:val="165A51"/>
          </w:rPr>
          <w:t>8. Proposed results framework</w:t>
        </w:r>
      </w:hyperlink>
    </w:p>
    <w:p>
      <w:hyperlink w:anchor="APFAF_section_9">
        <w:r>
          <w:rPr>
            <w:color w:val="165A51"/>
          </w:rPr>
          <w:t>9. Partner and governance structure</w:t>
        </w:r>
      </w:hyperlink>
    </w:p>
    <w:p>
      <w:hyperlink w:anchor="APFAF_section_10">
        <w:r>
          <w:rPr>
            <w:color w:val="165A51"/>
          </w:rPr>
          <w:t>10. Safeguards, rights and inclusion</w:t>
        </w:r>
      </w:hyperlink>
    </w:p>
    <w:p>
      <w:hyperlink w:anchor="APFAF_section_11">
        <w:r>
          <w:rPr>
            <w:color w:val="165A51"/>
          </w:rPr>
          <w:t>11. Implementation sequence</w:t>
        </w:r>
      </w:hyperlink>
    </w:p>
    <w:p>
      <w:hyperlink w:anchor="APFAF_section_12">
        <w:r>
          <w:rPr>
            <w:color w:val="165A51"/>
          </w:rPr>
          <w:t>12. Illustrative budget envelope</w:t>
        </w:r>
      </w:hyperlink>
    </w:p>
    <w:p>
      <w:hyperlink w:anchor="APFAF_section_13">
        <w:r>
          <w:rPr>
            <w:color w:val="165A51"/>
          </w:rPr>
          <w:t>13. Sustainability and exit strategy</w:t>
        </w:r>
      </w:hyperlink>
    </w:p>
    <w:p>
      <w:hyperlink w:anchor="APFAF_section_14">
        <w:r>
          <w:rPr>
            <w:color w:val="165A51"/>
          </w:rPr>
          <w:t>14. Evidence and writing assignments</w:t>
        </w:r>
      </w:hyperlink>
    </w:p>
    <w:p>
      <w:hyperlink w:anchor="APFAF_section_15">
        <w:r>
          <w:rPr>
            <w:color w:val="165A51"/>
          </w:rPr>
          <w:t>15. Application preparation and deadline plan</w:t>
        </w:r>
      </w:hyperlink>
    </w:p>
    <w:p>
      <w:hyperlink w:anchor="APFAF_section_16">
        <w:r>
          <w:rPr>
            <w:color w:val="165A51"/>
          </w:rPr>
          <w:t>16. Final review and go/no-go decision</w:t>
        </w:r>
      </w:hyperlink>
    </w:p>
    <w:p>
      <w:hyperlink w:anchor="APFAF_section_17">
        <w:r>
          <w:rPr>
            <w:color w:val="165A51"/>
          </w:rPr>
          <w:t>17. Source register</w:t>
        </w:r>
      </w:hyperlink>
    </w:p>
    <w:p>
      <w:bookmarkStart w:id="1" w:name="APFAF_section_1"/>
      <w:pPr>
        <w:pStyle w:val="Heading1"/>
        <w:pageBreakBefore/>
      </w:pPr>
      <w:r>
        <w:t>1. What the Global EbA Fund grant is all about</w:t>
      </w:r>
      <w:bookmarkEnd w:id="1"/>
    </w:p>
    <w:p>
      <w:pPr/>
      <w:r>
        <w:t>The Global Ecosystem-based Adaptation (EbA) Fund supports innovative projects that remove barriers to using biodiversity and ecosystem services to help people adapt to climate change. It is implemented by IUCN and the United Nations Environment Programme, with support from Germany’s International Climate Initiative (IKI). This is targeted adaptation funding, not a general NGO operating grant, education fund or health-service grant.</w:t>
      </w:r>
    </w:p>
    <w:p>
      <w:pPr>
        <w:pStyle w:val="Heading2"/>
      </w:pPr>
      <w:r>
        <w:t>What ecosystem-based adaptation means</w:t>
      </w:r>
    </w:p>
    <w:p>
      <w:pPr/>
      <w:r>
        <w:t>EbA uses the conservation, restoration and sustainable management of ecosystems as part of a wider climate-adaptation strategy. For example, technically appropriate management of a wetland or catchment may support water regulation and help reduce climate vulnerability. A proposal must identify the climate hazard, vulnerable people, relevant ecosystem service and credible route to adaptation benefits. Tree planting, pollution awareness or conservation alone does not automatically qualify.</w:t>
      </w:r>
    </w:p>
    <w:p>
      <w:pPr>
        <w:pStyle w:val="Heading2"/>
      </w:pPr>
      <w:r>
        <w:t>The 2026 funding announcement and its two windows</w:t>
      </w:r>
    </w:p>
    <w:p>
      <w:pPr/>
      <w:r>
        <w:t>The announcement offers up to USD 7.5 million across two calls—not USD 7.5 million to a single applicant. The detailed call documents envisage 10 small grants of up to USD 250,000 each and 10 medium grants of up to USD 500,000 each. These are competitive awards, not guaranteed allocations.</w:t>
      </w:r>
    </w:p>
    <w:p>
      <w:pPr>
        <w:pStyle w:val="ListBullet"/>
      </w:pPr>
      <w:r>
        <w:t>Small-size grants: applications from 28 September to 26 October 2026. The detailed call specifies 18–24 months, while the webpage says up to 24 months. This brief proposes 24 months. The geographic emphasis is on ODA-eligible Small Island Developing States and Least Developed Countries; exceptional proposals from other ODA-eligible countries may be considered.</w:t>
      </w:r>
    </w:p>
    <w:p>
      <w:pPr>
        <w:pStyle w:val="ListBullet"/>
      </w:pPr>
      <w:r>
        <w:t>Medium-size grants: applications from 12 October to 16 November 2026, for projects up to 24 months. The call highlights innovative finance; human development and security; and synergies across climate, biodiversity and land agendas. These are themes within the medium window, not three separate grant programmes, and alignment with one is encouraged rather than compulsory.</w:t>
      </w:r>
    </w:p>
    <w:p>
      <w:pPr/>
      <w:r>
        <w:t>These dates reflect the published 2026 calls reviewed on 10 October 2026. Confirm the exact closing time, time zone, live portal requirements and any amendments before submission.</w:t>
      </w:r>
    </w:p>
    <w:p>
      <w:pPr>
        <w:pStyle w:val="Heading2"/>
      </w:pPr>
      <w:r>
        <w:t>What the Fund wants to finance</w:t>
      </w:r>
    </w:p>
    <w:p>
      <w:pPr/>
      <w:r>
        <w:t>The Fund prioritises changes that enable EbA to spread and last: better evidence, practical institutional capacity, inclusive governance, effective policies, learning arrangements and investment readiness. Projects must build on existing work and demonstrate innovation, potential for wider uptake, and a credible exit strategy.</w:t>
      </w:r>
    </w:p>
    <w:p>
      <w:pPr/>
      <w:r>
        <w:t>The small call encourages investment-ready project pipelines, tested technologies adapted or scaled for EbA, practical research that resolves implementation barriers, and synergies with existing EbA or nature-based solutions initiatives. A proposal should select a focused approach rather than attempt to cover every topic.</w:t>
      </w:r>
    </w:p>
    <w:p>
      <w:pPr>
        <w:pStyle w:val="Heading2"/>
      </w:pPr>
      <w:r>
        <w:t>Who can apply and the main restrictions</w:t>
      </w:r>
    </w:p>
    <w:p>
      <w:pPr/>
      <w:r>
        <w:t>Eligible categories include legally recognised NGOs, community-based organisations, Indigenous Peoples’ organisations, universities, research institutions, intergovernmental organisations, certain private-sector applicants and consortia. Applicants must demonstrate relevant experience, financial and technical capacity, local partnerships and the legal ability to operate. Country-specific projects must target ODA-eligible countries at application.</w:t>
      </w:r>
    </w:p>
    <w:p>
      <w:pPr/>
      <w:r>
        <w:t>The Fund does not support projects primarily devoted to field implementation, standalone business-as-usual activities or direct seed-grant programmes. Government institutions may collaborate but cannot receive direct grants or sub-grants. Private-sector participation is subject to public-interest and non-profit-project restrictions. The manual also excludes projects classified as high environmental and social risk.</w:t>
      </w:r>
    </w:p>
    <w:p>
      <w:pPr>
        <w:pStyle w:val="Heading2"/>
      </w:pPr>
      <w:r>
        <w:t>How proposals are assessed</w:t>
      </w:r>
    </w:p>
    <w:p>
      <w:pPr/>
      <w:r>
        <w:t>Published evaluation weights are: project approach—including EbA fit, methodology and gender/social inclusion—40%; innovation and catalytic contribution 20%; sustainability 20%; and institutional arrangements and budget 20%. Applicants must choose one strategic objective, comply with the action-pillar selection rules, and include at least three relevant Fund core indicators.</w:t>
      </w:r>
    </w:p>
    <w:p>
      <w:pPr>
        <w:pStyle w:val="Heading2"/>
      </w:pPr>
      <w:r>
        <w:t>Why APFAF is prioritising the small window</w:t>
      </w:r>
    </w:p>
    <w:p>
      <w:pPr/>
      <w:r>
        <w:t>APFAF’s stated climate-justice, health-equity and legal-protection mandate offers a plausible contribution to inclusive ecosystem governance. Its reported 2024 Kampala survey may provide an entry point for a focused evidence-and-capacity project, but the survey must be reviewed and a qualified technical partner secured. The small window is the recommended starting point because it allows a defined, partnership-based intervention rather than requiring APFAF to claim a broad financing or national-policy platform it has not yet demonstrated.</w:t>
      </w:r>
    </w:p>
    <w:p>
      <w:pPr/>
      <w:r>
        <w:t>Success would mean that responsible institutions and communities use better evidence and workable rights-based arrangements to adopt and sustain EbA—not merely that the project holds meetings, publishes reports or plants trees. APFAF’s eligibility, appropriate grant size and lead-versus-partner role remain subject to verification.</w:t>
      </w:r>
    </w:p>
    <w:p>
      <w:pPr/>
      <w:r>
        <w:t>Sources: small-size grants webpage and call document; Grants Procedure Manual; Core Indicator Framework (source register entries 4–7). Medium-size grants and the overall announcement are added as entries 8–9.</w:t>
      </w:r>
    </w:p>
    <w:p>
      <w:bookmarkStart w:id="2" w:name="APFAF_section_2"/>
      <w:pPr>
        <w:pStyle w:val="Heading1"/>
      </w:pPr>
      <w:r>
        <w:t>2. Purpose of this brief</w:t>
      </w:r>
      <w:bookmarkEnd w:id="2"/>
    </w:p>
    <w:p>
      <w:r>
        <w:rPr>
          <w:b w:val="0"/>
        </w:rPr>
        <w:t>This document gives APFAF’s team a common basis for developing the actual application. It provides a proposed project direction, draft narrative, evidence requirements, results framework, partnership structure, budget envelope and writing assignments.</w:t>
      </w:r>
    </w:p>
    <w:p>
      <w:r>
        <w:rPr>
          <w:b w:val="0"/>
        </w:rPr>
        <w:t>The team should distinguish throughout the application between:</w:t>
      </w:r>
    </w:p>
    <w:p>
      <w:pPr>
        <w:pStyle w:val="ListBullet"/>
      </w:pPr>
      <w:r>
        <w:rPr>
          <w:b w:val="0"/>
        </w:rPr>
      </w:r>
      <w:r>
        <w:rPr>
          <w:b/>
        </w:rPr>
        <w:t>Published organisational information:</w:t>
      </w:r>
      <w:r>
        <w:rPr>
          <w:b w:val="0"/>
        </w:rPr>
        <w:t xml:space="preserve"> what APFAF’s website states about its mandate and activities.</w:t>
      </w:r>
    </w:p>
    <w:p>
      <w:pPr>
        <w:pStyle w:val="ListBullet"/>
      </w:pPr>
      <w:r>
        <w:rPr>
          <w:b w:val="0"/>
        </w:rPr>
      </w:r>
      <w:r>
        <w:rPr>
          <w:b/>
        </w:rPr>
        <w:t>Verified project evidence:</w:t>
      </w:r>
      <w:r>
        <w:rPr>
          <w:b w:val="0"/>
        </w:rPr>
        <w:t xml:space="preserve"> findings supported by reports, data, consultation records or authoritative technical sources.</w:t>
      </w:r>
    </w:p>
    <w:p>
      <w:pPr>
        <w:pStyle w:val="ListBullet"/>
      </w:pPr>
      <w:r>
        <w:rPr>
          <w:b w:val="0"/>
        </w:rPr>
      </w:r>
      <w:r>
        <w:rPr>
          <w:b/>
        </w:rPr>
        <w:t>Proposed activities and targets:</w:t>
      </w:r>
      <w:r>
        <w:rPr>
          <w:b w:val="0"/>
        </w:rPr>
        <w:t xml:space="preserve"> what the new project intends to deliver.</w:t>
      </w:r>
    </w:p>
    <w:p>
      <w:pPr>
        <w:pStyle w:val="ListBullet"/>
      </w:pPr>
      <w:r>
        <w:rPr>
          <w:b w:val="0"/>
        </w:rPr>
      </w:r>
      <w:r>
        <w:rPr>
          <w:b/>
        </w:rPr>
        <w:t>Assumptions requiring validation:</w:t>
      </w:r>
      <w:r>
        <w:rPr>
          <w:b w:val="0"/>
        </w:rPr>
        <w:t xml:space="preserve"> matters not yet demonstrated.</w:t>
      </w:r>
    </w:p>
    <w:p>
      <w:r>
        <w:rPr>
          <w:b w:val="0"/>
        </w:rPr>
        <w:t>Bracketed text in this brief must be replaced with verified information. Suggested targets and budget figures are planning examples, not donor requirements or established commitments.</w:t>
      </w:r>
    </w:p>
    <w:p>
      <w:bookmarkStart w:id="3" w:name="APFAF_section_3"/>
      <w:pPr>
        <w:pStyle w:val="Heading1"/>
      </w:pPr>
      <w:r>
        <w:t>3. Executive concept summary</w:t>
      </w:r>
      <w:bookmarkEnd w:id="3"/>
    </w:p>
    <w:p>
      <w:pPr>
        <w:pStyle w:val="Heading2"/>
      </w:pPr>
      <w:r>
        <w:rPr>
          <w:b w:val="0"/>
        </w:rPr>
        <w:t>Proposed working title</w:t>
      </w:r>
    </w:p>
    <w:p>
      <w:r>
        <w:rPr>
          <w:b w:val="0"/>
        </w:rPr>
      </w:r>
      <w:r>
        <w:rPr>
          <w:b/>
        </w:rPr>
        <w:t>Rights-Based Ecosystem Governance for Climate and Health Resilience in Vulnerable Kampala Communities</w:t>
      </w:r>
      <w:r>
        <w:rPr>
          <w:b w:val="0"/>
        </w:rPr>
      </w:r>
    </w:p>
    <w:p>
      <w:pPr>
        <w:pStyle w:val="Heading2"/>
      </w:pPr>
      <w:r>
        <w:rPr>
          <w:b w:val="0"/>
        </w:rPr>
        <w:t>Proposed project parameters</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Working position</w:t>
            </w:r>
          </w:p>
        </w:tc>
      </w:tr>
      <w:tr>
        <w:tc>
          <w:tcPr>
            <w:tcW w:type="dxa" w:w="4320"/>
          </w:tcPr>
          <w:p>
            <w:r>
              <w:rPr>
                <w:b w:val="0"/>
              </w:rPr>
              <w:t>Funding window</w:t>
            </w:r>
          </w:p>
        </w:tc>
        <w:tc>
          <w:tcPr>
            <w:tcW w:type="dxa" w:w="4320"/>
          </w:tcPr>
          <w:p>
            <w:r>
              <w:rPr>
                <w:b w:val="0"/>
              </w:rPr>
              <w:t>Global EbA Fund small-size grants</w:t>
            </w:r>
          </w:p>
        </w:tc>
      </w:tr>
      <w:tr>
        <w:tc>
          <w:tcPr>
            <w:tcW w:type="dxa" w:w="4320"/>
          </w:tcPr>
          <w:p>
            <w:r>
              <w:rPr>
                <w:b w:val="0"/>
              </w:rPr>
              <w:t>Duration</w:t>
            </w:r>
          </w:p>
        </w:tc>
        <w:tc>
          <w:tcPr>
            <w:tcW w:type="dxa" w:w="4320"/>
          </w:tcPr>
          <w:p>
            <w:r>
              <w:rPr>
                <w:b w:val="0"/>
              </w:rPr>
              <w:t>24 months, subject to final design and approval</w:t>
            </w:r>
          </w:p>
        </w:tc>
      </w:tr>
      <w:tr>
        <w:tc>
          <w:tcPr>
            <w:tcW w:type="dxa" w:w="4320"/>
          </w:tcPr>
          <w:p>
            <w:r>
              <w:rPr>
                <w:b w:val="0"/>
              </w:rPr>
              <w:t>Illustrative request</w:t>
            </w:r>
          </w:p>
        </w:tc>
        <w:tc>
          <w:tcPr>
            <w:tcW w:type="dxa" w:w="4320"/>
          </w:tcPr>
          <w:p>
            <w:r>
              <w:rPr>
                <w:b w:val="0"/>
              </w:rPr>
              <w:t>USD 230,000; revise after costing and capacity review</w:t>
            </w:r>
          </w:p>
        </w:tc>
      </w:tr>
      <w:tr>
        <w:tc>
          <w:tcPr>
            <w:tcW w:type="dxa" w:w="4320"/>
          </w:tcPr>
          <w:p>
            <w:r>
              <w:rPr>
                <w:b w:val="0"/>
              </w:rPr>
              <w:t>Geographic scope</w:t>
            </w:r>
          </w:p>
        </w:tc>
        <w:tc>
          <w:tcPr>
            <w:tcW w:type="dxa" w:w="4320"/>
          </w:tcPr>
          <w:p>
            <w:r>
              <w:rPr>
                <w:b w:val="0"/>
              </w:rPr>
              <w:t>One clearly defined Kampala ecosystem/catchment area and associated communities, selected through evidence review</w:t>
            </w:r>
          </w:p>
        </w:tc>
      </w:tr>
      <w:tr>
        <w:tc>
          <w:tcPr>
            <w:tcW w:type="dxa" w:w="4320"/>
          </w:tcPr>
          <w:p>
            <w:r>
              <w:rPr>
                <w:b w:val="0"/>
              </w:rPr>
              <w:t>Lead applicant</w:t>
            </w:r>
          </w:p>
        </w:tc>
        <w:tc>
          <w:tcPr>
            <w:tcW w:type="dxa" w:w="4320"/>
          </w:tcPr>
          <w:p>
            <w:r>
              <w:rPr>
                <w:b w:val="0"/>
              </w:rPr>
              <w:t>APFAF if due diligence and delivery capacity are demonstrated; otherwise an experienced eligible lead with APFAF in a substantive consortium role</w:t>
            </w:r>
          </w:p>
        </w:tc>
      </w:tr>
      <w:tr>
        <w:tc>
          <w:tcPr>
            <w:tcW w:type="dxa" w:w="4320"/>
          </w:tcPr>
          <w:p>
            <w:r>
              <w:rPr>
                <w:b w:val="0"/>
              </w:rPr>
              <w:t>Priority participants</w:t>
            </w:r>
          </w:p>
        </w:tc>
        <w:tc>
          <w:tcPr>
            <w:tcW w:type="dxa" w:w="4320"/>
          </w:tcPr>
          <w:p>
            <w:r>
              <w:rPr>
                <w:b w:val="0"/>
              </w:rPr>
              <w:t>Locally identified climate-vulnerable residents, including women, youth and structurally excluded groups; exact groups must be justified by evidence</w:t>
            </w:r>
          </w:p>
        </w:tc>
      </w:tr>
      <w:tr>
        <w:tc>
          <w:tcPr>
            <w:tcW w:type="dxa" w:w="4320"/>
          </w:tcPr>
          <w:p>
            <w:r>
              <w:rPr>
                <w:b w:val="0"/>
              </w:rPr>
              <w:t>Primary strategic objective</w:t>
            </w:r>
          </w:p>
        </w:tc>
        <w:tc>
          <w:tcPr>
            <w:tcW w:type="dxa" w:w="4320"/>
          </w:tcPr>
          <w:p>
            <w:r>
              <w:rPr>
                <w:b w:val="0"/>
              </w:rPr>
              <w:t>Objective 1: awareness, knowledge/evidence and institutional capacity</w:t>
            </w:r>
          </w:p>
        </w:tc>
      </w:tr>
      <w:tr>
        <w:tc>
          <w:tcPr>
            <w:tcW w:type="dxa" w:w="4320"/>
          </w:tcPr>
          <w:p>
            <w:r>
              <w:rPr>
                <w:b w:val="0"/>
              </w:rPr>
              <w:t>Proposed action pillars</w:t>
            </w:r>
          </w:p>
        </w:tc>
        <w:tc>
          <w:tcPr>
            <w:tcW w:type="dxa" w:w="4320"/>
          </w:tcPr>
          <w:p>
            <w:r>
              <w:rPr>
                <w:b w:val="0"/>
              </w:rPr>
              <w:t>Pillar 1: education/capacity-building; Pillar 2: functional data and science</w:t>
            </w:r>
          </w:p>
        </w:tc>
      </w:tr>
      <w:tr>
        <w:tc>
          <w:tcPr>
            <w:tcW w:type="dxa" w:w="4320"/>
          </w:tcPr>
          <w:p>
            <w:r>
              <w:rPr>
                <w:b w:val="0"/>
              </w:rPr>
              <w:t>Main outcome</w:t>
            </w:r>
          </w:p>
        </w:tc>
        <w:tc>
          <w:tcPr>
            <w:tcW w:type="dxa" w:w="4320"/>
          </w:tcPr>
          <w:p>
            <w:r>
              <w:rPr>
                <w:b w:val="0"/>
              </w:rPr>
              <w:t>Responsible institutions and community structures adopt and begin using a rights-based, evidence-informed approach to ecosystem-based adaptation</w:t>
            </w:r>
          </w:p>
        </w:tc>
      </w:tr>
    </w:tbl>
    <w:p/>
    <w:p>
      <w:r>
        <w:rPr>
          <w:b w:val="0"/>
        </w:rPr>
      </w:r>
      <w:r>
        <w:rPr>
          <w:b/>
        </w:rPr>
        <w:t>Alternative objective:</w:t>
      </w:r>
      <w:r>
        <w:rPr>
          <w:b w:val="0"/>
        </w:rPr>
        <w:t xml:space="preserve"> If governance reform becomes the central result rather than institutional capacity, select Strategic Objective 2 instead. Choose one objective; do not combine objectives indiscriminately.</w:t>
      </w:r>
    </w:p>
    <w:p>
      <w:pPr>
        <w:pStyle w:val="Heading2"/>
      </w:pPr>
      <w:r>
        <w:rPr>
          <w:b w:val="0"/>
        </w:rPr>
        <w:t>Draft summary for adaptation into the application</w:t>
      </w:r>
    </w:p>
    <w:p>
      <w:r>
        <w:rPr>
          <w:b w:val="0"/>
        </w:rPr>
        <w:t>A Pen For Africa proposes to strengthen the enabling conditions for ecosystem-based adaptation in [selected Kampala location], where [verified climate hazard] affects [identified vulnerable groups] and where the condition or management of [specified ecosystem] influences [relevant ecosystem service]. Building on its 2024 community survey and subsequent validated evidence, APFAF will work with [technical partner], local community organisations and relevant public institutions to address [specific evidence, capacity or governance barrier] preventing wider uptake of ecosystem-based adaptation.</w:t>
      </w:r>
    </w:p>
    <w:p>
      <w:r>
        <w:rPr>
          <w:b w:val="0"/>
        </w:rPr>
        <w:t>The project will combine participatory climate-risk and ecosystem-service assessment, rights-based analysis, practical capacity-building, and institutional adoption of a locally appropriate management and monitoring approach. Limited field validation may be included where essential to test the approach, but the project will not primarily finance restoration works, drainage infrastructure, waste collection or tree planting. Its principal contribution will be to help institutions and communities make, implement and sustain better adaptation decisions.</w:t>
      </w:r>
    </w:p>
    <w:p>
      <w:r>
        <w:rPr>
          <w:b w:val="0"/>
        </w:rPr>
        <w:t>Within 24 months, the project intends to establish a technically credible evidence base, strengthen inclusive management arrangements, and secure an operational pathway for continued implementation and financing. Longer-term contributions may include reduced climate vulnerability and improved ecosystem services; the project will not claim population-level health or flood-risk reductions without an appropriate measurement basis.</w:t>
      </w:r>
    </w:p>
    <w:p>
      <w:bookmarkStart w:id="4" w:name="APFAF_section_4"/>
      <w:pPr>
        <w:pStyle w:val="Heading1"/>
      </w:pPr>
      <w:r>
        <w:t>4. Why this concept fits APFAF</w:t>
      </w:r>
      <w:bookmarkEnd w:id="4"/>
    </w:p>
    <w:p>
      <w:r>
        <w:rPr>
          <w:b w:val="0"/>
        </w:rPr>
        <w:t>APFAF’s official website describes a women-led, rights-based organisation working on health access equity, climate justice, economic empowerment, and legal and protection services. Its Projects page reports a 2024 survey in Kampala suburbs, participation in tree planting, climate advocacy, and rights-based institutional training. These provide a potential organisational foundation, but not automatic proof of EbA expertise or grant-management capacity. [1–3]</w:t>
      </w:r>
    </w:p>
    <w:p>
      <w:r>
        <w:rPr>
          <w:b w:val="0"/>
        </w:rPr>
        <w:t>APFAF’s strongest proposed contribution is the connection between:</w:t>
      </w:r>
    </w:p>
    <w:p>
      <w:r>
        <w:rPr>
          <w:b w:val="0"/>
        </w:rPr>
        <w:t xml:space="preserve">1. </w:t>
      </w:r>
      <w:r>
        <w:rPr>
          <w:b/>
        </w:rPr>
        <w:t>Rights and inclusion:</w:t>
      </w:r>
      <w:r>
        <w:rPr>
          <w:b w:val="0"/>
        </w:rPr>
        <w:t xml:space="preserve"> who participates in ecosystem decisions and who bears their costs.</w:t>
      </w:r>
    </w:p>
    <w:p>
      <w:r>
        <w:rPr>
          <w:b w:val="0"/>
        </w:rPr>
        <w:t xml:space="preserve">2. </w:t>
      </w:r>
      <w:r>
        <w:rPr>
          <w:b/>
        </w:rPr>
        <w:t>Community evidence:</w:t>
      </w:r>
      <w:r>
        <w:rPr>
          <w:b w:val="0"/>
        </w:rPr>
        <w:t xml:space="preserve"> how residents experience climate risks and ecosystem change.</w:t>
      </w:r>
    </w:p>
    <w:p>
      <w:r>
        <w:rPr>
          <w:b w:val="0"/>
        </w:rPr>
        <w:t xml:space="preserve">3. </w:t>
      </w:r>
      <w:r>
        <w:rPr>
          <w:b/>
        </w:rPr>
        <w:t>Institutional capacity:</w:t>
      </w:r>
      <w:r>
        <w:rPr>
          <w:b w:val="0"/>
        </w:rPr>
        <w:t xml:space="preserve"> whether responsible organisations can use evidence and implement fair management arrangements.</w:t>
      </w:r>
    </w:p>
    <w:p>
      <w:r>
        <w:rPr>
          <w:b w:val="0"/>
        </w:rPr>
        <w:t xml:space="preserve">4. </w:t>
      </w:r>
      <w:r>
        <w:rPr>
          <w:b/>
        </w:rPr>
        <w:t>Health equity:</w:t>
      </w:r>
      <w:r>
        <w:rPr>
          <w:b w:val="0"/>
        </w:rPr>
        <w:t xml:space="preserve"> how climate exposure affects people differently, including people with chronic illness or limited access to services where locally relevant.</w:t>
      </w:r>
    </w:p>
    <w:p>
      <w:r>
        <w:rPr>
          <w:b w:val="0"/>
        </w:rPr>
        <w:t>The technical partner must supply capabilities APFAF cannot substantiate internally, particularly ecosystem assessment, climate-risk analysis and scientifically defensible adaptation design.</w:t>
      </w:r>
    </w:p>
    <w:p>
      <w:bookmarkStart w:id="5" w:name="APFAF_section_5"/>
      <w:pPr>
        <w:pStyle w:val="Heading1"/>
      </w:pPr>
      <w:r>
        <w:t>5. Mandatory concept-validation gates</w:t>
      </w:r>
      <w:bookmarkEnd w:id="5"/>
    </w:p>
    <w:p>
      <w:pPr>
        <w:pStyle w:val="Heading2"/>
      </w:pPr>
      <w:r>
        <w:rPr>
          <w:b w:val="0"/>
        </w:rPr>
        <w:t>Gate A — Is the 2024 survey a credible foundation?</w:t>
      </w:r>
    </w:p>
    <w:p>
      <w:r>
        <w:rPr>
          <w:b w:val="0"/>
        </w:rPr>
        <w:t>Obtain and review:</w:t>
      </w:r>
    </w:p>
    <w:p>
      <w:pPr>
        <w:pStyle w:val="ListBullet"/>
      </w:pPr>
      <w:r>
        <w:rPr>
          <w:b w:val="0"/>
        </w:rPr>
        <w:t>Full report, date, authors and commissioning arrangements.</w:t>
      </w:r>
    </w:p>
    <w:p>
      <w:pPr>
        <w:pStyle w:val="ListBullet"/>
      </w:pPr>
      <w:r>
        <w:rPr>
          <w:b w:val="0"/>
        </w:rPr>
        <w:t>Survey locations and their relationship to the proposed project area.</w:t>
      </w:r>
    </w:p>
    <w:p>
      <w:pPr>
        <w:pStyle w:val="ListBullet"/>
      </w:pPr>
      <w:r>
        <w:rPr>
          <w:b w:val="0"/>
        </w:rPr>
        <w:t>Research questions, sampling approach, sample size and limitations.</w:t>
      </w:r>
    </w:p>
    <w:p>
      <w:pPr>
        <w:pStyle w:val="ListBullet"/>
      </w:pPr>
      <w:r>
        <w:rPr>
          <w:b w:val="0"/>
        </w:rPr>
        <w:t>Questionnaires, observation checklists and available anonymised data.</w:t>
      </w:r>
    </w:p>
    <w:p>
      <w:pPr>
        <w:pStyle w:val="ListBullet"/>
      </w:pPr>
      <w:r>
        <w:rPr>
          <w:b w:val="0"/>
        </w:rPr>
        <w:t>Consent, data protection and permissions for reuse.</w:t>
      </w:r>
    </w:p>
    <w:p>
      <w:pPr>
        <w:pStyle w:val="ListBullet"/>
      </w:pPr>
      <w:r>
        <w:rPr>
          <w:b w:val="0"/>
        </w:rPr>
        <w:t>Findings on environmental conditions, vulnerability and institutional response.</w:t>
      </w:r>
    </w:p>
    <w:p>
      <w:pPr>
        <w:pStyle w:val="ListBullet"/>
      </w:pPr>
      <w:r>
        <w:rPr>
          <w:b w:val="0"/>
        </w:rPr>
        <w:t>Evidence of follow-up, community engagement or institutional use.</w:t>
      </w:r>
    </w:p>
    <w:p>
      <w:r>
        <w:rPr>
          <w:b w:val="0"/>
        </w:rPr>
      </w:r>
      <w:r>
        <w:rPr>
          <w:b/>
        </w:rPr>
        <w:t>What the survey may support:</w:t>
      </w:r>
      <w:r>
        <w:rPr>
          <w:b w:val="0"/>
        </w:rPr>
        <w:t xml:space="preserve"> community concerns, observed environmental conditions, institutional gaps and locally identified priorities.</w:t>
      </w:r>
    </w:p>
    <w:p>
      <w:r>
        <w:rPr>
          <w:b w:val="0"/>
        </w:rPr>
      </w:r>
      <w:r>
        <w:rPr>
          <w:b/>
        </w:rPr>
        <w:t>What it may not establish:</w:t>
      </w:r>
      <w:r>
        <w:rPr>
          <w:b w:val="0"/>
        </w:rPr>
        <w:t xml:space="preserve"> climate-change attribution, flood probability, wetland function, hydrological causation, disease causation or the effectiveness of a proposed ecosystem intervention.</w:t>
      </w:r>
    </w:p>
    <w:p>
      <w:r>
        <w:rPr>
          <w:b w:val="0"/>
        </w:rPr>
        <w:t>If it is primarily a plastic-pollution survey, describe it accurately as an entry point for further investigation. Plastic pollution is not itself a climate hazard. A project focused only on plastic enforcement or waste management is not automatically EbA.</w:t>
      </w:r>
    </w:p>
    <w:p>
      <w:r>
        <w:rPr>
          <w:b w:val="0"/>
        </w:rPr>
      </w:r>
      <w:r>
        <w:rPr>
          <w:b/>
        </w:rPr>
        <w:t>Decision:</w:t>
      </w:r>
      <w:r>
        <w:rPr>
          <w:b w:val="0"/>
        </w:rPr>
        <w:t xml:space="preserve"> Proceed only where the survey and supplementary evidence support a credible connection to an existing local initiative and a specific adaptation opportunity. If the survey is weak but other verified existing work provides a foundation, reassess transparently. If neither exists, do not force this concept into the call.</w:t>
      </w:r>
    </w:p>
    <w:p>
      <w:pPr>
        <w:pStyle w:val="Heading2"/>
      </w:pPr>
      <w:r>
        <w:rPr>
          <w:b w:val="0"/>
        </w:rPr>
        <w:t>Gate B — Is there a defensible ecosystem-based adaptation pathway?</w:t>
      </w:r>
    </w:p>
    <w:p>
      <w:r>
        <w:rPr>
          <w:b w:val="0"/>
        </w:rPr>
        <w:t>The technical partner must confirm:</w:t>
      </w:r>
    </w:p>
    <w:p>
      <w:pPr>
        <w:pStyle w:val="ListBullet"/>
      </w:pPr>
      <w:r>
        <w:rPr>
          <w:b w:val="0"/>
        </w:rPr>
        <w:t>A named climate hazard, using current and future risk information where available.</w:t>
      </w:r>
    </w:p>
    <w:p>
      <w:pPr>
        <w:pStyle w:val="ListBullet"/>
      </w:pPr>
      <w:r>
        <w:rPr>
          <w:b w:val="0"/>
        </w:rPr>
        <w:t>The populations exposed and reasons for their vulnerability.</w:t>
      </w:r>
    </w:p>
    <w:p>
      <w:pPr>
        <w:pStyle w:val="ListBullet"/>
      </w:pPr>
      <w:r>
        <w:rPr>
          <w:b w:val="0"/>
        </w:rPr>
        <w:t>A specific ecosystem and the service relevant to reducing risk.</w:t>
      </w:r>
    </w:p>
    <w:p>
      <w:pPr>
        <w:pStyle w:val="ListBullet"/>
      </w:pPr>
      <w:r>
        <w:rPr>
          <w:b w:val="0"/>
        </w:rPr>
        <w:t>A technically plausible management approach.</w:t>
      </w:r>
    </w:p>
    <w:p>
      <w:pPr>
        <w:pStyle w:val="ListBullet"/>
      </w:pPr>
      <w:r>
        <w:rPr>
          <w:b w:val="0"/>
        </w:rPr>
        <w:t>The barrier this project will remove.</w:t>
      </w:r>
    </w:p>
    <w:p>
      <w:pPr>
        <w:pStyle w:val="ListBullet"/>
      </w:pPr>
      <w:r>
        <w:rPr>
          <w:b w:val="0"/>
        </w:rPr>
        <w:t>A credible link between improved decisions and subsequent adaptation benefits.</w:t>
      </w:r>
    </w:p>
    <w:p>
      <w:r>
        <w:rPr>
          <w:b w:val="0"/>
        </w:rPr>
        <w:t>Example to test, not assume:</w:t>
      </w:r>
    </w:p>
    <w:p>
      <w:pPr>
        <w:pStyle w:val="Quote"/>
      </w:pPr>
      <w:r>
        <w:rPr>
          <w:b w:val="0"/>
        </w:rPr>
        <w:t>Heavy-rainfall risk + vulnerable residents + degraded wetland or riparian functions → reduced water regulation → governance/evidence barriers prevent appropriate management → project improves evidence, inclusive coordination and institutional practice → more effective and sustained EbA uptake.</w:t>
      </w:r>
    </w:p>
    <w:p>
      <w:r>
        <w:rPr>
          <w:b w:val="0"/>
        </w:rPr>
        <w:t>Assess competing explanations and the interaction with built drainage, land use and upstream/downstream conditions. Do not promise that ecosystem measures alone can solve all flooding.</w:t>
      </w:r>
    </w:p>
    <w:p>
      <w:pPr>
        <w:pStyle w:val="Heading2"/>
      </w:pPr>
      <w:r>
        <w:rPr>
          <w:b w:val="0"/>
        </w:rPr>
        <w:t>Gate C — Is a suitable technical partner available?</w:t>
      </w:r>
    </w:p>
    <w:p>
      <w:r>
        <w:rPr>
          <w:b w:val="0"/>
        </w:rPr>
        <w:t>Require evidence of:</w:t>
      </w:r>
    </w:p>
    <w:p>
      <w:pPr>
        <w:pStyle w:val="ListBullet"/>
      </w:pPr>
      <w:r>
        <w:rPr>
          <w:b w:val="0"/>
        </w:rPr>
        <w:t>Comparable urban ecosystem, catchment, wetland or climate-adaptation work.</w:t>
      </w:r>
    </w:p>
    <w:p>
      <w:pPr>
        <w:pStyle w:val="ListBullet"/>
      </w:pPr>
      <w:r>
        <w:rPr>
          <w:b w:val="0"/>
        </w:rPr>
        <w:t>Qualified named personnel with time allocated to the proposal and delivery.</w:t>
      </w:r>
    </w:p>
    <w:p>
      <w:pPr>
        <w:pStyle w:val="ListBullet"/>
      </w:pPr>
      <w:r>
        <w:rPr>
          <w:b w:val="0"/>
        </w:rPr>
        <w:t>Ability to assess ecosystem services and adaptation benefits.</w:t>
      </w:r>
    </w:p>
    <w:p>
      <w:pPr>
        <w:pStyle w:val="ListBullet"/>
      </w:pPr>
      <w:r>
        <w:rPr>
          <w:b w:val="0"/>
        </w:rPr>
        <w:t>Participatory research and safeguards competence.</w:t>
      </w:r>
    </w:p>
    <w:p>
      <w:pPr>
        <w:pStyle w:val="ListBullet"/>
      </w:pPr>
      <w:r>
        <w:rPr>
          <w:b w:val="0"/>
        </w:rPr>
        <w:t>Financial/legal eligibility for its proposed role.</w:t>
      </w:r>
    </w:p>
    <w:p>
      <w:pPr>
        <w:pStyle w:val="ListBullet"/>
      </w:pPr>
      <w:r>
        <w:rPr>
          <w:b w:val="0"/>
        </w:rPr>
        <w:t>A clear scope, budget, deliverables and quality-assurance responsibilities.</w:t>
      </w:r>
    </w:p>
    <w:p>
      <w:r>
        <w:rPr>
          <w:b w:val="0"/>
        </w:rPr>
        <w:t>A letter of support without delivery commitments is insufficient. If considering a public university or statutory institute, clarify its treatment under the Fund’s prohibition on funding government entities before allocating funds.</w:t>
      </w:r>
    </w:p>
    <w:p>
      <w:pPr>
        <w:pStyle w:val="Heading2"/>
      </w:pPr>
      <w:r>
        <w:rPr>
          <w:b w:val="0"/>
        </w:rPr>
        <w:t>Gate D — Can the applicant manage the grant?</w:t>
      </w:r>
    </w:p>
    <w:p>
      <w:r>
        <w:rPr>
          <w:b w:val="0"/>
        </w:rPr>
        <w:t>Review legal registration, authority to operate, governance, accounting, procurement, audited statements, relevant project history, staffing and cash flow. The manual asks for descriptions of at least five recent relevant programmes/projects/activities. Seek clarification where requirements cannot be met; do not invent experience. Funded consortium partners remain subject to applicable eligibility requirements. [6]</w:t>
      </w:r>
    </w:p>
    <w:p>
      <w:bookmarkStart w:id="6" w:name="APFAF_section_6"/>
      <w:pPr>
        <w:pStyle w:val="Heading1"/>
      </w:pPr>
      <w:r>
        <w:t>6. Problem statement: writing instructions</w:t>
      </w:r>
      <w:bookmarkEnd w:id="6"/>
    </w:p>
    <w:p>
      <w:r>
        <w:rPr>
          <w:b w:val="0"/>
        </w:rPr>
        <w:t>Build the problem statement in five short sections:</w:t>
      </w:r>
    </w:p>
    <w:p>
      <w:r>
        <w:rPr>
          <w:b w:val="0"/>
        </w:rPr>
        <w:t xml:space="preserve">1. </w:t>
      </w:r>
      <w:r>
        <w:rPr>
          <w:b/>
        </w:rPr>
        <w:t>Location and people:</w:t>
      </w:r>
      <w:r>
        <w:rPr>
          <w:b w:val="0"/>
        </w:rPr>
        <w:t xml:space="preserve"> identify the area, population and excluded groups using reliable sources.</w:t>
      </w:r>
    </w:p>
    <w:p>
      <w:r>
        <w:rPr>
          <w:b w:val="0"/>
        </w:rPr>
        <w:t xml:space="preserve">2. </w:t>
      </w:r>
      <w:r>
        <w:rPr>
          <w:b/>
        </w:rPr>
        <w:t>Climate risk:</w:t>
      </w:r>
      <w:r>
        <w:rPr>
          <w:b w:val="0"/>
        </w:rPr>
        <w:t xml:space="preserve"> describe the hazard, exposure, vulnerability and available projections.</w:t>
      </w:r>
    </w:p>
    <w:p>
      <w:r>
        <w:rPr>
          <w:b w:val="0"/>
        </w:rPr>
        <w:t xml:space="preserve">3. </w:t>
      </w:r>
      <w:r>
        <w:rPr>
          <w:b/>
        </w:rPr>
        <w:t>Ecosystem function:</w:t>
      </w:r>
      <w:r>
        <w:rPr>
          <w:b w:val="0"/>
        </w:rPr>
        <w:t xml:space="preserve"> explain the relevant service and evidence of its condition.</w:t>
      </w:r>
    </w:p>
    <w:p>
      <w:r>
        <w:rPr>
          <w:b w:val="0"/>
        </w:rPr>
        <w:t xml:space="preserve">4. </w:t>
      </w:r>
      <w:r>
        <w:rPr>
          <w:b/>
        </w:rPr>
        <w:t>Systemic barrier:</w:t>
      </w:r>
      <w:r>
        <w:rPr>
          <w:b w:val="0"/>
        </w:rPr>
        <w:t xml:space="preserve"> identify the specific institutional, knowledge, rights or capacity gap.</w:t>
      </w:r>
    </w:p>
    <w:p>
      <w:r>
        <w:rPr>
          <w:b w:val="0"/>
        </w:rPr>
        <w:t xml:space="preserve">5. </w:t>
      </w:r>
      <w:r>
        <w:rPr>
          <w:b/>
        </w:rPr>
        <w:t>Existing work and additionality:</w:t>
      </w:r>
      <w:r>
        <w:rPr>
          <w:b w:val="0"/>
        </w:rPr>
        <w:t xml:space="preserve"> explain what already exists and what this grant adds without duplicating another project.</w:t>
      </w:r>
    </w:p>
    <w:p>
      <w:pPr>
        <w:pStyle w:val="Heading2"/>
      </w:pPr>
      <w:r>
        <w:rPr>
          <w:b w:val="0"/>
        </w:rPr>
        <w:t>Draft structure</w:t>
      </w:r>
    </w:p>
    <w:p>
      <w:r>
        <w:rPr>
          <w:b w:val="0"/>
        </w:rPr>
        <w:t>“In [location], [source/year] identifies [hazard] affecting [population]. Evidence from [technical source] indicates that [ecosystem/service] plays a relevant role in [adaptation function]. APFAF’s 2024 survey documented [verified finding, with limitations]. However, [named institutions/community structures] currently lack [specific capability, evidence or coordination arrangement], limiting uptake of [technically justified EbA approach]. The proposed project addresses this barrier by [targeted intervention], building on [existing initiative] and creating a pathway for [institutional adoption, continuation or replication].”</w:t>
      </w:r>
    </w:p>
    <w:p>
      <w:r>
        <w:rPr>
          <w:b w:val="0"/>
        </w:rPr>
        <w:t>Avoid using public-health claims beyond the evidence. APFAF’s health mandate establishes organisational relevance, not proof that the proposed ecosystem measures will reduce a particular disease.</w:t>
      </w:r>
    </w:p>
    <w:p>
      <w:bookmarkStart w:id="7" w:name="APFAF_section_7"/>
      <w:pPr>
        <w:pStyle w:val="Heading1"/>
      </w:pPr>
      <w:r>
        <w:t>7. Theory of change</w:t>
      </w:r>
      <w:bookmarkEnd w:id="7"/>
    </w:p>
    <w:p>
      <w:r>
        <w:rPr>
          <w:b w:val="0"/>
        </w:rPr>
      </w:r>
      <w:r>
        <w:rPr>
          <w:b/>
        </w:rPr>
        <w:t>If</w:t>
      </w:r>
      <w:r>
        <w:rPr>
          <w:b w:val="0"/>
        </w:rPr>
        <w:t xml:space="preserve"> communities and responsible institutions gain a shared, technically credible understanding of climate risk and ecosystem services; </w:t>
      </w:r>
      <w:r>
        <w:rPr>
          <w:b/>
        </w:rPr>
        <w:t>and if</w:t>
      </w:r>
      <w:r>
        <w:rPr>
          <w:b w:val="0"/>
        </w:rPr>
        <w:t xml:space="preserve"> they have inclusive, workable management and monitoring arrangements; </w:t>
      </w:r>
      <w:r>
        <w:rPr>
          <w:b/>
        </w:rPr>
        <w:t>then</w:t>
      </w:r>
      <w:r>
        <w:rPr>
          <w:b w:val="0"/>
        </w:rPr>
        <w:t xml:space="preserve"> they can adopt and sustain more appropriate ecosystem-based adaptation practices, </w:t>
      </w:r>
      <w:r>
        <w:rPr>
          <w:b/>
        </w:rPr>
        <w:t>because</w:t>
      </w:r>
      <w:r>
        <w:rPr>
          <w:b w:val="0"/>
        </w:rPr>
        <w:t xml:space="preserve"> the evidence, capacity and accountability barriers currently preventing uptake will have been reduced.</w:t>
      </w:r>
    </w:p>
    <w:p>
      <w:pPr>
        <w:pStyle w:val="Heading2"/>
      </w:pPr>
      <w:r>
        <w:rPr>
          <w:b w:val="0"/>
        </w:rPr>
        <w:t>Assumptions to test</w:t>
      </w:r>
    </w:p>
    <w:p>
      <w:pPr>
        <w:pStyle w:val="ListBullet"/>
      </w:pPr>
      <w:r>
        <w:rPr>
          <w:b w:val="0"/>
        </w:rPr>
        <w:t>Relevant institutions have authority and willingness to use the results.</w:t>
      </w:r>
    </w:p>
    <w:p>
      <w:pPr>
        <w:pStyle w:val="ListBullet"/>
      </w:pPr>
      <w:r>
        <w:rPr>
          <w:b w:val="0"/>
        </w:rPr>
        <w:t>Community participation is voluntary, safe and representative.</w:t>
      </w:r>
    </w:p>
    <w:p>
      <w:pPr>
        <w:pStyle w:val="ListBullet"/>
      </w:pPr>
      <w:r>
        <w:rPr>
          <w:b w:val="0"/>
        </w:rPr>
        <w:t>Proposed measures are ecologically suitable and legally feasible.</w:t>
      </w:r>
    </w:p>
    <w:p>
      <w:pPr>
        <w:pStyle w:val="ListBullet"/>
      </w:pPr>
      <w:r>
        <w:rPr>
          <w:b w:val="0"/>
        </w:rPr>
        <w:t>Tenure and resource-use disputes can be addressed without harmful restrictions.</w:t>
      </w:r>
    </w:p>
    <w:p>
      <w:pPr>
        <w:pStyle w:val="ListBullet"/>
      </w:pPr>
      <w:r>
        <w:rPr>
          <w:b w:val="0"/>
        </w:rPr>
        <w:t>Maintenance responsibilities and continuation resources are realistic.</w:t>
      </w:r>
    </w:p>
    <w:p>
      <w:pPr>
        <w:pStyle w:val="ListBullet"/>
      </w:pPr>
      <w:r>
        <w:rPr>
          <w:b w:val="0"/>
        </w:rPr>
        <w:t>Additional investment can be pursued without assuming it is already secured.</w:t>
      </w:r>
    </w:p>
    <w:p>
      <w:bookmarkStart w:id="8" w:name="APFAF_section_8"/>
      <w:pPr>
        <w:pStyle w:val="Heading1"/>
      </w:pPr>
      <w:r>
        <w:t>8. Proposed results framework</w:t>
      </w:r>
      <w:bookmarkEnd w:id="8"/>
    </w:p>
    <w:p>
      <w:r>
        <w:rPr>
          <w:b w:val="0"/>
        </w:rPr>
        <w:t>The Fund’s manual calls for one outcome, a maximum of four outputs (preferably one or two), and no more than five activities per output. The following uses two outputs and five activities each. [6]</w:t>
      </w:r>
    </w:p>
    <w:p>
      <w:pPr>
        <w:pStyle w:val="Heading2"/>
      </w:pPr>
      <w:r>
        <w:rPr>
          <w:b w:val="0"/>
        </w:rPr>
        <w:t>Long-term contribution</w:t>
      </w:r>
    </w:p>
    <w:p>
      <w:r>
        <w:rPr>
          <w:b w:val="0"/>
        </w:rPr>
        <w:t>More equitable climate resilience supported by functioning ecosystems in the selected Kampala landscape.</w:t>
      </w:r>
    </w:p>
    <w:p>
      <w:r>
        <w:rPr>
          <w:b w:val="0"/>
        </w:rPr>
        <w:t>This is a contribution-level ambition, not a claim of attributable citywide impact during the grant.</w:t>
      </w:r>
    </w:p>
    <w:p>
      <w:pPr>
        <w:pStyle w:val="Heading2"/>
      </w:pPr>
      <w:r>
        <w:rPr>
          <w:b w:val="0"/>
        </w:rPr>
        <w:t>Single project outcome</w:t>
      </w:r>
    </w:p>
    <w:p>
      <w:r>
        <w:rPr>
          <w:b w:val="0"/>
        </w:rPr>
        <w:t>By month 24, participating institutions and community structures have adopted and begun using a rights-based, evidence-informed EbA management and monitoring approach in the selected project area.</w:t>
      </w:r>
    </w:p>
    <w:p>
      <w:r>
        <w:rPr>
          <w:b w:val="0"/>
        </w:rPr>
      </w:r>
      <w:r>
        <w:rPr>
          <w:b/>
        </w:rPr>
        <w:t>Illustrative outcome measures:</w:t>
      </w:r>
      <w:r>
        <w:rPr>
          <w:b w:val="0"/>
        </w:rPr>
      </w:r>
    </w:p>
    <w:p>
      <w:pPr>
        <w:pStyle w:val="ListBullet"/>
      </w:pPr>
      <w:r>
        <w:rPr>
          <w:b w:val="0"/>
        </w:rPr>
        <w:t>At least one relevant management/planning instrument formally adopted and accompanied by evidence of initial use.</w:t>
      </w:r>
    </w:p>
    <w:p>
      <w:pPr>
        <w:pStyle w:val="ListBullet"/>
      </w:pPr>
      <w:r>
        <w:rPr>
          <w:b w:val="0"/>
        </w:rPr>
        <w:t>Responsible bodies assigned and an operational coordination arrangement maintained through the final implementation period.</w:t>
      </w:r>
    </w:p>
    <w:p>
      <w:pPr>
        <w:pStyle w:val="ListBullet"/>
      </w:pPr>
      <w:r>
        <w:rPr>
          <w:b w:val="0"/>
        </w:rPr>
        <w:t>A documented continuation plan with identified owners and evidenced resource commitments, distinguishing secured resources from prospective finance.</w:t>
      </w:r>
    </w:p>
    <w:p>
      <w:r>
        <w:rPr>
          <w:b w:val="0"/>
        </w:rPr>
        <w:t>Targets require agreement with partners and verification of approval processes. If formal adoption is uncertain, agree a realistic milestone and report its actual stage rather than calling a draft “adopted.”</w:t>
      </w:r>
    </w:p>
    <w:p>
      <w:pPr>
        <w:pStyle w:val="Heading2"/>
      </w:pPr>
      <w:r>
        <w:rPr>
          <w:b w:val="0"/>
        </w:rPr>
        <w:t>Output 1 — Practical evidence and implementation capacity established</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Intended deliverable</w:t>
            </w:r>
          </w:p>
        </w:tc>
      </w:tr>
      <w:tr>
        <w:tc>
          <w:tcPr>
            <w:tcW w:type="dxa" w:w="4320"/>
          </w:tcPr>
          <w:p>
            <w:r>
              <w:rPr>
                <w:b w:val="0"/>
              </w:rPr>
              <w:t>1.1 Review the 2024 survey and existing technical evidence; confirm scope</w:t>
            </w:r>
          </w:p>
        </w:tc>
        <w:tc>
          <w:tcPr>
            <w:tcW w:type="dxa" w:w="4320"/>
          </w:tcPr>
          <w:p>
            <w:r>
              <w:rPr>
                <w:b w:val="0"/>
              </w:rPr>
              <w:t>Evidence inventory, limitations note and site-selection justification</w:t>
            </w:r>
          </w:p>
        </w:tc>
      </w:tr>
      <w:tr>
        <w:tc>
          <w:tcPr>
            <w:tcW w:type="dxa" w:w="4320"/>
          </w:tcPr>
          <w:p>
            <w:r>
              <w:rPr>
                <w:b w:val="0"/>
              </w:rPr>
              <w:t>1.2 Undertake participatory climate-risk, ecosystem-service and vulnerability assessment</w:t>
            </w:r>
          </w:p>
        </w:tc>
        <w:tc>
          <w:tcPr>
            <w:tcW w:type="dxa" w:w="4320"/>
          </w:tcPr>
          <w:p>
            <w:r>
              <w:rPr>
                <w:b w:val="0"/>
              </w:rPr>
              <w:t>Technically reviewed assessment, maps and baseline</w:t>
            </w:r>
          </w:p>
        </w:tc>
      </w:tr>
      <w:tr>
        <w:tc>
          <w:tcPr>
            <w:tcW w:type="dxa" w:w="4320"/>
          </w:tcPr>
          <w:p>
            <w:r>
              <w:rPr>
                <w:b w:val="0"/>
              </w:rPr>
              <w:t>1.3 Analyse governance, rights, gender and stakeholder roles</w:t>
            </w:r>
          </w:p>
        </w:tc>
        <w:tc>
          <w:tcPr>
            <w:tcW w:type="dxa" w:w="4320"/>
          </w:tcPr>
          <w:p>
            <w:r>
              <w:rPr>
                <w:b w:val="0"/>
              </w:rPr>
              <w:t>Barrier analysis and inclusion/safeguards recommendations</w:t>
            </w:r>
          </w:p>
        </w:tc>
      </w:tr>
      <w:tr>
        <w:tc>
          <w:tcPr>
            <w:tcW w:type="dxa" w:w="4320"/>
          </w:tcPr>
          <w:p>
            <w:r>
              <w:rPr>
                <w:b w:val="0"/>
              </w:rPr>
              <w:t>1.4 Co-design and deliver targeted practitioner/community capacity-building</w:t>
            </w:r>
          </w:p>
        </w:tc>
        <w:tc>
          <w:tcPr>
            <w:tcW w:type="dxa" w:w="4320"/>
          </w:tcPr>
          <w:p>
            <w:r>
              <w:rPr>
                <w:b w:val="0"/>
              </w:rPr>
              <w:t>Practical training package, participant records and demonstrated learning/application</w:t>
            </w:r>
          </w:p>
        </w:tc>
      </w:tr>
      <w:tr>
        <w:tc>
          <w:tcPr>
            <w:tcW w:type="dxa" w:w="4320"/>
          </w:tcPr>
          <w:p>
            <w:r>
              <w:rPr>
                <w:b w:val="0"/>
              </w:rPr>
              <w:t>1.5 Validate the proposed management approach through technical review and, only if necessary, limited demonstration</w:t>
            </w:r>
          </w:p>
        </w:tc>
        <w:tc>
          <w:tcPr>
            <w:tcW w:type="dxa" w:w="4320"/>
          </w:tcPr>
          <w:p>
            <w:r>
              <w:rPr>
                <w:b w:val="0"/>
              </w:rPr>
              <w:t>Tested guidance and validation report</w:t>
            </w:r>
          </w:p>
        </w:tc>
      </w:tr>
    </w:tbl>
    <w:p/>
    <w:p>
      <w:r>
        <w:rPr>
          <w:b w:val="0"/>
        </w:rPr>
      </w:r>
      <w:r>
        <w:rPr>
          <w:b/>
        </w:rPr>
        <w:t>Indicative output measures:</w:t>
      </w:r>
      <w:r>
        <w:rPr>
          <w:b w:val="0"/>
        </w:rPr>
        <w:t xml:space="preserve"> one integrated assessment; one usable guidance package; a costed, realistic training target disaggregated appropriately; evidence that intended users can apply the guidance.</w:t>
      </w:r>
    </w:p>
    <w:p>
      <w:pPr>
        <w:pStyle w:val="Heading2"/>
      </w:pPr>
      <w:r>
        <w:rPr>
          <w:b w:val="0"/>
        </w:rPr>
        <w:t>Output 2 — Inclusive institutional adoption and continuation arrangements operational</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Intended deliverable</w:t>
            </w:r>
          </w:p>
        </w:tc>
      </w:tr>
      <w:tr>
        <w:tc>
          <w:tcPr>
            <w:tcW w:type="dxa" w:w="4320"/>
          </w:tcPr>
          <w:p>
            <w:r>
              <w:rPr>
                <w:b w:val="0"/>
              </w:rPr>
              <w:t>2.1 Strengthen an existing coordination body, or establish one only where needed</w:t>
            </w:r>
          </w:p>
        </w:tc>
        <w:tc>
          <w:tcPr>
            <w:tcW w:type="dxa" w:w="4320"/>
          </w:tcPr>
          <w:p>
            <w:r>
              <w:rPr>
                <w:b w:val="0"/>
              </w:rPr>
              <w:t>Mandate, membership, meeting procedures and responsibilities</w:t>
            </w:r>
          </w:p>
        </w:tc>
      </w:tr>
      <w:tr>
        <w:tc>
          <w:tcPr>
            <w:tcW w:type="dxa" w:w="4320"/>
          </w:tcPr>
          <w:p>
            <w:r>
              <w:rPr>
                <w:b w:val="0"/>
              </w:rPr>
              <w:t>2.2 Co-develop and advance the management/planning instrument through the appropriate process</w:t>
            </w:r>
          </w:p>
        </w:tc>
        <w:tc>
          <w:tcPr>
            <w:tcW w:type="dxa" w:w="4320"/>
          </w:tcPr>
          <w:p>
            <w:r>
              <w:rPr>
                <w:b w:val="0"/>
              </w:rPr>
              <w:t>Instrument with documented consultation and approval status</w:t>
            </w:r>
          </w:p>
        </w:tc>
      </w:tr>
      <w:tr>
        <w:tc>
          <w:tcPr>
            <w:tcW w:type="dxa" w:w="4320"/>
          </w:tcPr>
          <w:p>
            <w:r>
              <w:rPr>
                <w:b w:val="0"/>
              </w:rPr>
              <w:t>2.3 Establish and use an EbA monitoring and learning instrument</w:t>
            </w:r>
          </w:p>
        </w:tc>
        <w:tc>
          <w:tcPr>
            <w:tcW w:type="dxa" w:w="4320"/>
          </w:tcPr>
          <w:p>
            <w:r>
              <w:rPr>
                <w:b w:val="0"/>
              </w:rPr>
              <w:t>Operational monitoring protocol, data ownership and maintenance arrangements</w:t>
            </w:r>
          </w:p>
        </w:tc>
      </w:tr>
      <w:tr>
        <w:tc>
          <w:tcPr>
            <w:tcW w:type="dxa" w:w="4320"/>
          </w:tcPr>
          <w:p>
            <w:r>
              <w:rPr>
                <w:b w:val="0"/>
              </w:rPr>
              <w:t>2.4 Prepare a costed continuation and replication pathway</w:t>
            </w:r>
          </w:p>
        </w:tc>
        <w:tc>
          <w:tcPr>
            <w:tcW w:type="dxa" w:w="4320"/>
          </w:tcPr>
          <w:p>
            <w:r>
              <w:rPr>
                <w:b w:val="0"/>
              </w:rPr>
              <w:t>Implementation responsibilities, resource needs and financing engagement records</w:t>
            </w:r>
          </w:p>
        </w:tc>
      </w:tr>
      <w:tr>
        <w:tc>
          <w:tcPr>
            <w:tcW w:type="dxa" w:w="4320"/>
          </w:tcPr>
          <w:p>
            <w:r>
              <w:rPr>
                <w:b w:val="0"/>
              </w:rPr>
              <w:t>2.5 Document results, support uptake and complete handover</w:t>
            </w:r>
          </w:p>
        </w:tc>
        <w:tc>
          <w:tcPr>
            <w:tcW w:type="dxa" w:w="4320"/>
          </w:tcPr>
          <w:p>
            <w:r>
              <w:rPr>
                <w:b w:val="0"/>
              </w:rPr>
              <w:t>Lessons package, handover records and continuation commitments</w:t>
            </w:r>
          </w:p>
        </w:tc>
      </w:tr>
    </w:tbl>
    <w:p/>
    <w:p>
      <w:r>
        <w:rPr>
          <w:b w:val="0"/>
        </w:rPr>
      </w:r>
      <w:r>
        <w:rPr>
          <w:b/>
        </w:rPr>
        <w:t>Indicative output measures:</w:t>
      </w:r>
      <w:r>
        <w:rPr>
          <w:b w:val="0"/>
        </w:rPr>
        <w:t xml:space="preserve"> one operational coordination mechanism; one monitoring instrument in use; one costed continuation plan; documented evidence of institutional uptake.</w:t>
      </w:r>
    </w:p>
    <w:p>
      <w:pPr>
        <w:pStyle w:val="Heading2"/>
      </w:pPr>
      <w:r>
        <w:rPr>
          <w:b w:val="0"/>
        </w:rPr>
        <w:t>Core Indicator Framework alignment</w:t>
      </w:r>
    </w:p>
    <w:p>
      <w:r>
        <w:rPr>
          <w:b w:val="0"/>
        </w:rPr>
        <w:t>Potential indicators are:</w:t>
      </w:r>
    </w:p>
    <w:p>
      <w:pPr>
        <w:pStyle w:val="ListBullet"/>
      </w:pPr>
      <w:r>
        <w:rPr>
          <w:b w:val="0"/>
        </w:rPr>
      </w:r>
      <w:r>
        <w:rPr>
          <w:b/>
        </w:rPr>
        <w:t>Indicator 1:</w:t>
      </w:r>
      <w:r>
        <w:rPr>
          <w:b w:val="0"/>
        </w:rPr>
        <w:t xml:space="preserve"> policies or policy instruments developed or influenced.</w:t>
      </w:r>
    </w:p>
    <w:p>
      <w:pPr>
        <w:pStyle w:val="ListBullet"/>
      </w:pPr>
      <w:r>
        <w:rPr>
          <w:b w:val="0"/>
        </w:rPr>
      </w:r>
      <w:r>
        <w:rPr>
          <w:b/>
        </w:rPr>
        <w:t>Indicator 2:</w:t>
      </w:r>
      <w:r>
        <w:rPr>
          <w:b w:val="0"/>
        </w:rPr>
        <w:t xml:space="preserve"> new or improved institutionalised coordination mechanisms.</w:t>
      </w:r>
    </w:p>
    <w:p>
      <w:pPr>
        <w:pStyle w:val="ListBullet"/>
      </w:pPr>
      <w:r>
        <w:rPr>
          <w:b w:val="0"/>
        </w:rPr>
      </w:r>
      <w:r>
        <w:rPr>
          <w:b/>
        </w:rPr>
        <w:t>Indicator 3:</w:t>
      </w:r>
      <w:r>
        <w:rPr>
          <w:b w:val="0"/>
        </w:rPr>
        <w:t xml:space="preserve"> monitoring, evaluation and learning instruments introduced or improved.</w:t>
      </w:r>
    </w:p>
    <w:p>
      <w:r>
        <w:rPr>
          <w:b w:val="0"/>
        </w:rPr>
        <w:t>At least three relevant core indicators are required. Confirm exact definitions in the official framework and retain them in the final logframe. A workshop is not an institutionalised mechanism; a research report is not automatically a policy instrument. Do not count the same deliverable under multiple indicators. Establish baselines, targets, verification sources, reporting frequency and a responsible officer for every project indicator. [7]</w:t>
      </w:r>
    </w:p>
    <w:p>
      <w:bookmarkStart w:id="9" w:name="APFAF_section_9"/>
      <w:pPr>
        <w:pStyle w:val="Heading1"/>
      </w:pPr>
      <w:r>
        <w:t>9. Partner and governance structure</w:t>
      </w:r>
      <w:bookmarkEnd w:id="9"/>
    </w:p>
    <w:tbl>
      <w:tblPr>
        <w:tblStyle w:val="LightShading-Accent1"/>
        <w:tblW w:type="auto" w:w="0"/>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Proposed responsibilities</w:t>
            </w:r>
          </w:p>
        </w:tc>
      </w:tr>
      <w:tr>
        <w:tc>
          <w:tcPr>
            <w:tcW w:type="dxa" w:w="4320"/>
          </w:tcPr>
          <w:p>
            <w:r>
              <w:rPr>
                <w:b w:val="0"/>
              </w:rPr>
              <w:t>Lead applicant</w:t>
            </w:r>
          </w:p>
        </w:tc>
        <w:tc>
          <w:tcPr>
            <w:tcW w:type="dxa" w:w="4320"/>
          </w:tcPr>
          <w:p>
            <w:r>
              <w:rPr>
                <w:b w:val="0"/>
              </w:rPr>
              <w:t>Contract, financial control, consolidated reporting, compliance and risk ownership</w:t>
            </w:r>
          </w:p>
        </w:tc>
      </w:tr>
      <w:tr>
        <w:tc>
          <w:tcPr>
            <w:tcW w:type="dxa" w:w="4320"/>
          </w:tcPr>
          <w:p>
            <w:r>
              <w:rPr>
                <w:b w:val="0"/>
              </w:rPr>
              <w:t>APFAF</w:t>
            </w:r>
          </w:p>
        </w:tc>
        <w:tc>
          <w:tcPr>
            <w:tcW w:type="dxa" w:w="4320"/>
          </w:tcPr>
          <w:p>
            <w:r>
              <w:rPr>
                <w:b w:val="0"/>
              </w:rPr>
              <w:t>Community engagement, rights and inclusion analysis, advocacy, capacity-building and accountability</w:t>
            </w:r>
          </w:p>
        </w:tc>
      </w:tr>
      <w:tr>
        <w:tc>
          <w:tcPr>
            <w:tcW w:type="dxa" w:w="4320"/>
          </w:tcPr>
          <w:p>
            <w:r>
              <w:rPr>
                <w:b w:val="0"/>
              </w:rPr>
              <w:t>Technical partner</w:t>
            </w:r>
          </w:p>
        </w:tc>
        <w:tc>
          <w:tcPr>
            <w:tcW w:type="dxa" w:w="4320"/>
          </w:tcPr>
          <w:p>
            <w:r>
              <w:rPr>
                <w:b w:val="0"/>
              </w:rPr>
              <w:t>Climate/ecosystem assessment, design quality, technical baseline, validation and specialist monitoring</w:t>
            </w:r>
          </w:p>
        </w:tc>
      </w:tr>
      <w:tr>
        <w:tc>
          <w:tcPr>
            <w:tcW w:type="dxa" w:w="4320"/>
          </w:tcPr>
          <w:p>
            <w:r>
              <w:rPr>
                <w:b w:val="0"/>
              </w:rPr>
              <w:t>Local community organisations</w:t>
            </w:r>
          </w:p>
        </w:tc>
        <w:tc>
          <w:tcPr>
            <w:tcW w:type="dxa" w:w="4320"/>
          </w:tcPr>
          <w:p>
            <w:r>
              <w:rPr>
                <w:b w:val="0"/>
              </w:rPr>
              <w:t>Co-design, representation, local knowledge, feedback and continuity</w:t>
            </w:r>
          </w:p>
        </w:tc>
      </w:tr>
      <w:tr>
        <w:tc>
          <w:tcPr>
            <w:tcW w:type="dxa" w:w="4320"/>
          </w:tcPr>
          <w:p>
            <w:r>
              <w:rPr>
                <w:b w:val="0"/>
              </w:rPr>
              <w:t>Relevant public institutions</w:t>
            </w:r>
          </w:p>
        </w:tc>
        <w:tc>
          <w:tcPr>
            <w:tcW w:type="dxa" w:w="4320"/>
          </w:tcPr>
          <w:p>
            <w:r>
              <w:rPr>
                <w:b w:val="0"/>
              </w:rPr>
              <w:t>Technical/planning engagement, institutional adoption and integration within their mandates, without receiving prohibited grant transfers</w:t>
            </w:r>
          </w:p>
        </w:tc>
      </w:tr>
    </w:tbl>
    <w:p/>
    <w:p>
      <w:r>
        <w:rPr>
          <w:b w:val="0"/>
        </w:rPr>
        <w:t>Partners are not confirmed by this brief. Obtain mandates or agreements specifying roles, outputs, budgets, data ownership, safeguarding, dispute resolution and post-project responsibilities.</w:t>
      </w:r>
    </w:p>
    <w:p>
      <w:r>
        <w:rPr>
          <w:b w:val="0"/>
        </w:rPr>
        <w:t>Government collaboration is encouraged, but direct grants or sub-grants to government entities are prohibited. Obtain written guidance on ambiguous participation costs rather than assuming all such costs are eligible. [4,6]</w:t>
      </w:r>
    </w:p>
    <w:p>
      <w:bookmarkStart w:id="10" w:name="APFAF_section_10"/>
      <w:pPr>
        <w:pStyle w:val="Heading1"/>
      </w:pPr>
      <w:r>
        <w:t>10. Safeguards, rights and inclusion</w:t>
      </w:r>
      <w:bookmarkEnd w:id="10"/>
    </w:p>
    <w:p>
      <w:r>
        <w:rPr>
          <w:b w:val="0"/>
        </w:rPr>
        <w:t>Budget and design for meaningful participation rather than attendance alone.</w:t>
      </w:r>
    </w:p>
    <w:p>
      <w:r>
        <w:rPr>
          <w:b w:val="0"/>
        </w:rPr>
        <w:t>Minimum considerations:</w:t>
      </w:r>
    </w:p>
    <w:p>
      <w:pPr>
        <w:pStyle w:val="ListBullet"/>
      </w:pPr>
      <w:r>
        <w:rPr>
          <w:b w:val="0"/>
        </w:rPr>
        <w:t>Transparent selection of community representatives, including groups vulnerable to exclusion.</w:t>
      </w:r>
    </w:p>
    <w:p>
      <w:pPr>
        <w:pStyle w:val="ListBullet"/>
      </w:pPr>
      <w:r>
        <w:rPr>
          <w:b w:val="0"/>
        </w:rPr>
        <w:t>Accessible formats, appropriate languages and practical arrangements supporting participation.</w:t>
      </w:r>
    </w:p>
    <w:p>
      <w:pPr>
        <w:pStyle w:val="ListBullet"/>
      </w:pPr>
      <w:r>
        <w:rPr>
          <w:b w:val="0"/>
        </w:rPr>
        <w:t>Gender analysis and prevention of harassment, exploitation and gender-based violence.</w:t>
      </w:r>
    </w:p>
    <w:p>
      <w:pPr>
        <w:pStyle w:val="ListBullet"/>
      </w:pPr>
      <w:r>
        <w:rPr>
          <w:b w:val="0"/>
        </w:rPr>
        <w:t>Confidential, accessible complaints and referral channels.</w:t>
      </w:r>
    </w:p>
    <w:p>
      <w:pPr>
        <w:pStyle w:val="ListBullet"/>
      </w:pPr>
      <w:r>
        <w:rPr>
          <w:b w:val="0"/>
        </w:rPr>
        <w:t>Protection of health information, geolocation and other sensitive personal data.</w:t>
      </w:r>
    </w:p>
    <w:p>
      <w:pPr>
        <w:pStyle w:val="ListBullet"/>
      </w:pPr>
      <w:r>
        <w:rPr>
          <w:b w:val="0"/>
        </w:rPr>
        <w:t>Appropriate consent and safeguarding if children or young people participate.</w:t>
      </w:r>
    </w:p>
    <w:p>
      <w:pPr>
        <w:pStyle w:val="ListBullet"/>
      </w:pPr>
      <w:r>
        <w:rPr>
          <w:b w:val="0"/>
        </w:rPr>
        <w:t>Respect for tenure, customary use and livelihood access; no coercive displacement or harmful enforcement activity.</w:t>
      </w:r>
    </w:p>
    <w:p>
      <w:pPr>
        <w:pStyle w:val="ListBullet"/>
      </w:pPr>
      <w:r>
        <w:rPr>
          <w:b w:val="0"/>
        </w:rPr>
        <w:t>Upstream/downstream and neighbouring-community impacts.</w:t>
      </w:r>
    </w:p>
    <w:p>
      <w:pPr>
        <w:pStyle w:val="ListBullet"/>
      </w:pPr>
      <w:r>
        <w:rPr>
          <w:b w:val="0"/>
        </w:rPr>
        <w:t>Ecological suitability, invasive-species risks and safe fieldwork.</w:t>
      </w:r>
    </w:p>
    <w:p>
      <w:pPr>
        <w:pStyle w:val="ListBullet"/>
      </w:pPr>
      <w:r>
        <w:rPr>
          <w:b w:val="0"/>
        </w:rPr>
        <w:t>Free, prior and informed consent where applicable to Indigenous Peoples.</w:t>
      </w:r>
    </w:p>
    <w:p>
      <w:r>
        <w:rPr>
          <w:b w:val="0"/>
        </w:rPr>
        <w:t>Avoid publishing information that could expose informal residents to eviction or retaliation. The Fund excludes projects classified as high risk under its environmental and social screening. The shortlisted-stage questionnaire should be informed by safeguards work undertaken during design, not treated as a late administrative formality. [6]</w:t>
      </w:r>
    </w:p>
    <w:p>
      <w:bookmarkStart w:id="11" w:name="APFAF_section_11"/>
      <w:pPr>
        <w:pStyle w:val="Heading1"/>
      </w:pPr>
      <w:r>
        <w:t>11. Implementation sequence</w:t>
      </w:r>
      <w:bookmarkEnd w:id="11"/>
    </w:p>
    <w:tbl>
      <w:tblPr>
        <w:tblStyle w:val="LightShading-Accent1"/>
        <w:tblW w:type="auto" w:w="0"/>
        <w:tblLook w:firstColumn="1" w:firstRow="1" w:lastColumn="0" w:lastRow="0" w:noHBand="0" w:noVBand="1" w:val="04A0"/>
      </w:tblPr>
      <w:tblGrid>
        <w:gridCol w:w="4320"/>
        <w:gridCol w:w="4320"/>
      </w:tblGrid>
      <w:tr>
        <w:tc>
          <w:tcPr>
            <w:tcW w:type="dxa" w:w="4320"/>
          </w:tcPr>
          <w:p>
            <w:r>
              <w:rPr>
                <w:b/>
              </w:rPr>
              <w:t>Period</w:t>
            </w:r>
          </w:p>
        </w:tc>
        <w:tc>
          <w:tcPr>
            <w:tcW w:type="dxa" w:w="4320"/>
          </w:tcPr>
          <w:p>
            <w:r>
              <w:rPr>
                <w:b/>
              </w:rPr>
              <w:t>Main emphasis</w:t>
            </w:r>
          </w:p>
        </w:tc>
      </w:tr>
      <w:tr>
        <w:tc>
          <w:tcPr>
            <w:tcW w:type="dxa" w:w="4320"/>
          </w:tcPr>
          <w:p>
            <w:r>
              <w:rPr>
                <w:b w:val="0"/>
              </w:rPr>
              <w:t>Before submission</w:t>
            </w:r>
          </w:p>
        </w:tc>
        <w:tc>
          <w:tcPr>
            <w:tcW w:type="dxa" w:w="4320"/>
          </w:tcPr>
          <w:p>
            <w:r>
              <w:rPr>
                <w:b w:val="0"/>
              </w:rPr>
              <w:t>Confirm eligibility, survey credibility, preliminary climate/ecosystem evidence, local support and technical partnership</w:t>
            </w:r>
          </w:p>
        </w:tc>
      </w:tr>
      <w:tr>
        <w:tc>
          <w:tcPr>
            <w:tcW w:type="dxa" w:w="4320"/>
          </w:tcPr>
          <w:p>
            <w:r>
              <w:rPr>
                <w:b w:val="0"/>
              </w:rPr>
              <w:t>Months 1–3</w:t>
            </w:r>
          </w:p>
        </w:tc>
        <w:tc>
          <w:tcPr>
            <w:tcW w:type="dxa" w:w="4320"/>
          </w:tcPr>
          <w:p>
            <w:r>
              <w:rPr>
                <w:b w:val="0"/>
              </w:rPr>
              <w:t>Inception, refined baseline, stakeholder agreements, safeguards and detailed assessment planning</w:t>
            </w:r>
          </w:p>
        </w:tc>
      </w:tr>
      <w:tr>
        <w:tc>
          <w:tcPr>
            <w:tcW w:type="dxa" w:w="4320"/>
          </w:tcPr>
          <w:p>
            <w:r>
              <w:rPr>
                <w:b w:val="0"/>
              </w:rPr>
              <w:t>Months 4–6</w:t>
            </w:r>
          </w:p>
        </w:tc>
        <w:tc>
          <w:tcPr>
            <w:tcW w:type="dxa" w:w="4320"/>
          </w:tcPr>
          <w:p>
            <w:r>
              <w:rPr>
                <w:b w:val="0"/>
              </w:rPr>
              <w:t>Integrated assessments and co-design of guidance, management arrangements and monitoring</w:t>
            </w:r>
          </w:p>
        </w:tc>
      </w:tr>
      <w:tr>
        <w:tc>
          <w:tcPr>
            <w:tcW w:type="dxa" w:w="4320"/>
          </w:tcPr>
          <w:p>
            <w:r>
              <w:rPr>
                <w:b w:val="0"/>
              </w:rPr>
              <w:t>Months 7–12</w:t>
            </w:r>
          </w:p>
        </w:tc>
        <w:tc>
          <w:tcPr>
            <w:tcW w:type="dxa" w:w="4320"/>
          </w:tcPr>
          <w:p>
            <w:r>
              <w:rPr>
                <w:b w:val="0"/>
              </w:rPr>
              <w:t>Capacity-building, justified validation and institutional drafting/engagement</w:t>
            </w:r>
          </w:p>
        </w:tc>
      </w:tr>
      <w:tr>
        <w:tc>
          <w:tcPr>
            <w:tcW w:type="dxa" w:w="4320"/>
          </w:tcPr>
          <w:p>
            <w:r>
              <w:rPr>
                <w:b w:val="0"/>
              </w:rPr>
              <w:t>Months 13–18</w:t>
            </w:r>
          </w:p>
        </w:tc>
        <w:tc>
          <w:tcPr>
            <w:tcW w:type="dxa" w:w="4320"/>
          </w:tcPr>
          <w:p>
            <w:r>
              <w:rPr>
                <w:b w:val="0"/>
              </w:rPr>
              <w:t>Use and refinement of coordination/monitoring arrangements; advance adoption; engage continuation partners</w:t>
            </w:r>
          </w:p>
        </w:tc>
      </w:tr>
      <w:tr>
        <w:tc>
          <w:tcPr>
            <w:tcW w:type="dxa" w:w="4320"/>
          </w:tcPr>
          <w:p>
            <w:r>
              <w:rPr>
                <w:b w:val="0"/>
              </w:rPr>
              <w:t>Months 19–24</w:t>
            </w:r>
          </w:p>
        </w:tc>
        <w:tc>
          <w:tcPr>
            <w:tcW w:type="dxa" w:w="4320"/>
          </w:tcPr>
          <w:p>
            <w:r>
              <w:rPr>
                <w:b w:val="0"/>
              </w:rPr>
              <w:t>Verify uptake, complete handover, document learning and finalise continuation arrangements</w:t>
            </w:r>
          </w:p>
        </w:tc>
      </w:tr>
    </w:tbl>
    <w:p/>
    <w:p>
      <w:r>
        <w:rPr>
          <w:b w:val="0"/>
        </w:rPr>
        <w:t>A detailed inception assessment is acceptable as project work, but the application must already show enough evidence to justify its climate-adaptation pathway. Do not postpone all concept validation until after award.</w:t>
      </w:r>
    </w:p>
    <w:p>
      <w:bookmarkStart w:id="12" w:name="APFAF_section_12"/>
      <w:pPr>
        <w:pStyle w:val="Heading1"/>
      </w:pPr>
      <w:r>
        <w:t>12. Illustrative budget envelope</w:t>
      </w:r>
      <w:bookmarkEnd w:id="12"/>
    </w:p>
    <w:p>
      <w:r>
        <w:rPr>
          <w:b w:val="0"/>
        </w:rPr>
      </w:r>
      <w:r>
        <w:rPr>
          <w:b/>
        </w:rPr>
        <w:t>Planning total: USD 230,000 over 24 months.</w:t>
      </w:r>
      <w:r>
        <w:rPr>
          <w:b w:val="0"/>
        </w:rPr>
        <w:t xml:space="preserve"> This is not a recommended allocation until local costs, staffing and partner scopes are checked. Translate all lines into the official budget template with unit costs and activity links.</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Planning category</w:t>
            </w:r>
          </w:p>
        </w:tc>
        <w:tc>
          <w:tcPr>
            <w:tcW w:type="dxa" w:w="4320"/>
          </w:tcPr>
          <w:p>
            <w:r>
              <w:rPr>
                <w:b/>
              </w:rPr>
              <w:t>USD</w:t>
            </w:r>
          </w:p>
        </w:tc>
      </w:tr>
      <w:tr>
        <w:tc>
          <w:tcPr>
            <w:tcW w:type="dxa" w:w="4320"/>
          </w:tcPr>
          <w:p>
            <w:r>
              <w:rPr>
                <w:b w:val="0"/>
              </w:rPr>
              <w:t>Project personnel and coordination, with documented time allocation</w:t>
            </w:r>
          </w:p>
        </w:tc>
        <w:tc>
          <w:tcPr>
            <w:tcW w:type="dxa" w:w="4320"/>
          </w:tcPr>
          <w:p>
            <w:r>
              <w:rPr>
                <w:b w:val="0"/>
              </w:rPr>
              <w:t>52,000</w:t>
            </w:r>
          </w:p>
        </w:tc>
      </w:tr>
      <w:tr>
        <w:tc>
          <w:tcPr>
            <w:tcW w:type="dxa" w:w="4320"/>
          </w:tcPr>
          <w:p>
            <w:r>
              <w:rPr>
                <w:b w:val="0"/>
              </w:rPr>
              <w:t>Specialist climate, ecosystem and governance assessments</w:t>
            </w:r>
          </w:p>
        </w:tc>
        <w:tc>
          <w:tcPr>
            <w:tcW w:type="dxa" w:w="4320"/>
          </w:tcPr>
          <w:p>
            <w:r>
              <w:rPr>
                <w:b w:val="0"/>
              </w:rPr>
              <w:t>42,000</w:t>
            </w:r>
          </w:p>
        </w:tc>
      </w:tr>
      <w:tr>
        <w:tc>
          <w:tcPr>
            <w:tcW w:type="dxa" w:w="4320"/>
          </w:tcPr>
          <w:p>
            <w:r>
              <w:rPr>
                <w:b w:val="0"/>
              </w:rPr>
              <w:t>Community co-design, inclusion and targeted capacity-building</w:t>
            </w:r>
          </w:p>
        </w:tc>
        <w:tc>
          <w:tcPr>
            <w:tcW w:type="dxa" w:w="4320"/>
          </w:tcPr>
          <w:p>
            <w:r>
              <w:rPr>
                <w:b w:val="0"/>
              </w:rPr>
              <w:t>30,000</w:t>
            </w:r>
          </w:p>
        </w:tc>
      </w:tr>
      <w:tr>
        <w:tc>
          <w:tcPr>
            <w:tcW w:type="dxa" w:w="4320"/>
          </w:tcPr>
          <w:p>
            <w:r>
              <w:rPr>
                <w:b w:val="0"/>
              </w:rPr>
              <w:t>Limited technical validation/demonstration, only if justified and approved</w:t>
            </w:r>
          </w:p>
        </w:tc>
        <w:tc>
          <w:tcPr>
            <w:tcW w:type="dxa" w:w="4320"/>
          </w:tcPr>
          <w:p>
            <w:r>
              <w:rPr>
                <w:b w:val="0"/>
              </w:rPr>
              <w:t>15,000</w:t>
            </w:r>
          </w:p>
        </w:tc>
      </w:tr>
      <w:tr>
        <w:tc>
          <w:tcPr>
            <w:tcW w:type="dxa" w:w="4320"/>
          </w:tcPr>
          <w:p>
            <w:r>
              <w:rPr>
                <w:b w:val="0"/>
              </w:rPr>
              <w:t>Institutional uptake, guidance and coordination support</w:t>
            </w:r>
          </w:p>
        </w:tc>
        <w:tc>
          <w:tcPr>
            <w:tcW w:type="dxa" w:w="4320"/>
          </w:tcPr>
          <w:p>
            <w:r>
              <w:rPr>
                <w:b w:val="0"/>
              </w:rPr>
              <w:t>22,000</w:t>
            </w:r>
          </w:p>
        </w:tc>
      </w:tr>
      <w:tr>
        <w:tc>
          <w:tcPr>
            <w:tcW w:type="dxa" w:w="4320"/>
          </w:tcPr>
          <w:p>
            <w:r>
              <w:rPr>
                <w:b w:val="0"/>
              </w:rPr>
              <w:t>Monitoring, evaluation, data management and learning</w:t>
            </w:r>
          </w:p>
        </w:tc>
        <w:tc>
          <w:tcPr>
            <w:tcW w:type="dxa" w:w="4320"/>
          </w:tcPr>
          <w:p>
            <w:r>
              <w:rPr>
                <w:b w:val="0"/>
              </w:rPr>
              <w:t>22,000</w:t>
            </w:r>
          </w:p>
        </w:tc>
      </w:tr>
      <w:tr>
        <w:tc>
          <w:tcPr>
            <w:tcW w:type="dxa" w:w="4320"/>
          </w:tcPr>
          <w:p>
            <w:r>
              <w:rPr>
                <w:b w:val="0"/>
              </w:rPr>
              <w:t>Safeguards, accessibility, complaints and specialist support</w:t>
            </w:r>
          </w:p>
        </w:tc>
        <w:tc>
          <w:tcPr>
            <w:tcW w:type="dxa" w:w="4320"/>
          </w:tcPr>
          <w:p>
            <w:r>
              <w:rPr>
                <w:b w:val="0"/>
              </w:rPr>
              <w:t>12,000</w:t>
            </w:r>
          </w:p>
        </w:tc>
      </w:tr>
      <w:tr>
        <w:tc>
          <w:tcPr>
            <w:tcW w:type="dxa" w:w="4320"/>
          </w:tcPr>
          <w:p>
            <w:r>
              <w:rPr>
                <w:b w:val="0"/>
              </w:rPr>
              <w:t>Local travel and field logistics</w:t>
            </w:r>
          </w:p>
        </w:tc>
        <w:tc>
          <w:tcPr>
            <w:tcW w:type="dxa" w:w="4320"/>
          </w:tcPr>
          <w:p>
            <w:r>
              <w:rPr>
                <w:b w:val="0"/>
              </w:rPr>
              <w:t>15,000</w:t>
            </w:r>
          </w:p>
        </w:tc>
      </w:tr>
      <w:tr>
        <w:tc>
          <w:tcPr>
            <w:tcW w:type="dxa" w:w="4320"/>
          </w:tcPr>
          <w:p>
            <w:r>
              <w:rPr>
                <w:b w:val="0"/>
              </w:rPr>
              <w:t>External project audit</w:t>
            </w:r>
          </w:p>
        </w:tc>
        <w:tc>
          <w:tcPr>
            <w:tcW w:type="dxa" w:w="4320"/>
          </w:tcPr>
          <w:p>
            <w:r>
              <w:rPr>
                <w:b w:val="0"/>
              </w:rPr>
              <w:t>6,000</w:t>
            </w:r>
          </w:p>
        </w:tc>
      </w:tr>
      <w:tr>
        <w:tc>
          <w:tcPr>
            <w:tcW w:type="dxa" w:w="4320"/>
          </w:tcPr>
          <w:p>
            <w:r>
              <w:rPr>
                <w:b w:val="0"/>
              </w:rPr>
              <w:t>Necessary project-attributable administration and communications</w:t>
            </w:r>
          </w:p>
        </w:tc>
        <w:tc>
          <w:tcPr>
            <w:tcW w:type="dxa" w:w="4320"/>
          </w:tcPr>
          <w:p>
            <w:r>
              <w:rPr>
                <w:b w:val="0"/>
              </w:rPr>
              <w:t>14,000</w:t>
            </w:r>
          </w:p>
        </w:tc>
      </w:tr>
      <w:tr>
        <w:tc>
          <w:tcPr>
            <w:tcW w:type="dxa" w:w="4320"/>
          </w:tcPr>
          <w:p>
            <w:r>
              <w:rPr>
                <w:b w:val="0"/>
              </w:rPr>
            </w:r>
            <w:r>
              <w:rPr>
                <w:b/>
              </w:rPr>
              <w:t>Total</w:t>
            </w:r>
            <w:r>
              <w:rPr>
                <w:b w:val="0"/>
              </w:rPr>
            </w:r>
          </w:p>
        </w:tc>
        <w:tc>
          <w:tcPr>
            <w:tcW w:type="dxa" w:w="4320"/>
          </w:tcPr>
          <w:p>
            <w:r>
              <w:rPr>
                <w:b w:val="0"/>
              </w:rPr>
            </w:r>
            <w:r>
              <w:rPr>
                <w:b/>
              </w:rPr>
              <w:t>230,000</w:t>
            </w:r>
            <w:r>
              <w:rPr>
                <w:b w:val="0"/>
              </w:rPr>
            </w:r>
          </w:p>
        </w:tc>
      </w:tr>
    </w:tbl>
    <w:p/>
    <w:p>
      <w:pPr>
        <w:pStyle w:val="Heading2"/>
      </w:pPr>
      <w:r>
        <w:rPr>
          <w:b w:val="0"/>
        </w:rPr>
        <w:t>Budget controls</w:t>
      </w:r>
    </w:p>
    <w:p>
      <w:pPr>
        <w:pStyle w:val="ListBullet"/>
      </w:pPr>
      <w:r>
        <w:rPr>
          <w:b w:val="0"/>
        </w:rPr>
        <w:t>Avoid double-counting staff, consultancy, training and travel costs across lines.</w:t>
      </w:r>
    </w:p>
    <w:p>
      <w:pPr>
        <w:pStyle w:val="ListBullet"/>
      </w:pPr>
      <w:r>
        <w:rPr>
          <w:b w:val="0"/>
        </w:rPr>
        <w:t>Check template guidance for applicable cost limits; this brief does not establish an overhead allowance.</w:t>
      </w:r>
    </w:p>
    <w:p>
      <w:pPr>
        <w:pStyle w:val="ListBullet"/>
      </w:pPr>
      <w:r>
        <w:rPr>
          <w:b w:val="0"/>
        </w:rPr>
        <w:t>Reassign or remove the demonstration allocation if field validation is unnecessary.</w:t>
      </w:r>
    </w:p>
    <w:p>
      <w:pPr>
        <w:pStyle w:val="ListBullet"/>
      </w:pPr>
      <w:r>
        <w:rPr>
          <w:b w:val="0"/>
        </w:rPr>
        <w:t>Do not include seed-grant schemes, prohibited transfers, unrelated service delivery or unsupported expenses.</w:t>
      </w:r>
    </w:p>
    <w:p>
      <w:pPr>
        <w:pStyle w:val="ListBullet"/>
      </w:pPr>
      <w:r>
        <w:rPr>
          <w:b w:val="0"/>
        </w:rPr>
        <w:t>Include the required external audit and realistic reporting costs.</w:t>
      </w:r>
    </w:p>
    <w:p>
      <w:pPr>
        <w:pStyle w:val="ListBullet"/>
      </w:pPr>
      <w:r>
        <w:rPr>
          <w:b w:val="0"/>
        </w:rPr>
        <w:t>Do not assume proposal-preparation expenses will be reimbursed.</w:t>
      </w:r>
    </w:p>
    <w:p>
      <w:pPr>
        <w:pStyle w:val="ListBullet"/>
      </w:pPr>
      <w:r>
        <w:rPr>
          <w:b w:val="0"/>
        </w:rPr>
        <w:t>Record any co-financing accurately; the manual does not make it mandatory.</w:t>
      </w:r>
    </w:p>
    <w:p>
      <w:r>
        <w:rPr>
          <w:b w:val="0"/>
        </w:rPr>
        <w:t>The manual describes an initial 30% disbursement, subsequent disbursements subject to reporting and expenditure conditions, and a final withholding of at least 10% pending acceptance of final financial and audit reporting. Model the resulting cash-flow needs before choosing the grant amount. Final contractual terms govern. [6]</w:t>
      </w:r>
    </w:p>
    <w:p>
      <w:bookmarkStart w:id="13" w:name="APFAF_section_13"/>
      <w:pPr>
        <w:pStyle w:val="Heading1"/>
      </w:pPr>
      <w:r>
        <w:t>13. Sustainability and exit strategy</w:t>
      </w:r>
      <w:bookmarkEnd w:id="13"/>
    </w:p>
    <w:p>
      <w:r>
        <w:rPr>
          <w:b w:val="0"/>
        </w:rPr>
        <w:t>Start the exit strategy at inception. For each result, specify an owner, continuing function, resource source and handover evidence.</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rPr>
                <w:b/>
              </w:rPr>
              <w:t>Continuation question</w:t>
            </w:r>
          </w:p>
        </w:tc>
      </w:tr>
      <w:tr>
        <w:tc>
          <w:tcPr>
            <w:tcW w:type="dxa" w:w="4320"/>
          </w:tcPr>
          <w:p>
            <w:r>
              <w:rPr>
                <w:b w:val="0"/>
              </w:rPr>
              <w:t>Assessment and maps</w:t>
            </w:r>
          </w:p>
        </w:tc>
        <w:tc>
          <w:tcPr>
            <w:tcW w:type="dxa" w:w="4320"/>
          </w:tcPr>
          <w:p>
            <w:r>
              <w:rPr>
                <w:b w:val="0"/>
              </w:rPr>
              <w:t>Who stores, updates and uses the information?</w:t>
            </w:r>
          </w:p>
        </w:tc>
      </w:tr>
      <w:tr>
        <w:tc>
          <w:tcPr>
            <w:tcW w:type="dxa" w:w="4320"/>
          </w:tcPr>
          <w:p>
            <w:r>
              <w:rPr>
                <w:b w:val="0"/>
              </w:rPr>
              <w:t>Practitioner guidance</w:t>
            </w:r>
          </w:p>
        </w:tc>
        <w:tc>
          <w:tcPr>
            <w:tcW w:type="dxa" w:w="4320"/>
          </w:tcPr>
          <w:p>
            <w:r>
              <w:rPr>
                <w:b w:val="0"/>
              </w:rPr>
              <w:t>Which institution incorporates it into regular training or procedures?</w:t>
            </w:r>
          </w:p>
        </w:tc>
      </w:tr>
      <w:tr>
        <w:tc>
          <w:tcPr>
            <w:tcW w:type="dxa" w:w="4320"/>
          </w:tcPr>
          <w:p>
            <w:r>
              <w:rPr>
                <w:b w:val="0"/>
              </w:rPr>
              <w:t>Coordination mechanism</w:t>
            </w:r>
          </w:p>
        </w:tc>
        <w:tc>
          <w:tcPr>
            <w:tcW w:type="dxa" w:w="4320"/>
          </w:tcPr>
          <w:p>
            <w:r>
              <w:rPr>
                <w:b w:val="0"/>
              </w:rPr>
              <w:t>Who convenes it, and how are recurring costs covered?</w:t>
            </w:r>
          </w:p>
        </w:tc>
      </w:tr>
      <w:tr>
        <w:tc>
          <w:tcPr>
            <w:tcW w:type="dxa" w:w="4320"/>
          </w:tcPr>
          <w:p>
            <w:r>
              <w:rPr>
                <w:b w:val="0"/>
              </w:rPr>
              <w:t>Management instrument</w:t>
            </w:r>
          </w:p>
        </w:tc>
        <w:tc>
          <w:tcPr>
            <w:tcW w:type="dxa" w:w="4320"/>
          </w:tcPr>
          <w:p>
            <w:r>
              <w:rPr>
                <w:b w:val="0"/>
              </w:rPr>
              <w:t>Who implements it within an established mandate?</w:t>
            </w:r>
          </w:p>
        </w:tc>
      </w:tr>
      <w:tr>
        <w:tc>
          <w:tcPr>
            <w:tcW w:type="dxa" w:w="4320"/>
          </w:tcPr>
          <w:p>
            <w:r>
              <w:rPr>
                <w:b w:val="0"/>
              </w:rPr>
              <w:t>Monitoring system</w:t>
            </w:r>
          </w:p>
        </w:tc>
        <w:tc>
          <w:tcPr>
            <w:tcW w:type="dxa" w:w="4320"/>
          </w:tcPr>
          <w:p>
            <w:r>
              <w:rPr>
                <w:b w:val="0"/>
              </w:rPr>
              <w:t>Who collects data, maintains tools and acts on findings?</w:t>
            </w:r>
          </w:p>
        </w:tc>
      </w:tr>
      <w:tr>
        <w:tc>
          <w:tcPr>
            <w:tcW w:type="dxa" w:w="4320"/>
          </w:tcPr>
          <w:p>
            <w:r>
              <w:rPr>
                <w:b w:val="0"/>
              </w:rPr>
              <w:t>Any demonstration</w:t>
            </w:r>
          </w:p>
        </w:tc>
        <w:tc>
          <w:tcPr>
            <w:tcW w:type="dxa" w:w="4320"/>
          </w:tcPr>
          <w:p>
            <w:r>
              <w:rPr>
                <w:b w:val="0"/>
              </w:rPr>
              <w:t>Who owns, maintains and finances it?</w:t>
            </w:r>
          </w:p>
        </w:tc>
      </w:tr>
    </w:tbl>
    <w:p/>
    <w:p>
      <w:r>
        <w:rPr>
          <w:b w:val="0"/>
        </w:rPr>
        <w:t>Distinguish signed commitments, proposed budget allocations and exploratory donor conversations. Do not describe a funding pipeline as secured investment.</w:t>
      </w:r>
    </w:p>
    <w:p>
      <w:bookmarkStart w:id="14" w:name="APFAF_section_14"/>
      <w:pPr>
        <w:pStyle w:val="Heading1"/>
      </w:pPr>
      <w:r>
        <w:t>14. Evidence and writing assignments</w:t>
      </w:r>
      <w:bookmarkEnd w:id="14"/>
    </w:p>
    <w:tbl>
      <w:tblPr>
        <w:tblStyle w:val="LightShading-Accent1"/>
        <w:tblW w:type="auto" w:w="0"/>
        <w:tblLook w:firstColumn="1" w:firstRow="1" w:lastColumn="0" w:lastRow="0" w:noHBand="0" w:noVBand="1" w:val="04A0"/>
      </w:tblPr>
      <w:tblGrid>
        <w:gridCol w:w="2880"/>
        <w:gridCol w:w="2880"/>
        <w:gridCol w:w="2880"/>
      </w:tblGrid>
      <w:tr>
        <w:tc>
          <w:tcPr>
            <w:tcW w:type="dxa" w:w="2880"/>
          </w:tcPr>
          <w:p>
            <w:r>
              <w:rPr>
                <w:b/>
              </w:rPr>
              <w:t>Workstream</w:t>
            </w:r>
          </w:p>
        </w:tc>
        <w:tc>
          <w:tcPr>
            <w:tcW w:type="dxa" w:w="2880"/>
          </w:tcPr>
          <w:p>
            <w:r>
              <w:rPr>
                <w:b/>
              </w:rPr>
              <w:t>Lead role</w:t>
            </w:r>
          </w:p>
        </w:tc>
        <w:tc>
          <w:tcPr>
            <w:tcW w:type="dxa" w:w="2880"/>
          </w:tcPr>
          <w:p>
            <w:r>
              <w:rPr>
                <w:b/>
              </w:rPr>
              <w:t>Material required</w:t>
            </w:r>
          </w:p>
        </w:tc>
      </w:tr>
      <w:tr>
        <w:tc>
          <w:tcPr>
            <w:tcW w:type="dxa" w:w="2880"/>
          </w:tcPr>
          <w:p>
            <w:r>
              <w:rPr>
                <w:b w:val="0"/>
              </w:rPr>
              <w:t>Organisational eligibility</w:t>
            </w:r>
          </w:p>
        </w:tc>
        <w:tc>
          <w:tcPr>
            <w:tcW w:type="dxa" w:w="2880"/>
          </w:tcPr>
          <w:p>
            <w:r>
              <w:rPr>
                <w:b w:val="0"/>
              </w:rPr>
              <w:t>APFAF management/finance</w:t>
            </w:r>
          </w:p>
        </w:tc>
        <w:tc>
          <w:tcPr>
            <w:tcW w:type="dxa" w:w="2880"/>
          </w:tcPr>
          <w:p>
            <w:r>
              <w:rPr>
                <w:b w:val="0"/>
              </w:rPr>
              <w:t>Registration, governing documents, legal authority, budgets, financial records, controls and project history</w:t>
            </w:r>
          </w:p>
        </w:tc>
      </w:tr>
      <w:tr>
        <w:tc>
          <w:tcPr>
            <w:tcW w:type="dxa" w:w="2880"/>
          </w:tcPr>
          <w:p>
            <w:r>
              <w:rPr>
                <w:b w:val="0"/>
              </w:rPr>
              <w:t>2024 survey review</w:t>
            </w:r>
          </w:p>
        </w:tc>
        <w:tc>
          <w:tcPr>
            <w:tcW w:type="dxa" w:w="2880"/>
          </w:tcPr>
          <w:p>
            <w:r>
              <w:rPr>
                <w:b w:val="0"/>
              </w:rPr>
              <w:t>Research lead</w:t>
            </w:r>
          </w:p>
        </w:tc>
        <w:tc>
          <w:tcPr>
            <w:tcW w:type="dxa" w:w="2880"/>
          </w:tcPr>
          <w:p>
            <w:r>
              <w:rPr>
                <w:b w:val="0"/>
              </w:rPr>
              <w:t>Report, tools, data, permissions, methodology and limitations</w:t>
            </w:r>
          </w:p>
        </w:tc>
      </w:tr>
      <w:tr>
        <w:tc>
          <w:tcPr>
            <w:tcW w:type="dxa" w:w="2880"/>
          </w:tcPr>
          <w:p>
            <w:r>
              <w:rPr>
                <w:b w:val="0"/>
              </w:rPr>
              <w:t>Climate/ecosystem rationale</w:t>
            </w:r>
          </w:p>
        </w:tc>
        <w:tc>
          <w:tcPr>
            <w:tcW w:type="dxa" w:w="2880"/>
          </w:tcPr>
          <w:p>
            <w:r>
              <w:rPr>
                <w:b w:val="0"/>
              </w:rPr>
              <w:t>Technical partner</w:t>
            </w:r>
          </w:p>
        </w:tc>
        <w:tc>
          <w:tcPr>
            <w:tcW w:type="dxa" w:w="2880"/>
          </w:tcPr>
          <w:p>
            <w:r>
              <w:rPr>
                <w:b w:val="0"/>
              </w:rPr>
              <w:t>Hazard evidence, ecosystem-service assessment, location justification and sources</w:t>
            </w:r>
          </w:p>
        </w:tc>
      </w:tr>
      <w:tr>
        <w:tc>
          <w:tcPr>
            <w:tcW w:type="dxa" w:w="2880"/>
          </w:tcPr>
          <w:p>
            <w:r>
              <w:rPr>
                <w:b w:val="0"/>
              </w:rPr>
              <w:t>Local ownership</w:t>
            </w:r>
          </w:p>
        </w:tc>
        <w:tc>
          <w:tcPr>
            <w:tcW w:type="dxa" w:w="2880"/>
          </w:tcPr>
          <w:p>
            <w:r>
              <w:rPr>
                <w:b w:val="0"/>
              </w:rPr>
              <w:t>Community-engagement lead</w:t>
            </w:r>
          </w:p>
        </w:tc>
        <w:tc>
          <w:tcPr>
            <w:tcW w:type="dxa" w:w="2880"/>
          </w:tcPr>
          <w:p>
            <w:r>
              <w:rPr>
                <w:b w:val="0"/>
              </w:rPr>
              <w:t>Consultation records, concerns, representation arrangements and partner commitments</w:t>
            </w:r>
          </w:p>
        </w:tc>
      </w:tr>
      <w:tr>
        <w:tc>
          <w:tcPr>
            <w:tcW w:type="dxa" w:w="2880"/>
          </w:tcPr>
          <w:p>
            <w:r>
              <w:rPr>
                <w:b w:val="0"/>
              </w:rPr>
              <w:t>Theory of change/logframe</w:t>
            </w:r>
          </w:p>
        </w:tc>
        <w:tc>
          <w:tcPr>
            <w:tcW w:type="dxa" w:w="2880"/>
          </w:tcPr>
          <w:p>
            <w:r>
              <w:rPr>
                <w:b w:val="0"/>
              </w:rPr>
              <w:t>Proposal lead and technical partner</w:t>
            </w:r>
          </w:p>
        </w:tc>
        <w:tc>
          <w:tcPr>
            <w:tcW w:type="dxa" w:w="2880"/>
          </w:tcPr>
          <w:p>
            <w:r>
              <w:rPr>
                <w:b w:val="0"/>
              </w:rPr>
              <w:t>One outcome, two outputs, indicators, baselines, targets, assumptions and verification sources</w:t>
            </w:r>
          </w:p>
        </w:tc>
      </w:tr>
      <w:tr>
        <w:tc>
          <w:tcPr>
            <w:tcW w:type="dxa" w:w="2880"/>
          </w:tcPr>
          <w:p>
            <w:r>
              <w:rPr>
                <w:b w:val="0"/>
              </w:rPr>
              <w:t>Gender and safeguards</w:t>
            </w:r>
          </w:p>
        </w:tc>
        <w:tc>
          <w:tcPr>
            <w:tcW w:type="dxa" w:w="2880"/>
          </w:tcPr>
          <w:p>
            <w:r>
              <w:rPr>
                <w:b w:val="0"/>
              </w:rPr>
              <w:t>Rights/safeguards lead</w:t>
            </w:r>
          </w:p>
        </w:tc>
        <w:tc>
          <w:tcPr>
            <w:tcW w:type="dxa" w:w="2880"/>
          </w:tcPr>
          <w:p>
            <w:r>
              <w:rPr>
                <w:b w:val="0"/>
              </w:rPr>
              <w:t>Risk analysis, inclusion measures, complaints arrangements and budget provisions</w:t>
            </w:r>
          </w:p>
        </w:tc>
      </w:tr>
      <w:tr>
        <w:tc>
          <w:tcPr>
            <w:tcW w:type="dxa" w:w="2880"/>
          </w:tcPr>
          <w:p>
            <w:r>
              <w:rPr>
                <w:b w:val="0"/>
              </w:rPr>
              <w:t>Budget/cash flow</w:t>
            </w:r>
          </w:p>
        </w:tc>
        <w:tc>
          <w:tcPr>
            <w:tcW w:type="dxa" w:w="2880"/>
          </w:tcPr>
          <w:p>
            <w:r>
              <w:rPr>
                <w:b w:val="0"/>
              </w:rPr>
              <w:t>Finance lead</w:t>
            </w:r>
          </w:p>
        </w:tc>
        <w:tc>
          <w:tcPr>
            <w:tcW w:type="dxa" w:w="2880"/>
          </w:tcPr>
          <w:p>
            <w:r>
              <w:rPr>
                <w:b w:val="0"/>
              </w:rPr>
              <w:t>Unit costs, staff allocations, partner budgets, audit quotation/estimate and cash-flow model</w:t>
            </w:r>
          </w:p>
        </w:tc>
      </w:tr>
      <w:tr>
        <w:tc>
          <w:tcPr>
            <w:tcW w:type="dxa" w:w="2880"/>
          </w:tcPr>
          <w:p>
            <w:r>
              <w:rPr>
                <w:b w:val="0"/>
              </w:rPr>
              <w:t>Institutional adoption</w:t>
            </w:r>
          </w:p>
        </w:tc>
        <w:tc>
          <w:tcPr>
            <w:tcW w:type="dxa" w:w="2880"/>
          </w:tcPr>
          <w:p>
            <w:r>
              <w:rPr>
                <w:b w:val="0"/>
              </w:rPr>
              <w:t>Advocacy/legal lead</w:t>
            </w:r>
          </w:p>
        </w:tc>
        <w:tc>
          <w:tcPr>
            <w:tcW w:type="dxa" w:w="2880"/>
          </w:tcPr>
          <w:p>
            <w:r>
              <w:rPr>
                <w:b w:val="0"/>
              </w:rPr>
              <w:t>Relevant mandates, approval pathway, letters and continuation responsibilities</w:t>
            </w:r>
          </w:p>
        </w:tc>
      </w:tr>
      <w:tr>
        <w:tc>
          <w:tcPr>
            <w:tcW w:type="dxa" w:w="2880"/>
          </w:tcPr>
          <w:p>
            <w:r>
              <w:rPr>
                <w:b w:val="0"/>
              </w:rPr>
              <w:t>Final quality assurance</w:t>
            </w:r>
          </w:p>
        </w:tc>
        <w:tc>
          <w:tcPr>
            <w:tcW w:type="dxa" w:w="2880"/>
          </w:tcPr>
          <w:p>
            <w:r>
              <w:rPr>
                <w:b w:val="0"/>
              </w:rPr>
              <w:t>Independent reviewer or uninvolved senior staff</w:t>
            </w:r>
          </w:p>
        </w:tc>
        <w:tc>
          <w:tcPr>
            <w:tcW w:type="dxa" w:w="2880"/>
          </w:tcPr>
          <w:p>
            <w:r>
              <w:rPr>
                <w:b w:val="0"/>
              </w:rPr>
              <w:t>Eligibility checklist; narrative–logframe–budget consistency; evidence and citation review</w:t>
            </w:r>
          </w:p>
        </w:tc>
      </w:tr>
    </w:tbl>
    <w:p/>
    <w:p>
      <w:pPr>
        <w:pStyle w:val="Heading2"/>
      </w:pPr>
      <w:r>
        <w:rPr>
          <w:b w:val="0"/>
        </w:rPr>
        <w:t>Questions to answer before drafting the final narrative</w:t>
      </w:r>
    </w:p>
    <w:p>
      <w:r>
        <w:rPr>
          <w:b w:val="0"/>
        </w:rPr>
        <w:t>1. Which exact location and ecosystem are proposed, and why?</w:t>
      </w:r>
    </w:p>
    <w:p>
      <w:r>
        <w:rPr>
          <w:b w:val="0"/>
        </w:rPr>
        <w:t>2. What does the 2024 survey actually demonstrate?</w:t>
      </w:r>
    </w:p>
    <w:p>
      <w:r>
        <w:rPr>
          <w:b w:val="0"/>
        </w:rPr>
        <w:t>3. Which climate hazard is supported by credible evidence?</w:t>
      </w:r>
    </w:p>
    <w:p>
      <w:r>
        <w:rPr>
          <w:b w:val="0"/>
        </w:rPr>
        <w:t>4. What specific barrier prevents EbA uptake?</w:t>
      </w:r>
    </w:p>
    <w:p>
      <w:r>
        <w:rPr>
          <w:b w:val="0"/>
        </w:rPr>
        <w:t>5. What existing initiative will this project strengthen?</w:t>
      </w:r>
    </w:p>
    <w:p>
      <w:r>
        <w:rPr>
          <w:b w:val="0"/>
        </w:rPr>
        <w:t>6. Who has authority to adopt and use the results?</w:t>
      </w:r>
    </w:p>
    <w:p>
      <w:r>
        <w:rPr>
          <w:b w:val="0"/>
        </w:rPr>
        <w:t>7. What can APFAF demonstrate from previous delivery?</w:t>
      </w:r>
    </w:p>
    <w:p>
      <w:r>
        <w:rPr>
          <w:b w:val="0"/>
        </w:rPr>
        <w:t>8. Which partner fills each technical gap?</w:t>
      </w:r>
    </w:p>
    <w:p>
      <w:r>
        <w:rPr>
          <w:b w:val="0"/>
        </w:rPr>
        <w:t>9. What changes by month 24, beyond meetings and reports?</w:t>
      </w:r>
    </w:p>
    <w:p>
      <w:r>
        <w:rPr>
          <w:b w:val="0"/>
        </w:rPr>
        <w:t>10. Who sustains each result and pays the continuing costs?</w:t>
      </w:r>
    </w:p>
    <w:p>
      <w:bookmarkStart w:id="15" w:name="APFAF_section_15"/>
      <w:pPr>
        <w:pStyle w:val="Heading1"/>
      </w:pPr>
      <w:r>
        <w:t>15. Application preparation and deadline plan</w:t>
      </w:r>
      <w:bookmarkEnd w:id="15"/>
    </w:p>
    <w:p>
      <w:r>
        <w:rPr>
          <w:b w:val="0"/>
        </w:rPr>
        <w:t xml:space="preserve">The published small-grant submission window is </w:t>
      </w:r>
      <w:r>
        <w:rPr>
          <w:b/>
        </w:rPr>
        <w:t>28 September–26 October 2026</w:t>
      </w:r>
      <w:r>
        <w:rPr>
          <w:b w:val="0"/>
        </w:rPr>
        <w:t>. The webpage says up to 24 months; the detailed call specifies 18–24 months. A 24-month design satisfies both descriptions. Confirm the exact closing time/time zone, current portal requirements and any updates before submission. [4,5]</w:t>
      </w:r>
    </w:p>
    <w:p>
      <w:r>
        <w:rPr>
          <w:b w:val="0"/>
        </w:rPr>
        <w:t>Suggested internal schedule:</w:t>
      </w:r>
    </w:p>
    <w:p>
      <w:pPr>
        <w:pStyle w:val="ListBullet"/>
      </w:pPr>
      <w:r>
        <w:rPr>
          <w:b w:val="0"/>
        </w:rPr>
      </w:r>
      <w:r>
        <w:rPr>
          <w:b/>
        </w:rPr>
        <w:t>10–13 October:</w:t>
      </w:r>
      <w:r>
        <w:rPr>
          <w:b w:val="0"/>
        </w:rPr>
        <w:t xml:space="preserve"> evidence and eligibility gates; partner decision; site and concept confirmation.</w:t>
      </w:r>
    </w:p>
    <w:p>
      <w:pPr>
        <w:pStyle w:val="ListBullet"/>
      </w:pPr>
      <w:r>
        <w:rPr>
          <w:b w:val="0"/>
        </w:rPr>
      </w:r>
      <w:r>
        <w:rPr>
          <w:b/>
        </w:rPr>
        <w:t>14–18 October:</w:t>
      </w:r>
      <w:r>
        <w:rPr>
          <w:b w:val="0"/>
        </w:rPr>
        <w:t xml:space="preserve"> narrative, preliminary consultations, theory of change, activities and first budget.</w:t>
      </w:r>
    </w:p>
    <w:p>
      <w:pPr>
        <w:pStyle w:val="ListBullet"/>
      </w:pPr>
      <w:r>
        <w:rPr>
          <w:b w:val="0"/>
        </w:rPr>
      </w:r>
      <w:r>
        <w:rPr>
          <w:b/>
        </w:rPr>
        <w:t>19–21 October:</w:t>
      </w:r>
      <w:r>
        <w:rPr>
          <w:b w:val="0"/>
        </w:rPr>
        <w:t xml:space="preserve"> technical/safeguards review, mandates, financial documents and internal approval.</w:t>
      </w:r>
    </w:p>
    <w:p>
      <w:pPr>
        <w:pStyle w:val="ListBullet"/>
      </w:pPr>
      <w:r>
        <w:rPr>
          <w:b w:val="0"/>
        </w:rPr>
      </w:r>
      <w:r>
        <w:rPr>
          <w:b/>
        </w:rPr>
        <w:t>22–23 October:</w:t>
      </w:r>
      <w:r>
        <w:rPr>
          <w:b w:val="0"/>
        </w:rPr>
        <w:t xml:space="preserve"> portal entry, attachment checks and early submission if complete.</w:t>
      </w:r>
    </w:p>
    <w:p>
      <w:pPr>
        <w:pStyle w:val="ListBullet"/>
      </w:pPr>
      <w:r>
        <w:rPr>
          <w:b w:val="0"/>
        </w:rPr>
      </w:r>
      <w:r>
        <w:rPr>
          <w:b/>
        </w:rPr>
        <w:t>Before 26 October:</w:t>
      </w:r>
      <w:r>
        <w:rPr>
          <w:b w:val="0"/>
        </w:rPr>
        <w:t xml:space="preserve"> resolve submission issues and retain confirmation.</w:t>
      </w:r>
    </w:p>
    <w:p>
      <w:r>
        <w:rPr>
          <w:b w:val="0"/>
        </w:rPr>
        <w:t>Prepare the current application form, Theory of Change/Logframe/Activities form, Excel budget, signed Applicant Declaration, co-applicant mandate where applicable, due-diligence questionnaire, constitutive/registration documents and key personnel CVs. The manual distinguishes initial documents from remaining supporting material and safeguards information requested at shortlisting; follow the live portal. Documents must be in English or accompanied by English translations. [4,6]</w:t>
      </w:r>
    </w:p>
    <w:p>
      <w:r>
        <w:rPr>
          <w:b w:val="0"/>
        </w:rPr>
      </w:r>
      <w:r>
        <w:rPr>
          <w:b/>
        </w:rPr>
        <w:t>Official small-grant portal:</w:t>
      </w:r>
      <w:r>
        <w:rPr>
          <w:b w:val="0"/>
        </w:rPr>
        <w:t xml:space="preserve"> https://gms-portal.iucn.org/public/calls/6e62954d-c139-430b-b4ad-75d11a6ed4a5</w:t>
      </w:r>
    </w:p>
    <w:p>
      <w:r>
        <w:rPr>
          <w:b w:val="0"/>
        </w:rPr>
      </w:r>
      <w:r>
        <w:rPr>
          <w:b/>
        </w:rPr>
        <w:t>Secretariat enquiries:</w:t>
      </w:r>
      <w:r>
        <w:rPr>
          <w:b w:val="0"/>
        </w:rPr>
        <w:t xml:space="preserve"> contact.EbAFund@iucn.org</w:t>
      </w:r>
    </w:p>
    <w:p>
      <w:bookmarkStart w:id="16" w:name="APFAF_section_16"/>
      <w:pPr>
        <w:pStyle w:val="Heading1"/>
      </w:pPr>
      <w:r>
        <w:t>16. Final review and go/no-go decision</w:t>
      </w:r>
      <w:bookmarkEnd w:id="16"/>
    </w:p>
    <w:p>
      <w:r>
        <w:rPr>
          <w:b w:val="0"/>
        </w:rPr>
        <w:t>The team should approve submission only if all critical conditions are satisfied:</w:t>
      </w:r>
    </w:p>
    <w:p>
      <w:pPr>
        <w:pStyle w:val="ListBullet"/>
      </w:pPr>
      <w:r>
        <w:rPr>
          <w:b w:val="0"/>
        </w:rPr>
        <w:t>[ ] Correct legal applicant and eligible funded partners.</w:t>
      </w:r>
    </w:p>
    <w:p>
      <w:pPr>
        <w:pStyle w:val="ListBullet"/>
      </w:pPr>
      <w:r>
        <w:rPr>
          <w:b w:val="0"/>
        </w:rPr>
        <w:t>[ ] Credible existing work, accurately described.</w:t>
      </w:r>
    </w:p>
    <w:p>
      <w:pPr>
        <w:pStyle w:val="ListBullet"/>
      </w:pPr>
      <w:r>
        <w:rPr>
          <w:b w:val="0"/>
        </w:rPr>
        <w:t>[ ] Specific climate hazard, ecosystem service and vulnerable population.</w:t>
      </w:r>
    </w:p>
    <w:p>
      <w:pPr>
        <w:pStyle w:val="ListBullet"/>
      </w:pPr>
      <w:r>
        <w:rPr>
          <w:b w:val="0"/>
        </w:rPr>
        <w:t>[ ] Technically supported adaptation pathway.</w:t>
      </w:r>
    </w:p>
    <w:p>
      <w:pPr>
        <w:pStyle w:val="ListBullet"/>
      </w:pPr>
      <w:r>
        <w:rPr>
          <w:b w:val="0"/>
        </w:rPr>
        <w:t>[ ] A clear barrier-removal purpose, not primarily field implementation.</w:t>
      </w:r>
    </w:p>
    <w:p>
      <w:pPr>
        <w:pStyle w:val="ListBullet"/>
      </w:pPr>
      <w:r>
        <w:rPr>
          <w:b w:val="0"/>
        </w:rPr>
        <w:t>[ ] Committed technical personnel and local partners.</w:t>
      </w:r>
    </w:p>
    <w:p>
      <w:pPr>
        <w:pStyle w:val="ListBullet"/>
      </w:pPr>
      <w:r>
        <w:rPr>
          <w:b w:val="0"/>
        </w:rPr>
        <w:t>[ ] Meaningful community input and manageable safeguards risks.</w:t>
      </w:r>
    </w:p>
    <w:p>
      <w:pPr>
        <w:pStyle w:val="ListBullet"/>
      </w:pPr>
      <w:r>
        <w:rPr>
          <w:b w:val="0"/>
        </w:rPr>
        <w:t>[ ] One selected strategic objective and compliant pillar selections.</w:t>
      </w:r>
    </w:p>
    <w:p>
      <w:pPr>
        <w:pStyle w:val="ListBullet"/>
      </w:pPr>
      <w:r>
        <w:rPr>
          <w:b w:val="0"/>
        </w:rPr>
        <w:t>[ ] Focused outcome/outputs and at least three relevant core indicators.</w:t>
      </w:r>
    </w:p>
    <w:p>
      <w:pPr>
        <w:pStyle w:val="ListBullet"/>
      </w:pPr>
      <w:r>
        <w:rPr>
          <w:b w:val="0"/>
        </w:rPr>
        <w:t>[ ] Realistic budget, audit provision and cash flow.</w:t>
      </w:r>
    </w:p>
    <w:p>
      <w:pPr>
        <w:pStyle w:val="ListBullet"/>
      </w:pPr>
      <w:r>
        <w:rPr>
          <w:b w:val="0"/>
        </w:rPr>
        <w:t>[ ] Credible institutional uptake and post-project ownership.</w:t>
      </w:r>
    </w:p>
    <w:p>
      <w:pPr>
        <w:pStyle w:val="ListBullet"/>
      </w:pPr>
      <w:r>
        <w:rPr>
          <w:b w:val="0"/>
        </w:rPr>
        <w:t>[ ] All required signatures, attachments and portal fields complete.</w:t>
      </w:r>
    </w:p>
    <w:p>
      <w:r>
        <w:rPr>
          <w:b w:val="0"/>
        </w:rPr>
      </w:r>
      <w:r>
        <w:rPr>
          <w:b/>
        </w:rPr>
        <w:t>If the survey or partnership fails validation:</w:t>
      </w:r>
      <w:r>
        <w:rPr>
          <w:b w:val="0"/>
        </w:rPr>
        <w:t xml:space="preserve"> pause this Kampala concept. Consider a substantive partnership in another verified existing EbA initiative, or prepare for a future opportunity. Do not relabel general environmental activity as ecosystem-based adaptation merely to meet the deadline.</w:t>
      </w:r>
    </w:p>
    <w:p>
      <w:bookmarkStart w:id="17" w:name="APFAF_section_17"/>
      <w:pPr>
        <w:pStyle w:val="Heading1"/>
      </w:pPr>
      <w:r>
        <w:t>17. Source register</w:t>
      </w:r>
      <w:bookmarkEnd w:id="17"/>
    </w:p>
    <w:p>
      <w:r>
        <w:rPr>
          <w:b w:val="0"/>
        </w:rPr>
        <w:t>Official pages and documents reviewed for this brief and the preceding research. Recheck current versions before submission. APFAF’s pages are organisational self-descriptions, not independent verification of outcomes.</w:t>
      </w:r>
    </w:p>
    <w:p>
      <w:r>
        <w:rPr>
          <w:b w:val="0"/>
        </w:rPr>
        <w:t>1. APFAF — About: https://apenforafrica.org/about/</w:t>
      </w:r>
    </w:p>
    <w:p>
      <w:r>
        <w:rPr>
          <w:b w:val="0"/>
        </w:rPr>
        <w:t>2. APFAF — Home: https://apenforafrica.org/</w:t>
      </w:r>
    </w:p>
    <w:p>
      <w:r>
        <w:rPr>
          <w:b w:val="0"/>
        </w:rPr>
        <w:t>3. APFAF — Projects: https://apenforafrica.org/projects/</w:t>
      </w:r>
    </w:p>
    <w:p>
      <w:r>
        <w:rPr>
          <w:b w:val="0"/>
        </w:rPr>
        <w:t>4. Global EbA Fund — Small-size grants, eligibility, package and FAQ: https://globalebafund.org/small-size-grants/</w:t>
      </w:r>
    </w:p>
    <w:p>
      <w:r>
        <w:rPr>
          <w:b w:val="0"/>
        </w:rPr>
        <w:t>5. Small-size Call for Proposals, August 2026: https://globalebafund.org/wp-content/uploads/2026/08/Global-EbA-Fund_Small-size-grants-Call-for-Proposals.pdf</w:t>
      </w:r>
    </w:p>
    <w:p>
      <w:r>
        <w:rPr>
          <w:b w:val="0"/>
        </w:rPr>
        <w:t>6. Grants Procedure Manual, August 2026: https://globalebafund.org/wp-content/uploads/2026/08/Global-EbA-Fund-Grants-Procedure-Manual.pdf</w:t>
      </w:r>
    </w:p>
    <w:p>
      <w:r>
        <w:rPr>
          <w:b w:val="0"/>
        </w:rPr>
        <w:t>7. Core Indicator Framework, August 2026: https://globalebafund.org/wp-content/uploads/2026/08/Global-EbA-Fund-Core-Indicator-Framework_August-2026.pdf</w:t>
      </w:r>
    </w:p>
    <w:p>
      <w:r>
        <w:t>8. Global EbA Fund — Medium-size grants: https://globalebafund.org/medium-size-grants/</w:t>
      </w:r>
    </w:p>
    <w:p>
      <w:r>
        <w:t>9. Global EbA Fund — USD 7.5 million announcement: https://globalebafund.org/news/the-global-eba-fund-announces-usd-7-5-million-in-grants-for-ecosystem-based-adaptation/</w:t>
      </w:r>
    </w:p>
    <w:p>
      <w:r>
        <w:rPr>
          <w:b w:val="0"/>
        </w:rPr>
      </w:r>
      <w:r>
        <w:rPr>
          <w:b/>
        </w:rPr>
        <w:t>Bottom line for the writing team:</w:t>
      </w:r>
      <w:r>
        <w:rPr>
          <w:b w:val="0"/>
        </w:rPr>
        <w:t xml:space="preserve"> Position APFAF as a rights-based institution helping communities and decision-makers adopt and sustain technically sound ecosystem-based adaptation. Use the 2024 survey as evidence only to the extent its methods support. The application must show a credible ecosystem-and-climate pathway, committed technical capacity and institutional uptake—not simply repackage pollution awareness or tree planting.</w:t>
      </w:r>
    </w:p>
    <w:sectPr w:rsidR="00FC693F" w:rsidRPr="0006063C" w:rsidSect="00034616">
      <w:headerReference w:type="default" r:id="rId9"/>
      <w:footerReference w:type="default" r:id="rId10"/>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APFAF • Internal working concept • 10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A PEN FOR AFRICA  |  PROPOSAL DEVELOPMENT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65A5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65A5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65A5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65A5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