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Community Evidence to Action</w:t>
      </w:r>
    </w:p>
    <w:p>
      <w:pPr>
        <w:pStyle w:val="Subtitle"/>
      </w:pPr>
      <w:r>
        <w:t>Rights-Based Ecosystem Governance for Climate Resilience in Kampala</w:t>
      </w:r>
    </w:p>
    <w:p>
      <w:r>
        <w:t>Prepared for A Pen For Africa (APFAF)</w:t>
        <w:br/>
        <w:t>Global EbA Fund — Small-Size Grants</w:t>
        <w:br/>
        <w:t>12 October 2026</w:t>
      </w:r>
    </w:p>
    <w:p>
      <w:pPr>
        <w:pStyle w:val="Quote"/>
      </w:pPr>
      <w:r>
        <w:t>STATUS: Illustrative concept note for team development and partner discussions. Not a completed application or confirmation of eligibility. The 2024 survey has not been reviewed. Bracketed details must be replaced with verified information; targets, budget and partnerships are proposed, not established commitments.</w:t>
      </w:r>
    </w:p>
    <w:p>
      <w:pPr>
        <w:pStyle w:val="Heading1"/>
      </w:pPr>
      <w:r>
        <w:t>Table of contents</w:t>
      </w:r>
    </w:p>
    <w:p>
      <w:r>
        <w:t>Click a section title to navigate (Ctrl+click in some Word versions). Section links are used instead of fixed page numbers so the contents remain useful during editing.</w:t>
      </w:r>
    </w:p>
    <w:p>
      <w:hyperlink w:anchor="s1">
        <w:r>
          <w:t>1. Project particulars</w:t>
        </w:r>
      </w:hyperlink>
    </w:p>
    <w:p>
      <w:hyperlink w:anchor="s2">
        <w:r>
          <w:t>2. Executive summary</w:t>
        </w:r>
      </w:hyperlink>
    </w:p>
    <w:p>
      <w:hyperlink w:anchor="s3">
        <w:r>
          <w:t>3. Organisational background</w:t>
        </w:r>
      </w:hyperlink>
    </w:p>
    <w:p>
      <w:hyperlink w:anchor="s4">
        <w:r>
          <w:t>4. Problem statement and evidence base</w:t>
        </w:r>
      </w:hyperlink>
    </w:p>
    <w:p>
      <w:hyperlink w:anchor="s5">
        <w:r>
          <w:t>5. Project goal and outcome</w:t>
        </w:r>
      </w:hyperlink>
    </w:p>
    <w:p>
      <w:hyperlink w:anchor="s6">
        <w:r>
          <w:t>6. Theory of change</w:t>
        </w:r>
      </w:hyperlink>
    </w:p>
    <w:p>
      <w:hyperlink w:anchor="s7">
        <w:r>
          <w:t>7. Target participants and geographic scope</w:t>
        </w:r>
      </w:hyperlink>
    </w:p>
    <w:p>
      <w:hyperlink w:anchor="s8">
        <w:r>
          <w:t>8. Outputs and activities</w:t>
        </w:r>
      </w:hyperlink>
    </w:p>
    <w:p>
      <w:hyperlink w:anchor="s9">
        <w:r>
          <w:t>9. Innovation and replication</w:t>
        </w:r>
      </w:hyperlink>
    </w:p>
    <w:p>
      <w:hyperlink w:anchor="s10">
        <w:r>
          <w:t>10. Monitoring, evaluation and learning</w:t>
        </w:r>
      </w:hyperlink>
    </w:p>
    <w:p>
      <w:hyperlink w:anchor="s11">
        <w:r>
          <w:t>11. Safeguards and inclusion</w:t>
        </w:r>
      </w:hyperlink>
    </w:p>
    <w:p>
      <w:hyperlink w:anchor="s12">
        <w:r>
          <w:t>12. Implementation schedule</w:t>
        </w:r>
      </w:hyperlink>
    </w:p>
    <w:p>
      <w:hyperlink w:anchor="s13">
        <w:r>
          <w:t>13. Indicative budget</w:t>
        </w:r>
      </w:hyperlink>
    </w:p>
    <w:p>
      <w:hyperlink w:anchor="s14">
        <w:r>
          <w:t>14. Sustainability and exit strategy</w:t>
        </w:r>
      </w:hyperlink>
    </w:p>
    <w:p>
      <w:hyperlink w:anchor="s15">
        <w:r>
          <w:t>15. Conditions for proceeding</w:t>
        </w:r>
      </w:hyperlink>
    </w:p>
    <w:p>
      <w:hyperlink w:anchor="s16">
        <w:r>
          <w:t>16. Technical partners to approach</w:t>
        </w:r>
      </w:hyperlink>
    </w:p>
    <w:p>
      <w:hyperlink w:anchor="s17">
        <w:r>
          <w:t>17. Recommended partnership structure</w:t>
        </w:r>
      </w:hyperlink>
    </w:p>
    <w:p>
      <w:hyperlink w:anchor="s18">
        <w:r>
          <w:t>18. Sample Ministry outreach email</w:t>
        </w:r>
      </w:hyperlink>
    </w:p>
    <w:p>
      <w:hyperlink w:anchor="s19">
        <w:r>
          <w:t>19. Submission checklist and source register</w:t>
        </w:r>
      </w:hyperlink>
    </w:p>
    <w:p>
      <w:r>
        <w:br w:type="page"/>
      </w:r>
    </w:p>
    <w:p>
      <w:bookmarkStart w:id="1" w:name="s1"/>
      <w:pPr>
        <w:pStyle w:val="Heading1"/>
      </w:pPr>
      <w:r>
        <w:t>1. Project particulars</w:t>
      </w:r>
      <w:bookmarkEnd w:id="1"/>
    </w:p>
    <w:tbl>
      <w:tblPr>
        <w:tblStyle w:val="LightShading-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Proposed position</w:t>
            </w:r>
          </w:p>
        </w:tc>
      </w:tr>
      <w:tr>
        <w:tc>
          <w:tcPr>
            <w:tcW w:type="dxa" w:w="4320"/>
          </w:tcPr>
          <w:p>
            <w:r>
              <w:t>Applicant</w:t>
            </w:r>
          </w:p>
        </w:tc>
        <w:tc>
          <w:tcPr>
            <w:tcW w:type="dxa" w:w="4320"/>
          </w:tcPr>
          <w:p>
            <w:r>
              <w:t>A Pen For Africa (APFAF), subject to eligibility and lead-capacity verification</w:t>
            </w:r>
          </w:p>
        </w:tc>
      </w:tr>
      <w:tr>
        <w:tc>
          <w:tcPr>
            <w:tcW w:type="dxa" w:w="4320"/>
          </w:tcPr>
          <w:p>
            <w:r>
              <w:t>Window</w:t>
            </w:r>
          </w:p>
        </w:tc>
        <w:tc>
          <w:tcPr>
            <w:tcW w:type="dxa" w:w="4320"/>
          </w:tcPr>
          <w:p>
            <w:r>
              <w:t>Global EbA Fund — Small-Size Grants</w:t>
            </w:r>
          </w:p>
        </w:tc>
      </w:tr>
      <w:tr>
        <w:tc>
          <w:tcPr>
            <w:tcW w:type="dxa" w:w="4320"/>
          </w:tcPr>
          <w:p>
            <w:r>
              <w:t>Duration</w:t>
            </w:r>
          </w:p>
        </w:tc>
        <w:tc>
          <w:tcPr>
            <w:tcW w:type="dxa" w:w="4320"/>
          </w:tcPr>
          <w:p>
            <w:r>
              <w:t>24 months</w:t>
            </w:r>
          </w:p>
        </w:tc>
      </w:tr>
      <w:tr>
        <w:tc>
          <w:tcPr>
            <w:tcW w:type="dxa" w:w="4320"/>
          </w:tcPr>
          <w:p>
            <w:r>
              <w:t>Indicative request</w:t>
            </w:r>
          </w:p>
        </w:tc>
        <w:tc>
          <w:tcPr>
            <w:tcW w:type="dxa" w:w="4320"/>
          </w:tcPr>
          <w:p>
            <w:r>
              <w:t>USD 230,000, subject to detailed costing and capacity review</w:t>
            </w:r>
          </w:p>
        </w:tc>
      </w:tr>
      <w:tr>
        <w:tc>
          <w:tcPr>
            <w:tcW w:type="dxa" w:w="4320"/>
          </w:tcPr>
          <w:p>
            <w:r>
              <w:t>Location</w:t>
            </w:r>
          </w:p>
        </w:tc>
        <w:tc>
          <w:tcPr>
            <w:tcW w:type="dxa" w:w="4320"/>
          </w:tcPr>
          <w:p>
            <w:r>
              <w:t>[Selected Kampala parish/community cluster within a defined wetland, riverbank or catchment area]</w:t>
            </w:r>
          </w:p>
        </w:tc>
      </w:tr>
      <w:tr>
        <w:tc>
          <w:tcPr>
            <w:tcW w:type="dxa" w:w="4320"/>
          </w:tcPr>
          <w:p>
            <w:r>
              <w:t>Technical implementation partner</w:t>
            </w:r>
          </w:p>
        </w:tc>
        <w:tc>
          <w:tcPr>
            <w:tcW w:type="dxa" w:w="4320"/>
          </w:tcPr>
          <w:p>
            <w:r>
              <w:t>[Eligible ecosystem-management or climate-adaptation organisation; to be confirmed]</w:t>
            </w:r>
          </w:p>
        </w:tc>
      </w:tr>
      <w:tr>
        <w:tc>
          <w:tcPr>
            <w:tcW w:type="dxa" w:w="4320"/>
          </w:tcPr>
          <w:p>
            <w:r>
              <w:t>Government collaborators</w:t>
            </w:r>
          </w:p>
        </w:tc>
        <w:tc>
          <w:tcPr>
            <w:tcW w:type="dxa" w:w="4320"/>
          </w:tcPr>
          <w:p>
            <w:r>
              <w:t>Ministry of Water and Environment and KCCA, on an agreed non-funded basis; not yet confirmed</w:t>
            </w:r>
          </w:p>
        </w:tc>
      </w:tr>
      <w:tr>
        <w:tc>
          <w:tcPr>
            <w:tcW w:type="dxa" w:w="4320"/>
          </w:tcPr>
          <w:p>
            <w:r>
              <w:t>Strategic alignment</w:t>
            </w:r>
          </w:p>
        </w:tc>
        <w:tc>
          <w:tcPr>
            <w:tcW w:type="dxa" w:w="4320"/>
          </w:tcPr>
          <w:p>
            <w:r>
              <w:t>Proposed Objective 1: knowledge and institutional capacity; Pillar 1: education/capacity-building; Pillar 2: functional data and science</w:t>
            </w:r>
          </w:p>
        </w:tc>
      </w:tr>
    </w:tbl>
    <w:p/>
    <w:p>
      <w:r>
        <w:t>Confirm the project area before submission using the survey coverage, preliminary technical evidence, community priorities and institutional responsibilities. The grant is intended to remove barriers to ecosystem-based adaptation (EbA), not to finance general NGO operations or predominantly field implementation. Government entities cannot receive direct grants or sub-grants from the Fund. [4–6]</w:t>
      </w:r>
    </w:p>
    <w:p>
      <w:bookmarkStart w:id="2" w:name="s2"/>
      <w:pPr>
        <w:pStyle w:val="Heading1"/>
      </w:pPr>
      <w:r>
        <w:t>2. Executive summary</w:t>
      </w:r>
      <w:bookmarkEnd w:id="2"/>
    </w:p>
    <w:p>
      <w:r>
        <w:t>APFAF proposes a 24-month initiative to strengthen the evidence, community participation and institutional capacity needed to adopt ecosystem-based adaptation in [selected Kampala location]. The project will build on APFAF’s 2024 community survey and related engagement, subject to validation of the survey’s methods, findings and relevance.</w:t>
      </w:r>
    </w:p>
    <w:p>
      <w:r>
        <w:t>APFAF’s website reports that the survey examined environmental concerns in Kampala suburbs, including plastic pollution. The project will not assume that these observations establish climate causation or demonstrate the effectiveness of an ecosystem-based response. Instead, APFAF will combine its community evidence and rights-based experience with specialist analysis of [verified climate hazard], [identified ecosystem] and [relevant ecosystem service]. [1–3]</w:t>
      </w:r>
    </w:p>
    <w:p>
      <w:r>
        <w:t>Together with communities and responsible institutions, the project will address the evidence, coordination and inclusion barriers preventing appropriate adaptation measures from being adopted. It will deliver: (1) a practical, technically validated evidence base and improved capacity to use it; and (2) inclusive management, coordination and monitoring arrangements that institutions and communities begin using.</w:t>
      </w:r>
    </w:p>
    <w:p>
      <w:r>
        <w:t>Limited field validation may be undertaken where necessary, but the project will not primarily finance drainage construction, waste collection, large-scale restoration or tree planting. Its principal contribution is to help communities and institutions make and sustain better ecosystem-management decisions that support climate resilience.</w:t>
      </w:r>
    </w:p>
    <w:p>
      <w:bookmarkStart w:id="3" w:name="s3"/>
      <w:pPr>
        <w:pStyle w:val="Heading1"/>
      </w:pPr>
      <w:r>
        <w:t>3. Organisational background</w:t>
      </w:r>
      <w:bookmarkEnd w:id="3"/>
    </w:p>
    <w:p>
      <w:r>
        <w:t>APFAF describes itself as a women-led, rights-based Ugandan organisation working across health access equity, climate justice, economic empowerment, and legal and protection services. Its published activities include community research in Kampala, environmental advocacy, participation in tree planting and rights-based institutional training. These provide a potential foundation for community engagement and capacity-building. Supporting records must substantiate relevant experience. [1–3]</w:t>
      </w:r>
    </w:p>
    <w:p>
      <w:r>
        <w:t>APFAF’s proposed contribution connects community knowledge, rights and protection, climate vulnerability, health-access concerns and institutional accountability. Specialist partners will provide technical capabilities APFAF cannot demonstrate internally. The website is an organisational self-description, not independent verification of outcomes or grant-management capacity.</w:t>
      </w:r>
    </w:p>
    <w:p>
      <w:bookmarkStart w:id="4" w:name="s4"/>
      <w:pPr>
        <w:pStyle w:val="Heading1"/>
      </w:pPr>
      <w:r>
        <w:t>4. Problem statement and evidence base</w:t>
      </w:r>
      <w:bookmarkEnd w:id="4"/>
    </w:p>
    <w:p>
      <w:pPr>
        <w:pStyle w:val="Heading2"/>
      </w:pPr>
      <w:r>
        <w:t>4.1 Community evidence</w:t>
      </w:r>
    </w:p>
    <w:p>
      <w:r>
        <w:t>Through its 2024 survey and subsequent engagement in [location], APFAF documented [verified findings]. Evidence was collected through [methods], covering [verified sample and locations]. Limitations include [sampling, coverage, timing or other limitations]. These findings identify a need to examine how environmental conditions, climate exposure and institutional responses affect vulnerable residents.</w:t>
      </w:r>
    </w:p>
    <w:p>
      <w:pPr>
        <w:pStyle w:val="Heading2"/>
      </w:pPr>
      <w:r>
        <w:t>4.2 Climate and ecosystem connection</w:t>
      </w:r>
    </w:p>
    <w:p>
      <w:r>
        <w:t>The project will focus on [verified hazard, for example heavy-rainfall-related flooding] and its effects on [identified population]. Preliminary technical evidence from [source] indicates that [specific ecosystem] provides [water regulation, erosion control or another relevant service]. Establish this relationship before submission. A detailed implementation-stage assessment should refine an already credible adaptation pathway, not determine for the first time whether EbA is relevant.</w:t>
      </w:r>
    </w:p>
    <w:p>
      <w:pPr>
        <w:pStyle w:val="Heading2"/>
      </w:pPr>
      <w:r>
        <w:t>4.3 Barrier to adaptation</w:t>
      </w:r>
    </w:p>
    <w:p>
      <w:r>
        <w:t>Select one clearly evidenced barrier or a closely connected set: community evidence not being used in planning; fragmented management responsibilities; limited technical capacity; exclusion from decision-making; or absence of an agreed continuation and financing plan. Explain the responsible actors and why existing efforts have not resolved the barrier.</w:t>
      </w:r>
    </w:p>
    <w:p>
      <w:pPr>
        <w:pStyle w:val="Heading2"/>
      </w:pPr>
      <w:r>
        <w:t>4.4 Existing work and additionality</w:t>
      </w:r>
    </w:p>
    <w:p>
      <w:r>
        <w:t>Existing work by [APFAF and/or partner initiative] has established [verified foundation], but has not resolved [specific gap]. The grant will support targeted evidence, capacity and governance work to address that gap without duplicating activities or costs financed elsewhere. The Fund requires projects to build on existing work. [4,6]</w:t>
      </w:r>
    </w:p>
    <w:p>
      <w:r>
        <w:t>Evidence pack required: full survey and tools; anonymised data where available; dated observations; consent/permissions; relevant technical studies; existing project records; community engagement records; and institutional correspondence. Distinguish personal observation, community testimony and technical findings. Plastic pollution alone is not proof of a climate hazard or EbA opportunity.</w:t>
      </w:r>
    </w:p>
    <w:p>
      <w:bookmarkStart w:id="5" w:name="s5"/>
      <w:pPr>
        <w:pStyle w:val="Heading1"/>
      </w:pPr>
      <w:r>
        <w:t>5. Project goal and outcome</w:t>
      </w:r>
      <w:bookmarkEnd w:id="5"/>
    </w:p>
    <w:p>
      <w:r>
        <w:t>Long-term goal: To contribute to more equitable climate resilience through sustainable management of ecosystems serving vulnerable Kampala communities.</w:t>
      </w:r>
    </w:p>
    <w:p>
      <w:r>
        <w:t>Single project outcome: By month 24, participating institutions and community structures have adopted and begun using a rights-based, evidence-informed EbA management and monitoring approach in the selected project area.</w:t>
      </w:r>
    </w:p>
    <w:p>
      <w:r>
        <w:t>Distinguish measurable institutional results from longer-term benefits. Do not promise to eliminate flooding or attribute population-level disease reductions to a short enabling project. Confirm realistic institutional approval milestones with the relevant authorities.</w:t>
      </w:r>
    </w:p>
    <w:p>
      <w:bookmarkStart w:id="6" w:name="s6"/>
      <w:pPr>
        <w:pStyle w:val="Heading1"/>
      </w:pPr>
      <w:r>
        <w:t>6. Theory of change</w:t>
      </w:r>
      <w:bookmarkEnd w:id="6"/>
    </w:p>
    <w:p>
      <w:r>
        <w:t>If communities and responsible institutions have reliable evidence about climate risks and ecosystem services, and if they have the capacity, inclusive decision-making arrangements and accountability mechanisms to use it, then they will be better able to adopt and sustain appropriate EbA measures, because evidence, capacity and coordination barriers will have been reduced.</w:t>
      </w:r>
    </w:p>
    <w:p>
      <w:pPr>
        <w:pStyle w:val="ListBullet"/>
      </w:pPr>
      <w:r>
        <w:t>Institutions are willing and legally able to use the results.</w:t>
      </w:r>
    </w:p>
    <w:p>
      <w:pPr>
        <w:pStyle w:val="ListBullet"/>
      </w:pPr>
      <w:r>
        <w:t>Proposed measures are technically and ecologically suitable.</w:t>
      </w:r>
    </w:p>
    <w:p>
      <w:pPr>
        <w:pStyle w:val="ListBullet"/>
      </w:pPr>
      <w:r>
        <w:t>Communities can participate safely and meaningfully.</w:t>
      </w:r>
    </w:p>
    <w:p>
      <w:pPr>
        <w:pStyle w:val="ListBullet"/>
      </w:pPr>
      <w:r>
        <w:t>Tenure and resource-access concerns can be managed without harmful restrictions.</w:t>
      </w:r>
    </w:p>
    <w:p>
      <w:pPr>
        <w:pStyle w:val="ListBullet"/>
      </w:pPr>
      <w:r>
        <w:t>Maintenance and continuation responsibilities can be agreed.</w:t>
      </w:r>
    </w:p>
    <w:p>
      <w:pPr>
        <w:pStyle w:val="ListBullet"/>
      </w:pPr>
      <w:r>
        <w:t>Qualified technical personnel are available throughout delivery.</w:t>
      </w:r>
    </w:p>
    <w:p>
      <w:bookmarkStart w:id="7" w:name="s7"/>
      <w:pPr>
        <w:pStyle w:val="Heading1"/>
      </w:pPr>
      <w:r>
        <w:t>7. Target participants and geographic scope</w:t>
      </w:r>
      <w:bookmarkEnd w:id="7"/>
    </w:p>
    <w:p>
      <w:r>
        <w:t>Work in one defined ecosystem or catchment area, not all of Kampala. Site selection must reflect both local need and a credible existing foundation.</w:t>
      </w:r>
    </w:p>
    <w:p>
      <w:pPr>
        <w:pStyle w:val="ListBullet"/>
      </w:pPr>
      <w:r>
        <w:t>Women and young people in climate-exposed communities.</w:t>
      </w:r>
    </w:p>
    <w:p>
      <w:pPr>
        <w:pStyle w:val="ListBullet"/>
      </w:pPr>
      <w:r>
        <w:t>Residents facing participation or service-access barriers.</w:t>
      </w:r>
    </w:p>
    <w:p>
      <w:pPr>
        <w:pStyle w:val="ListBullet"/>
      </w:pPr>
      <w:r>
        <w:t>Community organisations and relevant resource-user groups.</w:t>
      </w:r>
    </w:p>
    <w:p>
      <w:pPr>
        <w:pStyle w:val="ListBullet"/>
      </w:pPr>
      <w:r>
        <w:t>Practitioners and institutional personnel responsible for planning or ecosystem management.</w:t>
      </w:r>
    </w:p>
    <w:p>
      <w:pPr>
        <w:pStyle w:val="ListBullet"/>
      </w:pPr>
      <w:r>
        <w:t>People with chronic illness or disabilities, where distinct risks or access needs are demonstrated.</w:t>
      </w:r>
    </w:p>
    <w:p>
      <w:r>
        <w:t>Illustrative targets for costing: 60 community representatives/practitioners receiving structured capacity-building; one functioning coordination mechanism; one management/planning instrument; and one operational monitoring tool. Validate these targets against local needs and budget. Attendance alone does not prove improved resilience; assess learning and practical application.</w:t>
      </w:r>
    </w:p>
    <w:p>
      <w:bookmarkStart w:id="8" w:name="s8"/>
      <w:pPr>
        <w:pStyle w:val="Heading1"/>
      </w:pPr>
      <w:r>
        <w:t>8. Outputs and activities</w:t>
      </w:r>
      <w:bookmarkEnd w:id="8"/>
    </w:p>
    <w:p>
      <w:pPr>
        <w:pStyle w:val="Heading2"/>
      </w:pPr>
      <w:r>
        <w:t>Output 1: Practical evidence and capacity for EbA established</w:t>
      </w:r>
    </w:p>
    <w:tbl>
      <w:tblPr>
        <w:tblStyle w:val="LightShading-Accent1"/>
        <w:tblW w:type="auto" w:w="0"/>
        <w:tblLook w:firstColumn="1" w:firstRow="1" w:lastColumn="0" w:lastRow="0" w:noHBand="0" w:noVBand="1" w:val="04A0"/>
      </w:tblPr>
      <w:tblGrid>
        <w:gridCol w:w="4320"/>
        <w:gridCol w:w="4320"/>
      </w:tblGrid>
      <w:tr>
        <w:tc>
          <w:tcPr>
            <w:tcW w:type="dxa" w:w="4320"/>
          </w:tcPr>
          <w:p>
            <w:r>
              <w:t>Activity</w:t>
            </w:r>
          </w:p>
        </w:tc>
        <w:tc>
          <w:tcPr>
            <w:tcW w:type="dxa" w:w="4320"/>
          </w:tcPr>
          <w:p>
            <w:r>
              <w:t>Scope</w:t>
            </w:r>
          </w:p>
        </w:tc>
      </w:tr>
      <w:tr>
        <w:tc>
          <w:tcPr>
            <w:tcW w:type="dxa" w:w="4320"/>
          </w:tcPr>
          <w:p>
            <w:r>
              <w:t>1.1 Review existing evidence</w:t>
            </w:r>
          </w:p>
        </w:tc>
        <w:tc>
          <w:tcPr>
            <w:tcW w:type="dxa" w:w="4320"/>
          </w:tcPr>
          <w:p>
            <w:r>
              <w:t>Review the survey, records, technical studies and existing initiatives; produce an evidence inventory and limitations note.</w:t>
            </w:r>
          </w:p>
        </w:tc>
      </w:tr>
      <w:tr>
        <w:tc>
          <w:tcPr>
            <w:tcW w:type="dxa" w:w="4320"/>
          </w:tcPr>
          <w:p>
            <w:r>
              <w:t>1.2 Integrated assessment</w:t>
            </w:r>
          </w:p>
        </w:tc>
        <w:tc>
          <w:tcPr>
            <w:tcW w:type="dxa" w:w="4320"/>
          </w:tcPr>
          <w:p>
            <w:r>
              <w:t>Combine community knowledge with climate-risk and ecosystem-service analysis to identify feasible responses.</w:t>
            </w:r>
          </w:p>
        </w:tc>
      </w:tr>
      <w:tr>
        <w:tc>
          <w:tcPr>
            <w:tcW w:type="dxa" w:w="4320"/>
          </w:tcPr>
          <w:p>
            <w:r>
              <w:t>1.3 Governance and rights analysis</w:t>
            </w:r>
          </w:p>
        </w:tc>
        <w:tc>
          <w:tcPr>
            <w:tcW w:type="dxa" w:w="4320"/>
          </w:tcPr>
          <w:p>
            <w:r>
              <w:t>Map institutional responsibilities, participation gaps, resource-use concerns and gender-related barriers.</w:t>
            </w:r>
          </w:p>
        </w:tc>
      </w:tr>
      <w:tr>
        <w:tc>
          <w:tcPr>
            <w:tcW w:type="dxa" w:w="4320"/>
          </w:tcPr>
          <w:p>
            <w:r>
              <w:t>1.4 Practical capacity-building</w:t>
            </w:r>
          </w:p>
        </w:tc>
        <w:tc>
          <w:tcPr>
            <w:tcW w:type="dxa" w:w="4320"/>
          </w:tcPr>
          <w:p>
            <w:r>
              <w:t>Develop accessible guidance; train intended users to interpret evidence, choose measures and apply safeguards.</w:t>
            </w:r>
          </w:p>
        </w:tc>
      </w:tr>
      <w:tr>
        <w:tc>
          <w:tcPr>
            <w:tcW w:type="dxa" w:w="4320"/>
          </w:tcPr>
          <w:p>
            <w:r>
              <w:t>1.5 Validate the approach</w:t>
            </w:r>
          </w:p>
        </w:tc>
        <w:tc>
          <w:tcPr>
            <w:tcW w:type="dxa" w:w="4320"/>
          </w:tcPr>
          <w:p>
            <w:r>
              <w:t>Technical review and, only where essential, limited demonstration with permissions, safeguards and maintenance arrangements.</w:t>
            </w:r>
          </w:p>
        </w:tc>
      </w:tr>
    </w:tbl>
    <w:p/>
    <w:p>
      <w:pPr>
        <w:pStyle w:val="Heading2"/>
      </w:pPr>
      <w:r>
        <w:t>Output 2: Inclusive adoption and continuation arrangements operational</w:t>
      </w:r>
    </w:p>
    <w:tbl>
      <w:tblPr>
        <w:tblStyle w:val="LightShading-Accent1"/>
        <w:tblW w:type="auto" w:w="0"/>
        <w:tblLook w:firstColumn="1" w:firstRow="1" w:lastColumn="0" w:lastRow="0" w:noHBand="0" w:noVBand="1" w:val="04A0"/>
      </w:tblPr>
      <w:tblGrid>
        <w:gridCol w:w="4320"/>
        <w:gridCol w:w="4320"/>
      </w:tblGrid>
      <w:tr>
        <w:tc>
          <w:tcPr>
            <w:tcW w:type="dxa" w:w="4320"/>
          </w:tcPr>
          <w:p>
            <w:r>
              <w:t>Activity</w:t>
            </w:r>
          </w:p>
        </w:tc>
        <w:tc>
          <w:tcPr>
            <w:tcW w:type="dxa" w:w="4320"/>
          </w:tcPr>
          <w:p>
            <w:r>
              <w:t>Scope</w:t>
            </w:r>
          </w:p>
        </w:tc>
      </w:tr>
      <w:tr>
        <w:tc>
          <w:tcPr>
            <w:tcW w:type="dxa" w:w="4320"/>
          </w:tcPr>
          <w:p>
            <w:r>
              <w:t>2.1 Strengthen coordination</w:t>
            </w:r>
          </w:p>
        </w:tc>
        <w:tc>
          <w:tcPr>
            <w:tcW w:type="dxa" w:w="4320"/>
          </w:tcPr>
          <w:p>
            <w:r>
              <w:t>Use an existing mechanism where possible; agree membership, responsibilities, decision procedures and accountability.</w:t>
            </w:r>
          </w:p>
        </w:tc>
      </w:tr>
      <w:tr>
        <w:tc>
          <w:tcPr>
            <w:tcW w:type="dxa" w:w="4320"/>
          </w:tcPr>
          <w:p>
            <w:r>
              <w:t>2.2 Advance a management instrument</w:t>
            </w:r>
          </w:p>
        </w:tc>
        <w:tc>
          <w:tcPr>
            <w:tcW w:type="dxa" w:w="4320"/>
          </w:tcPr>
          <w:p>
            <w:r>
              <w:t>Co-develop a protocol, action plan or comparable instrument and advance it through the relevant process.</w:t>
            </w:r>
          </w:p>
        </w:tc>
      </w:tr>
      <w:tr>
        <w:tc>
          <w:tcPr>
            <w:tcW w:type="dxa" w:w="4320"/>
          </w:tcPr>
          <w:p>
            <w:r>
              <w:t>2.3 Establish monitoring</w:t>
            </w:r>
          </w:p>
        </w:tc>
        <w:tc>
          <w:tcPr>
            <w:tcW w:type="dxa" w:w="4320"/>
          </w:tcPr>
          <w:p>
            <w:r>
              <w:t>Define indicators, data responsibilities, reporting and how findings trigger management responses.</w:t>
            </w:r>
          </w:p>
        </w:tc>
      </w:tr>
      <w:tr>
        <w:tc>
          <w:tcPr>
            <w:tcW w:type="dxa" w:w="4320"/>
          </w:tcPr>
          <w:p>
            <w:r>
              <w:t>2.4 Plan continuation</w:t>
            </w:r>
          </w:p>
        </w:tc>
        <w:tc>
          <w:tcPr>
            <w:tcW w:type="dxa" w:w="4320"/>
          </w:tcPr>
          <w:p>
            <w:r>
              <w:t>Identify implementation responsibilities, recurring costs and realistic financing options.</w:t>
            </w:r>
          </w:p>
        </w:tc>
      </w:tr>
      <w:tr>
        <w:tc>
          <w:tcPr>
            <w:tcW w:type="dxa" w:w="4320"/>
          </w:tcPr>
          <w:p>
            <w:r>
              <w:t>2.5 Learning and handover</w:t>
            </w:r>
          </w:p>
        </w:tc>
        <w:tc>
          <w:tcPr>
            <w:tcW w:type="dxa" w:w="4320"/>
          </w:tcPr>
          <w:p>
            <w:r>
              <w:t>Produce a practical implementation package and transfer responsibilities to agreed owners.</w:t>
            </w:r>
          </w:p>
        </w:tc>
      </w:tr>
    </w:tbl>
    <w:p/>
    <w:p>
      <w:bookmarkStart w:id="9" w:name="s9"/>
      <w:pPr>
        <w:pStyle w:val="Heading1"/>
      </w:pPr>
      <w:r>
        <w:t>9. Innovation and replication</w:t>
      </w:r>
      <w:bookmarkEnd w:id="9"/>
    </w:p>
    <w:p>
      <w:r>
        <w:t>The proposed innovation combines community-generated evidence, ecosystem and climate-risk analysis, rights-based governance, health-equity considerations and practical institutional adoption. Explain how this improves existing practice locally; do not claim these approaches are entirely new.</w:t>
      </w:r>
    </w:p>
    <w:p>
      <w:r>
        <w:t>Document the method for validating community evidence, selecting measures, establishing inclusive governance, monitoring results and costing continuation. Identify the conditions required for replication. The model must be adapted to local ecological and institutional circumstances rather than promoted as a universal solution.</w:t>
      </w:r>
    </w:p>
    <w:p>
      <w:bookmarkStart w:id="10" w:name="s10"/>
      <w:pPr>
        <w:pStyle w:val="Heading1"/>
      </w:pPr>
      <w:r>
        <w:t>10. Monitoring, evaluation and learning</w:t>
      </w:r>
      <w:bookmarkEnd w:id="10"/>
    </w:p>
    <w:tbl>
      <w:tblPr>
        <w:tblStyle w:val="LightShading-Accent1"/>
        <w:tblW w:type="auto" w:w="0"/>
        <w:tblLook w:firstColumn="1" w:firstRow="1" w:lastColumn="0" w:lastRow="0" w:noHBand="0" w:noVBand="1" w:val="04A0"/>
      </w:tblPr>
      <w:tblGrid>
        <w:gridCol w:w="2880"/>
        <w:gridCol w:w="2880"/>
        <w:gridCol w:w="2880"/>
      </w:tblGrid>
      <w:tr>
        <w:tc>
          <w:tcPr>
            <w:tcW w:type="dxa" w:w="2880"/>
          </w:tcPr>
          <w:p>
            <w:r>
              <w:t>Result</w:t>
            </w:r>
          </w:p>
        </w:tc>
        <w:tc>
          <w:tcPr>
            <w:tcW w:type="dxa" w:w="2880"/>
          </w:tcPr>
          <w:p>
            <w:r>
              <w:t>Illustrative measure</w:t>
            </w:r>
          </w:p>
        </w:tc>
        <w:tc>
          <w:tcPr>
            <w:tcW w:type="dxa" w:w="2880"/>
          </w:tcPr>
          <w:p>
            <w:r>
              <w:t>Verification</w:t>
            </w:r>
          </w:p>
        </w:tc>
      </w:tr>
      <w:tr>
        <w:tc>
          <w:tcPr>
            <w:tcW w:type="dxa" w:w="2880"/>
          </w:tcPr>
          <w:p>
            <w:r>
              <w:t>Evidence</w:t>
            </w:r>
          </w:p>
        </w:tc>
        <w:tc>
          <w:tcPr>
            <w:tcW w:type="dxa" w:w="2880"/>
          </w:tcPr>
          <w:p>
            <w:r>
              <w:t>One technically reviewed assessment and guidance package</w:t>
            </w:r>
          </w:p>
        </w:tc>
        <w:tc>
          <w:tcPr>
            <w:tcW w:type="dxa" w:w="2880"/>
          </w:tcPr>
          <w:p>
            <w:r>
              <w:t>Assessment and review records</w:t>
            </w:r>
          </w:p>
        </w:tc>
      </w:tr>
      <w:tr>
        <w:tc>
          <w:tcPr>
            <w:tcW w:type="dxa" w:w="2880"/>
          </w:tcPr>
          <w:p>
            <w:r>
              <w:t>Capacity</w:t>
            </w:r>
          </w:p>
        </w:tc>
        <w:tc>
          <w:tcPr>
            <w:tcW w:type="dxa" w:w="2880"/>
          </w:tcPr>
          <w:p>
            <w:r>
              <w:t>60 participants complete learning; application assessed in agreed sample</w:t>
            </w:r>
          </w:p>
        </w:tc>
        <w:tc>
          <w:tcPr>
            <w:tcW w:type="dxa" w:w="2880"/>
          </w:tcPr>
          <w:p>
            <w:r>
              <w:t>Attendance, assessments and follow-up</w:t>
            </w:r>
          </w:p>
        </w:tc>
      </w:tr>
      <w:tr>
        <w:tc>
          <w:tcPr>
            <w:tcW w:type="dxa" w:w="2880"/>
          </w:tcPr>
          <w:p>
            <w:r>
              <w:t>Uptake</w:t>
            </w:r>
          </w:p>
        </w:tc>
        <w:tc>
          <w:tcPr>
            <w:tcW w:type="dxa" w:w="2880"/>
          </w:tcPr>
          <w:p>
            <w:r>
              <w:t>One instrument advanced/adopted, with actual status reported</w:t>
            </w:r>
          </w:p>
        </w:tc>
        <w:tc>
          <w:tcPr>
            <w:tcW w:type="dxa" w:w="2880"/>
          </w:tcPr>
          <w:p>
            <w:r>
              <w:t>Submission, approval or implementation records</w:t>
            </w:r>
          </w:p>
        </w:tc>
      </w:tr>
      <w:tr>
        <w:tc>
          <w:tcPr>
            <w:tcW w:type="dxa" w:w="2880"/>
          </w:tcPr>
          <w:p>
            <w:r>
              <w:t>Coordination</w:t>
            </w:r>
          </w:p>
        </w:tc>
        <w:tc>
          <w:tcPr>
            <w:tcW w:type="dxa" w:w="2880"/>
          </w:tcPr>
          <w:p>
            <w:r>
              <w:t>One institutionalised mechanism functioning</w:t>
            </w:r>
          </w:p>
        </w:tc>
        <w:tc>
          <w:tcPr>
            <w:tcW w:type="dxa" w:w="2880"/>
          </w:tcPr>
          <w:p>
            <w:r>
              <w:t>Mandate, minutes and action tracking</w:t>
            </w:r>
          </w:p>
        </w:tc>
      </w:tr>
      <w:tr>
        <w:tc>
          <w:tcPr>
            <w:tcW w:type="dxa" w:w="2880"/>
          </w:tcPr>
          <w:p>
            <w:r>
              <w:t>Monitoring</w:t>
            </w:r>
          </w:p>
        </w:tc>
        <w:tc>
          <w:tcPr>
            <w:tcW w:type="dxa" w:w="2880"/>
          </w:tcPr>
          <w:p>
            <w:r>
              <w:t>One EbA monitoring instrument in use</w:t>
            </w:r>
          </w:p>
        </w:tc>
        <w:tc>
          <w:tcPr>
            <w:tcW w:type="dxa" w:w="2880"/>
          </w:tcPr>
          <w:p>
            <w:r>
              <w:t>Protocol, dataset and management response</w:t>
            </w:r>
          </w:p>
        </w:tc>
      </w:tr>
      <w:tr>
        <w:tc>
          <w:tcPr>
            <w:tcW w:type="dxa" w:w="2880"/>
          </w:tcPr>
          <w:p>
            <w:r>
              <w:t>Continuation</w:t>
            </w:r>
          </w:p>
        </w:tc>
        <w:tc>
          <w:tcPr>
            <w:tcW w:type="dxa" w:w="2880"/>
          </w:tcPr>
          <w:p>
            <w:r>
              <w:t>One costed plan with named owners and evidenced commitments</w:t>
            </w:r>
          </w:p>
        </w:tc>
        <w:tc>
          <w:tcPr>
            <w:tcW w:type="dxa" w:w="2880"/>
          </w:tcPr>
          <w:p>
            <w:r>
              <w:t>Plan, agreements and resource records</w:t>
            </w:r>
          </w:p>
        </w:tc>
      </w:tr>
    </w:tbl>
    <w:p/>
    <w:p>
      <w:r>
        <w:t>Potential Fund core indicators: Indicator 1—policies/policy instruments; Indicator 2—institutionalised coordination mechanisms; Indicator 3—monitoring, evaluation and learning instruments. Select at least three relevant indicators using their official definitions. Establish baselines, targets, frequency and responsible staff. Do not assume all baselines are zero or count the same deliverable twice. A workshop is not an institutionalised mechanism. [7]</w:t>
      </w:r>
    </w:p>
    <w:p>
      <w:bookmarkStart w:id="11" w:name="s11"/>
      <w:pPr>
        <w:pStyle w:val="Heading1"/>
      </w:pPr>
      <w:r>
        <w:t>11. Safeguards and inclusion</w:t>
      </w:r>
      <w:bookmarkEnd w:id="11"/>
    </w:p>
    <w:p>
      <w:pPr>
        <w:pStyle w:val="ListBullet"/>
      </w:pPr>
      <w:r>
        <w:t>Consent for interviews, photographs and data reuse; secure handling of sensitive health, personal and location information.</w:t>
      </w:r>
    </w:p>
    <w:p>
      <w:pPr>
        <w:pStyle w:val="ListBullet"/>
      </w:pPr>
      <w:r>
        <w:t>Accessible complaints/referral arrangements and protection against retaliation.</w:t>
      </w:r>
    </w:p>
    <w:p>
      <w:pPr>
        <w:pStyle w:val="ListBullet"/>
      </w:pPr>
      <w:r>
        <w:t>Gender, disability, language and participation barriers addressed in design and budget.</w:t>
      </w:r>
    </w:p>
    <w:p>
      <w:pPr>
        <w:pStyle w:val="ListBullet"/>
      </w:pPr>
      <w:r>
        <w:t>No forced displacement, coercive enforcement or harmful livelihood restrictions.</w:t>
      </w:r>
    </w:p>
    <w:p>
      <w:pPr>
        <w:pStyle w:val="ListBullet"/>
      </w:pPr>
      <w:r>
        <w:t>Assessment of upstream, downstream and neighbouring-community effects.</w:t>
      </w:r>
    </w:p>
    <w:p>
      <w:pPr>
        <w:pStyle w:val="ListBullet"/>
      </w:pPr>
      <w:r>
        <w:t>Permissions, ecological suitability and maintenance plans for any field validation.</w:t>
      </w:r>
    </w:p>
    <w:p>
      <w:pPr>
        <w:pStyle w:val="ListBullet"/>
      </w:pPr>
      <w:r>
        <w:t>Relevant Indigenous Peoples’ rights, including free, prior and informed consent where applicable.</w:t>
      </w:r>
    </w:p>
    <w:p>
      <w:pPr>
        <w:pStyle w:val="ListBullet"/>
      </w:pPr>
      <w:r>
        <w:t>Safeguarding procedures and safe fieldwork; avoid exposing informal residents to eviction or other harm through data disclosure.</w:t>
      </w:r>
    </w:p>
    <w:p>
      <w:r>
        <w:t>The Fund excludes projects classified as high environmental and social risk. Begin screening during design; do not wait for the shortlisting questionnaire. [6]</w:t>
      </w:r>
    </w:p>
    <w:p>
      <w:bookmarkStart w:id="12" w:name="s12"/>
      <w:pPr>
        <w:pStyle w:val="Heading1"/>
      </w:pPr>
      <w:r>
        <w:t>12. Implementation schedule</w:t>
      </w:r>
      <w:bookmarkEnd w:id="12"/>
    </w:p>
    <w:tbl>
      <w:tblPr>
        <w:tblStyle w:val="LightShading-Accent1"/>
        <w:tblW w:type="auto" w:w="0"/>
        <w:tblLook w:firstColumn="1" w:firstRow="1" w:lastColumn="0" w:lastRow="0" w:noHBand="0" w:noVBand="1" w:val="04A0"/>
      </w:tblPr>
      <w:tblGrid>
        <w:gridCol w:w="4320"/>
        <w:gridCol w:w="4320"/>
      </w:tblGrid>
      <w:tr>
        <w:tc>
          <w:tcPr>
            <w:tcW w:type="dxa" w:w="4320"/>
          </w:tcPr>
          <w:p>
            <w:r>
              <w:t>Period</w:t>
            </w:r>
          </w:p>
        </w:tc>
        <w:tc>
          <w:tcPr>
            <w:tcW w:type="dxa" w:w="4320"/>
          </w:tcPr>
          <w:p>
            <w:r>
              <w:t>Focus</w:t>
            </w:r>
          </w:p>
        </w:tc>
      </w:tr>
      <w:tr>
        <w:tc>
          <w:tcPr>
            <w:tcW w:type="dxa" w:w="4320"/>
          </w:tcPr>
          <w:p>
            <w:r>
              <w:t>Before submission</w:t>
            </w:r>
          </w:p>
        </w:tc>
        <w:tc>
          <w:tcPr>
            <w:tcW w:type="dxa" w:w="4320"/>
          </w:tcPr>
          <w:p>
            <w:r>
              <w:t>Confirm site, preliminary rationale, existing foundation, eligibility and core partnership</w:t>
            </w:r>
          </w:p>
        </w:tc>
      </w:tr>
      <w:tr>
        <w:tc>
          <w:tcPr>
            <w:tcW w:type="dxa" w:w="4320"/>
          </w:tcPr>
          <w:p>
            <w:r>
              <w:t>Months 1–3</w:t>
            </w:r>
          </w:p>
        </w:tc>
        <w:tc>
          <w:tcPr>
            <w:tcW w:type="dxa" w:w="4320"/>
          </w:tcPr>
          <w:p>
            <w:r>
              <w:t>Inception, evidence review, refined baseline, agreements and safeguards</w:t>
            </w:r>
          </w:p>
        </w:tc>
      </w:tr>
      <w:tr>
        <w:tc>
          <w:tcPr>
            <w:tcW w:type="dxa" w:w="4320"/>
          </w:tcPr>
          <w:p>
            <w:r>
              <w:t>Months 4–6</w:t>
            </w:r>
          </w:p>
        </w:tc>
        <w:tc>
          <w:tcPr>
            <w:tcW w:type="dxa" w:w="4320"/>
          </w:tcPr>
          <w:p>
            <w:r>
              <w:t>Technical/participatory assessments and practical guidance</w:t>
            </w:r>
          </w:p>
        </w:tc>
      </w:tr>
      <w:tr>
        <w:tc>
          <w:tcPr>
            <w:tcW w:type="dxa" w:w="4320"/>
          </w:tcPr>
          <w:p>
            <w:r>
              <w:t>Months 7–12</w:t>
            </w:r>
          </w:p>
        </w:tc>
        <w:tc>
          <w:tcPr>
            <w:tcW w:type="dxa" w:w="4320"/>
          </w:tcPr>
          <w:p>
            <w:r>
              <w:t>Capacity-building, validation and institutional engagement</w:t>
            </w:r>
          </w:p>
        </w:tc>
      </w:tr>
      <w:tr>
        <w:tc>
          <w:tcPr>
            <w:tcW w:type="dxa" w:w="4320"/>
          </w:tcPr>
          <w:p>
            <w:r>
              <w:t>Months 13–18</w:t>
            </w:r>
          </w:p>
        </w:tc>
        <w:tc>
          <w:tcPr>
            <w:tcW w:type="dxa" w:w="4320"/>
          </w:tcPr>
          <w:p>
            <w:r>
              <w:t>Management instrument, coordination and monitoring in use</w:t>
            </w:r>
          </w:p>
        </w:tc>
      </w:tr>
      <w:tr>
        <w:tc>
          <w:tcPr>
            <w:tcW w:type="dxa" w:w="4320"/>
          </w:tcPr>
          <w:p>
            <w:r>
              <w:t>Months 19–24</w:t>
            </w:r>
          </w:p>
        </w:tc>
        <w:tc>
          <w:tcPr>
            <w:tcW w:type="dxa" w:w="4320"/>
          </w:tcPr>
          <w:p>
            <w:r>
              <w:t>Verify uptake, continuation, learning and handover</w:t>
            </w:r>
          </w:p>
        </w:tc>
      </w:tr>
    </w:tbl>
    <w:p/>
    <w:p>
      <w:bookmarkStart w:id="13" w:name="s13"/>
      <w:pPr>
        <w:pStyle w:val="Heading1"/>
      </w:pPr>
      <w:r>
        <w:t>13. Indicative budget</w:t>
      </w:r>
      <w:bookmarkEnd w:id="13"/>
    </w:p>
    <w:tbl>
      <w:tblPr>
        <w:tblStyle w:val="LightShading-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USD</w:t>
            </w:r>
          </w:p>
        </w:tc>
      </w:tr>
      <w:tr>
        <w:tc>
          <w:tcPr>
            <w:tcW w:type="dxa" w:w="4320"/>
          </w:tcPr>
          <w:p>
            <w:r>
              <w:t>Personnel and coordination</w:t>
            </w:r>
          </w:p>
        </w:tc>
        <w:tc>
          <w:tcPr>
            <w:tcW w:type="dxa" w:w="4320"/>
          </w:tcPr>
          <w:p>
            <w:r>
              <w:t>52,000</w:t>
            </w:r>
          </w:p>
        </w:tc>
      </w:tr>
      <w:tr>
        <w:tc>
          <w:tcPr>
            <w:tcW w:type="dxa" w:w="4320"/>
          </w:tcPr>
          <w:p>
            <w:r>
              <w:t>Specialist climate, ecosystem and governance assessments</w:t>
            </w:r>
          </w:p>
        </w:tc>
        <w:tc>
          <w:tcPr>
            <w:tcW w:type="dxa" w:w="4320"/>
          </w:tcPr>
          <w:p>
            <w:r>
              <w:t>42,000</w:t>
            </w:r>
          </w:p>
        </w:tc>
      </w:tr>
      <w:tr>
        <w:tc>
          <w:tcPr>
            <w:tcW w:type="dxa" w:w="4320"/>
          </w:tcPr>
          <w:p>
            <w:r>
              <w:t>Community participation and capacity-building</w:t>
            </w:r>
          </w:p>
        </w:tc>
        <w:tc>
          <w:tcPr>
            <w:tcW w:type="dxa" w:w="4320"/>
          </w:tcPr>
          <w:p>
            <w:r>
              <w:t>30,000</w:t>
            </w:r>
          </w:p>
        </w:tc>
      </w:tr>
      <w:tr>
        <w:tc>
          <w:tcPr>
            <w:tcW w:type="dxa" w:w="4320"/>
          </w:tcPr>
          <w:p>
            <w:r>
              <w:t>Limited validation/demonstration, if justified</w:t>
            </w:r>
          </w:p>
        </w:tc>
        <w:tc>
          <w:tcPr>
            <w:tcW w:type="dxa" w:w="4320"/>
          </w:tcPr>
          <w:p>
            <w:r>
              <w:t>15,000</w:t>
            </w:r>
          </w:p>
        </w:tc>
      </w:tr>
      <w:tr>
        <w:tc>
          <w:tcPr>
            <w:tcW w:type="dxa" w:w="4320"/>
          </w:tcPr>
          <w:p>
            <w:r>
              <w:t>Institutional uptake, guidance and coordination</w:t>
            </w:r>
          </w:p>
        </w:tc>
        <w:tc>
          <w:tcPr>
            <w:tcW w:type="dxa" w:w="4320"/>
          </w:tcPr>
          <w:p>
            <w:r>
              <w:t>22,000</w:t>
            </w:r>
          </w:p>
        </w:tc>
      </w:tr>
      <w:tr>
        <w:tc>
          <w:tcPr>
            <w:tcW w:type="dxa" w:w="4320"/>
          </w:tcPr>
          <w:p>
            <w:r>
              <w:t>Monitoring, evaluation and learning</w:t>
            </w:r>
          </w:p>
        </w:tc>
        <w:tc>
          <w:tcPr>
            <w:tcW w:type="dxa" w:w="4320"/>
          </w:tcPr>
          <w:p>
            <w:r>
              <w:t>22,000</w:t>
            </w:r>
          </w:p>
        </w:tc>
      </w:tr>
      <w:tr>
        <w:tc>
          <w:tcPr>
            <w:tcW w:type="dxa" w:w="4320"/>
          </w:tcPr>
          <w:p>
            <w:r>
              <w:t>Safeguards, accessibility and complaints</w:t>
            </w:r>
          </w:p>
        </w:tc>
        <w:tc>
          <w:tcPr>
            <w:tcW w:type="dxa" w:w="4320"/>
          </w:tcPr>
          <w:p>
            <w:r>
              <w:t>12,000</w:t>
            </w:r>
          </w:p>
        </w:tc>
      </w:tr>
      <w:tr>
        <w:tc>
          <w:tcPr>
            <w:tcW w:type="dxa" w:w="4320"/>
          </w:tcPr>
          <w:p>
            <w:r>
              <w:t>Local travel and field logistics</w:t>
            </w:r>
          </w:p>
        </w:tc>
        <w:tc>
          <w:tcPr>
            <w:tcW w:type="dxa" w:w="4320"/>
          </w:tcPr>
          <w:p>
            <w:r>
              <w:t>15,000</w:t>
            </w:r>
          </w:p>
        </w:tc>
      </w:tr>
      <w:tr>
        <w:tc>
          <w:tcPr>
            <w:tcW w:type="dxa" w:w="4320"/>
          </w:tcPr>
          <w:p>
            <w:r>
              <w:t>External project audit</w:t>
            </w:r>
          </w:p>
        </w:tc>
        <w:tc>
          <w:tcPr>
            <w:tcW w:type="dxa" w:w="4320"/>
          </w:tcPr>
          <w:p>
            <w:r>
              <w:t>6,000</w:t>
            </w:r>
          </w:p>
        </w:tc>
      </w:tr>
      <w:tr>
        <w:tc>
          <w:tcPr>
            <w:tcW w:type="dxa" w:w="4320"/>
          </w:tcPr>
          <w:p>
            <w:r>
              <w:t>Project-attributable administration and communications</w:t>
            </w:r>
          </w:p>
        </w:tc>
        <w:tc>
          <w:tcPr>
            <w:tcW w:type="dxa" w:w="4320"/>
          </w:tcPr>
          <w:p>
            <w:r>
              <w:t>14,000</w:t>
            </w:r>
          </w:p>
        </w:tc>
      </w:tr>
      <w:tr>
        <w:tc>
          <w:tcPr>
            <w:tcW w:type="dxa" w:w="4320"/>
          </w:tcPr>
          <w:p>
            <w:r>
              <w:t>TOTAL</w:t>
            </w:r>
          </w:p>
        </w:tc>
        <w:tc>
          <w:tcPr>
            <w:tcW w:type="dxa" w:w="4320"/>
          </w:tcPr>
          <w:p>
            <w:r>
              <w:t>230,000</w:t>
            </w:r>
          </w:p>
        </w:tc>
      </w:tr>
    </w:tbl>
    <w:p/>
    <w:p>
      <w:r>
        <w:t>Planning example only. Use the official template, unit costs and activity links. Avoid overlapping costs. Remove unnecessary demonstration costs. No grant transfer to the Ministry or KCCA is assumed. Seek written clarification on ambiguous government-participation costs; do not treat allowances or officer consultancy payments as an automatic workaround.</w:t>
      </w:r>
    </w:p>
    <w:p>
      <w:r>
        <w:t>The manual describes an initial 30% disbursement and a final withholding of at least 10% pending acceptance of final financial/audit reporting, with conditions for interim disbursements. Model cash-flow needs. Include the required external audit. Final agreement terms govern. [6]</w:t>
      </w:r>
    </w:p>
    <w:p>
      <w:bookmarkStart w:id="14" w:name="s14"/>
      <w:pPr>
        <w:pStyle w:val="Heading1"/>
      </w:pPr>
      <w:r>
        <w:t>14. Sustainability and exit strategy</w:t>
      </w:r>
      <w:bookmarkEnd w:id="14"/>
    </w:p>
    <w:p>
      <w:pPr>
        <w:pStyle w:val="ListBullet"/>
      </w:pPr>
      <w:r>
        <w:t>Assign an owner to evidence, maps and monitoring data.</w:t>
      </w:r>
    </w:p>
    <w:p>
      <w:pPr>
        <w:pStyle w:val="ListBullet"/>
      </w:pPr>
      <w:r>
        <w:t>Integrate guidance into relevant procedures or training.</w:t>
      </w:r>
    </w:p>
    <w:p>
      <w:pPr>
        <w:pStyle w:val="ListBullet"/>
      </w:pPr>
      <w:r>
        <w:t>Agree the convening body and recurring resources for coordination.</w:t>
      </w:r>
    </w:p>
    <w:p>
      <w:pPr>
        <w:pStyle w:val="ListBullet"/>
      </w:pPr>
      <w:r>
        <w:t>Identify implementers and responsibilities within the management instrument.</w:t>
      </w:r>
    </w:p>
    <w:p>
      <w:pPr>
        <w:pStyle w:val="ListBullet"/>
      </w:pPr>
      <w:r>
        <w:t>Assign maintenance and financing responsibilities for any demonstration.</w:t>
      </w:r>
    </w:p>
    <w:p>
      <w:pPr>
        <w:pStyle w:val="ListBullet"/>
      </w:pPr>
      <w:r>
        <w:t>Distinguish secured resources, proposed allocations and exploratory donor discussions.</w:t>
      </w:r>
    </w:p>
    <w:p>
      <w:r>
        <w:t>Start continuation planning at inception. Seek documented commitments before closure; do not describe a funding pipeline as secured investment.</w:t>
      </w:r>
    </w:p>
    <w:p>
      <w:bookmarkStart w:id="15" w:name="s15"/>
      <w:pPr>
        <w:pStyle w:val="Heading1"/>
      </w:pPr>
      <w:r>
        <w:t>15. Conditions for proceeding</w:t>
      </w:r>
      <w:bookmarkEnd w:id="15"/>
    </w:p>
    <w:p>
      <w:pPr>
        <w:pStyle w:val="ListBullet"/>
      </w:pPr>
      <w:r>
        <w:t>Survey or another verified existing initiative supplies a credible foundation.</w:t>
      </w:r>
    </w:p>
    <w:p>
      <w:pPr>
        <w:pStyle w:val="ListBullet"/>
      </w:pPr>
      <w:r>
        <w:t>Selected location has a defensible climate–ecosystem–people pathway.</w:t>
      </w:r>
    </w:p>
    <w:p>
      <w:pPr>
        <w:pStyle w:val="ListBullet"/>
      </w:pPr>
      <w:r>
        <w:t>Qualified technical staff and committed partners are available.</w:t>
      </w:r>
    </w:p>
    <w:p>
      <w:pPr>
        <w:pStyle w:val="ListBullet"/>
      </w:pPr>
      <w:r>
        <w:t>Communities and responsible institutions are willing to participate.</w:t>
      </w:r>
    </w:p>
    <w:p>
      <w:pPr>
        <w:pStyle w:val="ListBullet"/>
      </w:pPr>
      <w:r>
        <w:t>Lead and funded partners meet legal, financial and delivery requirements.</w:t>
      </w:r>
    </w:p>
    <w:p>
      <w:pPr>
        <w:pStyle w:val="ListBullet"/>
      </w:pPr>
      <w:r>
        <w:t>Safeguards risks, costs and institutional timelines are manageable.</w:t>
      </w:r>
    </w:p>
    <w:p>
      <w:r>
        <w:t>Confirm one strategic objective and compliant pillar selections. If governance reform rather than capacity becomes the main result, reconsider Objective 2 rather than claiming multiple objectives. If the gates fail, revise or pause the concept rather than relabel general environmental activity as EbA.</w:t>
      </w:r>
    </w:p>
    <w:p>
      <w:bookmarkStart w:id="16" w:name="s16"/>
      <w:pPr>
        <w:pStyle w:val="Heading1"/>
      </w:pPr>
      <w:r>
        <w:t>16. Technical partners to approach</w:t>
      </w:r>
      <w:bookmarkEnd w:id="16"/>
    </w:p>
    <w:p>
      <w:pPr>
        <w:pStyle w:val="Heading2"/>
      </w:pPr>
      <w:r>
        <w:t>16.1 Ministry of Water and Environment — government collaborator</w:t>
      </w:r>
    </w:p>
    <w:p>
      <w:r>
        <w:t>The Ministry’s stated mission concerns sustainable water/environment resource use and a climate-resilient population. Approach it for referral to the relevant wetlands, water-resources/catchment and climate-adaptation teams. Request technical review, relevant evidence, advice on policies and permissions, and a focal person if willing. Proposed participation is not confirmed. [8]</w:t>
      </w:r>
    </w:p>
    <w:p>
      <w:r>
        <w:t>Funding restriction: do not propose the Ministry as a funded lead or sub-grantee. Agree compliant non-funded collaboration and seek Secretariat guidance on ambiguous costs. Official general contact published by the Ministry: info@mwe.go.ug.</w:t>
      </w:r>
    </w:p>
    <w:p>
      <w:pPr>
        <w:pStyle w:val="Heading2"/>
      </w:pPr>
      <w:r>
        <w:t>16.2 NatureUganda — prospective ecological implementation partner</w:t>
      </w:r>
    </w:p>
    <w:p>
      <w:r>
        <w:t>NatureUganda reports wetland management planning, restoration, community capacity-building and conservation-policy experience. It is a credible organisation to approach for ecosystem assessment, management design and monitoring. Confirm site relevance, availability, named specialists, legal/financial eligibility and delivery scope. Its published work is not a commitment to APFAF or confirmation of grant eligibility. [9]</w:t>
      </w:r>
    </w:p>
    <w:p>
      <w:pPr>
        <w:pStyle w:val="Heading2"/>
      </w:pPr>
      <w:r>
        <w:t>16.3 Makerere University — prospective specialist research partner</w:t>
      </w:r>
    </w:p>
    <w:p>
      <w:r>
        <w:t>CEDAT materials identify relevant subject areas including hydrology, water-resources management, flood mitigation, GIS and drainage. Approach the appropriate team for technical review, mapping, baseline analysis and monitoring design; verify current personnel and comparable delivery experience. Teaching materials alone do not establish team availability. [10–11]</w:t>
      </w:r>
    </w:p>
    <w:p>
      <w:r>
        <w:t>The Fund lists universities as eligible but prohibits funding government entities. Obtain written clarification on the contractual treatment of a public university before budgeting a funded role. Do not assume automatic inclusion or exclusion.</w:t>
      </w:r>
    </w:p>
    <w:p>
      <w:pPr>
        <w:pStyle w:val="Heading2"/>
      </w:pPr>
      <w:r>
        <w:t>16.4 KCCA — local institutional collaborator</w:t>
      </w:r>
    </w:p>
    <w:p>
      <w:r>
        <w:t>KCCA’s published climate-action material addresses wetland protection/restoration, climate-risk management and national coordination. Confirm the latest plans, responsible offices and local priorities. Request engagement on site selection, evidence, approvals and integration of results. Its prospective role is non-funded in accordance with government-transfer restrictions. [12]</w:t>
      </w:r>
    </w:p>
    <w:p>
      <w:bookmarkStart w:id="17" w:name="s17"/>
      <w:pPr>
        <w:pStyle w:val="Heading1"/>
      </w:pPr>
      <w:r>
        <w:t>17. Recommended partnership structure</w:t>
      </w:r>
      <w:bookmarkEnd w:id="17"/>
    </w:p>
    <w:tbl>
      <w:tblPr>
        <w:tblStyle w:val="LightShading-Accent1"/>
        <w:tblW w:type="auto" w:w="0"/>
        <w:tblLook w:firstColumn="1" w:firstRow="1" w:lastColumn="0" w:lastRow="0" w:noHBand="0" w:noVBand="1" w:val="04A0"/>
      </w:tblPr>
      <w:tblGrid>
        <w:gridCol w:w="4320"/>
        <w:gridCol w:w="4320"/>
      </w:tblGrid>
      <w:tr>
        <w:tc>
          <w:tcPr>
            <w:tcW w:type="dxa" w:w="4320"/>
          </w:tcPr>
          <w:p>
            <w:r>
              <w:t>Organisation</w:t>
            </w:r>
          </w:p>
        </w:tc>
        <w:tc>
          <w:tcPr>
            <w:tcW w:type="dxa" w:w="4320"/>
          </w:tcPr>
          <w:p>
            <w:r>
              <w:t>Proposed role</w:t>
            </w:r>
          </w:p>
        </w:tc>
      </w:tr>
      <w:tr>
        <w:tc>
          <w:tcPr>
            <w:tcW w:type="dxa" w:w="4320"/>
          </w:tcPr>
          <w:p>
            <w:r>
              <w:t>APFAF</w:t>
            </w:r>
          </w:p>
        </w:tc>
        <w:tc>
          <w:tcPr>
            <w:tcW w:type="dxa" w:w="4320"/>
          </w:tcPr>
          <w:p>
            <w:r>
              <w:t>Lead if capacity demonstrated; rights, community engagement, coordination and accountability</w:t>
            </w:r>
          </w:p>
        </w:tc>
      </w:tr>
      <w:tr>
        <w:tc>
          <w:tcPr>
            <w:tcW w:type="dxa" w:w="4320"/>
          </w:tcPr>
          <w:p>
            <w:r>
              <w:t>Eligible ecological specialist</w:t>
            </w:r>
          </w:p>
        </w:tc>
        <w:tc>
          <w:tcPr>
            <w:tcW w:type="dxa" w:w="4320"/>
          </w:tcPr>
          <w:p>
            <w:r>
              <w:t>Technical implementation, ecosystem analysis and monitoring</w:t>
            </w:r>
          </w:p>
        </w:tc>
      </w:tr>
      <w:tr>
        <w:tc>
          <w:tcPr>
            <w:tcW w:type="dxa" w:w="4320"/>
          </w:tcPr>
          <w:p>
            <w:r>
              <w:t>Ministry of Water and Environment</w:t>
            </w:r>
          </w:p>
        </w:tc>
        <w:tc>
          <w:tcPr>
            <w:tcW w:type="dxa" w:w="4320"/>
          </w:tcPr>
          <w:p>
            <w:r>
              <w:t>Non-funded technical and policy collaboration</w:t>
            </w:r>
          </w:p>
        </w:tc>
      </w:tr>
      <w:tr>
        <w:tc>
          <w:tcPr>
            <w:tcW w:type="dxa" w:w="4320"/>
          </w:tcPr>
          <w:p>
            <w:r>
              <w:t>KCCA</w:t>
            </w:r>
          </w:p>
        </w:tc>
        <w:tc>
          <w:tcPr>
            <w:tcW w:type="dxa" w:w="4320"/>
          </w:tcPr>
          <w:p>
            <w:r>
              <w:t>Non-funded local planning and institutional collaboration</w:t>
            </w:r>
          </w:p>
        </w:tc>
      </w:tr>
      <w:tr>
        <w:tc>
          <w:tcPr>
            <w:tcW w:type="dxa" w:w="4320"/>
          </w:tcPr>
          <w:p>
            <w:r>
              <w:t>Makerere specialists, if needed</w:t>
            </w:r>
          </w:p>
        </w:tc>
        <w:tc>
          <w:tcPr>
            <w:tcW w:type="dxa" w:w="4320"/>
          </w:tcPr>
          <w:p>
            <w:r>
              <w:t>Targeted research/hydrological support, with eligibility clarified</w:t>
            </w:r>
          </w:p>
        </w:tc>
      </w:tr>
      <w:tr>
        <w:tc>
          <w:tcPr>
            <w:tcW w:type="dxa" w:w="4320"/>
          </w:tcPr>
          <w:p>
            <w:r>
              <w:t>Community organisations</w:t>
            </w:r>
          </w:p>
        </w:tc>
        <w:tc>
          <w:tcPr>
            <w:tcW w:type="dxa" w:w="4320"/>
          </w:tcPr>
          <w:p>
            <w:r>
              <w:t>Co-design, accountability and local ownership</w:t>
            </w:r>
          </w:p>
        </w:tc>
      </w:tr>
    </w:tbl>
    <w:p/>
    <w:p>
      <w:r>
        <w:t>Keep the partnership manageable. Agree outputs, staff time, budgets, safeguards, data rights and post-project responsibilities in writing. If APFAF cannot meet lead-capacity requirements, explore an experienced eligible lead while preserving a substantive APFAF role. A partner does not remove APFAF’s own applicable eligibility obligations.</w:t>
      </w:r>
    </w:p>
    <w:p>
      <w:bookmarkStart w:id="18" w:name="s18"/>
      <w:pPr>
        <w:pStyle w:val="Heading1"/>
      </w:pPr>
      <w:r>
        <w:t>18. Sample Ministry outreach email</w:t>
      </w:r>
      <w:bookmarkEnd w:id="18"/>
    </w:p>
    <w:p>
      <w:r>
        <w:t>Subject: Request for technical collaboration on a proposed Kampala ecosystem-based adaptation project</w:t>
      </w:r>
    </w:p>
    <w:p>
      <w:r>
        <w:t>Dear Permanent Secretary / Relevant Technical Department,</w:t>
      </w:r>
    </w:p>
    <w:p>
      <w:r>
        <w:t>A Pen For Africa is developing a concept for the Global EbA Fund’s small-size grants window, provisionally titled “From Community Evidence to Action: Rights-Based Ecosystem Governance for Climate Resilience in Kampala.”</w:t>
      </w:r>
    </w:p>
    <w:p>
      <w:r>
        <w:t>The concept would build on our 2024 Kampala community survey, subject to validation of its findings and relevance, to investigate how ecosystem management can support climate resilience in a selected community.</w:t>
      </w:r>
    </w:p>
    <w:p>
      <w:r>
        <w:t>We seek an initial technical discussion to assess the proposed adaptation pathway, identify relevant evidence and existing initiatives, and understand appropriate institutional coordination and permissions.</w:t>
      </w:r>
    </w:p>
    <w:p>
      <w:r>
        <w:t>We would appreciate referral to the relevant wetlands, water-resources and climate-adaptation teams. We also seek guidance on whether the Ministry could nominate a focal person and participate as a non-funded technical and policy collaborator, consistent with the Fund’s prohibition on direct grants and sub-grants to government entities.</w:t>
      </w:r>
    </w:p>
    <w:p>
      <w:r>
        <w:t>We can provide our survey report, organisational profile and preliminary concept note for review.</w:t>
        <w:br/>
        <w:br/>
        <w:t>Kind regards,</w:t>
        <w:br/>
        <w:t>[Name and title]</w:t>
        <w:br/>
        <w:t>A Pen For Africa</w:t>
        <w:br/>
        <w:t>[Contact details]</w:t>
      </w:r>
    </w:p>
    <w:p>
      <w:r>
        <w:t>Begin with technical validation and specific responsibilities, not merely a request for endorsement.</w:t>
      </w:r>
    </w:p>
    <w:p>
      <w:bookmarkStart w:id="19" w:name="s19"/>
      <w:pPr>
        <w:pStyle w:val="Heading1"/>
      </w:pPr>
      <w:r>
        <w:t>19. Submission checklist and source register</w:t>
      </w:r>
      <w:bookmarkEnd w:id="19"/>
    </w:p>
    <w:p>
      <w:r>
        <w:t>The published small-grant deadline is 26 October 2026. Confirm the exact closing time/time zone and current portal requirements. The detailed call specifies 18–24 months while the webpage says up to 24 months; this 24-month design satisfies both. This concept note supports drafting but does not replace the official application package. [4–6]</w:t>
      </w:r>
    </w:p>
    <w:p>
      <w:pPr>
        <w:pStyle w:val="ListBullet"/>
      </w:pPr>
      <w:r>
        <w:t>Replace all placeholders and substantiate claims.</w:t>
      </w:r>
    </w:p>
    <w:p>
      <w:pPr>
        <w:pStyle w:val="ListBullet"/>
      </w:pPr>
      <w:r>
        <w:t>Confirm registration, legal authority, finances, controls and relevant experience.</w:t>
      </w:r>
    </w:p>
    <w:p>
      <w:pPr>
        <w:pStyle w:val="ListBullet"/>
      </w:pPr>
      <w:r>
        <w:t>Obtain written partner commitments and applicable mandates.</w:t>
      </w:r>
    </w:p>
    <w:p>
      <w:pPr>
        <w:pStyle w:val="ListBullet"/>
      </w:pPr>
      <w:r>
        <w:t>Complete the official application, Theory of Change/logframe/activities form and Excel budget.</w:t>
      </w:r>
    </w:p>
    <w:p>
      <w:pPr>
        <w:pStyle w:val="ListBullet"/>
      </w:pPr>
      <w:r>
        <w:t>Prepare the declaration, due-diligence questionnaire, required registration/constitutive documents and key staff CVs.</w:t>
      </w:r>
    </w:p>
    <w:p>
      <w:pPr>
        <w:pStyle w:val="ListBullet"/>
      </w:pPr>
      <w:r>
        <w:t>Follow the portal on initial versus shortlisted-stage documents and English translations.</w:t>
      </w:r>
    </w:p>
    <w:p>
      <w:pPr>
        <w:pStyle w:val="ListBullet"/>
      </w:pPr>
      <w:r>
        <w:t>Review narrative, budget, safeguards and indicators for consistency; submit early and retain confirmation.</w:t>
      </w:r>
    </w:p>
    <w:p>
      <w:r>
        <w:t>Secretariat: contact.EbAFund@iucn.org</w:t>
        <w:br/>
        <w:t>Small-grant portal: https://gms-portal.iucn.org/public/calls/6e62954d-c139-430b-b4ad-75d11a6ed4a5</w:t>
      </w:r>
    </w:p>
    <w:p>
      <w:r>
        <w:t>[1] APFAF About</w:t>
        <w:br/>
        <w:t>https://apenforafrica.org/about/</w:t>
      </w:r>
    </w:p>
    <w:p>
      <w:r>
        <w:t>[2] APFAF Home</w:t>
        <w:br/>
        <w:t>https://apenforafrica.org/</w:t>
      </w:r>
    </w:p>
    <w:p>
      <w:r>
        <w:t>[3] APFAF Projects</w:t>
        <w:br/>
        <w:t>https://apenforafrica.org/projects/</w:t>
      </w:r>
    </w:p>
    <w:p>
      <w:r>
        <w:t>[4] Small-size grants</w:t>
        <w:br/>
        <w:t>https://globalebafund.org/small-size-grants/</w:t>
      </w:r>
    </w:p>
    <w:p>
      <w:r>
        <w:t>[5] Small-size call document</w:t>
        <w:br/>
        <w:t>https://globalebafund.org/wp-content/uploads/2026/08/Global-EbA-Fund_Small-size-grants-Call-for-Proposals.pdf</w:t>
      </w:r>
    </w:p>
    <w:p>
      <w:r>
        <w:t>[6] Grants Procedure Manual</w:t>
        <w:br/>
        <w:t>https://globalebafund.org/wp-content/uploads/2026/08/Global-EbA-Fund-Grants-Procedure-Manual.pdf</w:t>
      </w:r>
    </w:p>
    <w:p>
      <w:r>
        <w:t>[7] Core Indicator Framework</w:t>
        <w:br/>
        <w:t>https://globalebafund.org/wp-content/uploads/2026/08/Global-EbA-Fund-Core-Indicator-Framework_August-2026.pdf</w:t>
      </w:r>
    </w:p>
    <w:p>
      <w:r>
        <w:t>[8] Ministry of Water and Environment</w:t>
        <w:br/>
        <w:t>https://mwe.go.ug/</w:t>
      </w:r>
    </w:p>
    <w:p>
      <w:r>
        <w:t>[9] NatureUganda wetland experience</w:t>
        <w:br/>
        <w:t>https://natureuganda.org/wetlands/</w:t>
      </w:r>
    </w:p>
    <w:p>
      <w:r>
        <w:t>[10] Makerere water-resources subject areas</w:t>
        <w:br/>
        <w:t>https://cedat.mak.ac.ug/undergraduate-programmes/bsc-civil-engineering/civ4202-water-resources-engineering-ii/</w:t>
      </w:r>
    </w:p>
    <w:p>
      <w:r>
        <w:t>[11] Makerere hydrology/flood-mitigation subject areas</w:t>
        <w:br/>
        <w:t>https://cedat.mak.ac.ug/undergraduate-programmes/bsc-civil-engineering/civ-3204-water-resources-engineering-i/</w:t>
      </w:r>
    </w:p>
    <w:p>
      <w:r>
        <w:t>[12] KCCA published climate-action material</w:t>
        <w:br/>
        <w:t>https://www.kcca.go.ug/uDocs/Kampala-Climate-Change-Action.pdf</w:t>
      </w:r>
    </w:p>
    <w:p>
      <w:r>
        <w:t>Sources were reviewed in the preceding research. Recheck current official guidance before submission. Partner descriptions are based on published information; no organisation named here has been contacted or confirmed.</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concept note • Working draft • 12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 PEN FOR AFRICA | GLOBAL EbA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A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5A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5A5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