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517C" w:rsidRPr="00E61049" w:rsidRDefault="006E0174" w:rsidP="00323E96">
      <w:pPr>
        <w:spacing w:after="400" w:line="360" w:lineRule="auto"/>
        <w:jc w:val="center"/>
        <w:rPr>
          <w:rFonts w:ascii="Times New Roman" w:hAnsi="Times New Roman" w:cs="Times New Roman"/>
        </w:rPr>
      </w:pPr>
      <w:r w:rsidRPr="00E61049">
        <w:rPr>
          <w:rFonts w:ascii="Times New Roman" w:hAnsi="Times New Roman" w:cs="Times New Roman"/>
          <w:b/>
          <w:bCs/>
          <w:sz w:val="48"/>
          <w:szCs w:val="48"/>
        </w:rPr>
        <w:t>PROIECT</w:t>
      </w:r>
    </w:p>
    <w:p w:rsidR="0054517C" w:rsidRPr="00E61049" w:rsidRDefault="006E0174" w:rsidP="00323E96">
      <w:pPr>
        <w:spacing w:after="200" w:line="360" w:lineRule="auto"/>
        <w:jc w:val="center"/>
        <w:rPr>
          <w:rFonts w:ascii="Times New Roman" w:hAnsi="Times New Roman" w:cs="Times New Roman"/>
        </w:rPr>
      </w:pPr>
      <w:r w:rsidRPr="00E61049">
        <w:rPr>
          <w:rFonts w:ascii="Times New Roman" w:hAnsi="Times New Roman" w:cs="Times New Roman"/>
          <w:b/>
          <w:bCs/>
          <w:sz w:val="36"/>
          <w:szCs w:val="36"/>
        </w:rPr>
        <w:t>Dezvoltare Software pentru Analiza Datelor</w:t>
      </w:r>
    </w:p>
    <w:p w:rsidR="0054517C" w:rsidRPr="00E61049" w:rsidRDefault="006E0174" w:rsidP="00323E96">
      <w:pPr>
        <w:spacing w:after="600" w:line="360" w:lineRule="auto"/>
        <w:jc w:val="center"/>
        <w:rPr>
          <w:rFonts w:ascii="Times New Roman" w:hAnsi="Times New Roman" w:cs="Times New Roman"/>
        </w:rPr>
      </w:pPr>
      <w:r w:rsidRPr="00E61049">
        <w:rPr>
          <w:rFonts w:ascii="Times New Roman" w:hAnsi="Times New Roman" w:cs="Times New Roman"/>
          <w:sz w:val="28"/>
          <w:szCs w:val="28"/>
        </w:rPr>
        <w:t>Analiza Componentelor Principale (ACP) si Analiza Factoriala Exploratorie (AEF)</w:t>
      </w:r>
    </w:p>
    <w:p w:rsidR="0054517C" w:rsidRPr="00E61049" w:rsidRDefault="006E0174" w:rsidP="00323E96">
      <w:pPr>
        <w:spacing w:after="200" w:line="360" w:lineRule="auto"/>
        <w:jc w:val="center"/>
        <w:rPr>
          <w:rFonts w:ascii="Times New Roman" w:hAnsi="Times New Roman" w:cs="Times New Roman"/>
        </w:rPr>
      </w:pPr>
      <w:r w:rsidRPr="00E61049">
        <w:rPr>
          <w:rFonts w:ascii="Times New Roman" w:hAnsi="Times New Roman" w:cs="Times New Roman"/>
        </w:rPr>
        <w:t>Echipa: Grigoras, Gidea</w:t>
      </w:r>
    </w:p>
    <w:p w:rsidR="0054517C" w:rsidRPr="00E61049" w:rsidRDefault="006E0174" w:rsidP="00323E96">
      <w:pPr>
        <w:spacing w:after="200" w:line="360" w:lineRule="auto"/>
        <w:jc w:val="center"/>
        <w:rPr>
          <w:rFonts w:ascii="Times New Roman" w:hAnsi="Times New Roman" w:cs="Times New Roman"/>
        </w:rPr>
      </w:pPr>
      <w:r w:rsidRPr="00E61049">
        <w:rPr>
          <w:rFonts w:ascii="Times New Roman" w:hAnsi="Times New Roman" w:cs="Times New Roman"/>
        </w:rPr>
        <w:t>Grupa: 1086</w:t>
      </w:r>
    </w:p>
    <w:p w:rsidR="0054517C" w:rsidRPr="00E61049" w:rsidRDefault="006E0174" w:rsidP="00323E96">
      <w:pPr>
        <w:spacing w:after="400" w:line="360" w:lineRule="auto"/>
        <w:jc w:val="center"/>
        <w:rPr>
          <w:rFonts w:ascii="Times New Roman" w:hAnsi="Times New Roman" w:cs="Times New Roman"/>
        </w:rPr>
      </w:pPr>
      <w:r w:rsidRPr="00E61049">
        <w:rPr>
          <w:rFonts w:ascii="Times New Roman" w:hAnsi="Times New Roman" w:cs="Times New Roman"/>
        </w:rPr>
        <w:t>Anul universitar 2024-2025</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Default="006E0174" w:rsidP="00E84220">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CUPRINS</w:t>
      </w:r>
    </w:p>
    <w:p w:rsidR="00E84220" w:rsidRPr="00E61049" w:rsidRDefault="00E84220" w:rsidP="00E84220">
      <w:pPr>
        <w:pStyle w:val="Heading1"/>
        <w:spacing w:line="360" w:lineRule="auto"/>
        <w:jc w:val="center"/>
        <w:rPr>
          <w:rFonts w:ascii="Times New Roman" w:hAnsi="Times New Roman" w:cs="Times New Roman"/>
        </w:rPr>
      </w:pP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1.</w:t>
      </w:r>
      <w:r w:rsidRPr="00E61049">
        <w:rPr>
          <w:rFonts w:ascii="Times New Roman" w:hAnsi="Times New Roman" w:cs="Times New Roman"/>
        </w:rPr>
        <w:t>Introducere</w:t>
      </w:r>
      <w:r w:rsidR="00E84220">
        <w:rPr>
          <w:rFonts w:ascii="Times New Roman" w:hAnsi="Times New Roman" w:cs="Times New Roman"/>
        </w:rPr>
        <w:t>................................................................................................................................3</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2. Surse de date</w:t>
      </w:r>
      <w:r w:rsidR="00E84220">
        <w:rPr>
          <w:rFonts w:ascii="Times New Roman" w:hAnsi="Times New Roman" w:cs="Times New Roman"/>
        </w:rPr>
        <w:t>............................................................................................................................4</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3. Descrierea variabilelor</w:t>
      </w:r>
      <w:r w:rsidR="00E84220">
        <w:rPr>
          <w:rFonts w:ascii="Times New Roman" w:hAnsi="Times New Roman" w:cs="Times New Roman"/>
        </w:rPr>
        <w:t>.............................................................................................................5</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4. Metode de analiza</w:t>
      </w:r>
      <w:r w:rsidR="00E84220">
        <w:rPr>
          <w:rFonts w:ascii="Times New Roman" w:hAnsi="Times New Roman" w:cs="Times New Roman"/>
        </w:rPr>
        <w:t>..................................................................................................................10</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5. Analiza 1: ACP - Indicatori Economici UE</w:t>
      </w:r>
      <w:r w:rsidR="00E84220">
        <w:rPr>
          <w:rFonts w:ascii="Times New Roman" w:hAnsi="Times New Roman" w:cs="Times New Roman"/>
        </w:rPr>
        <w:t>...........................................................................12</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6. Analiza 2: AEF - Indicatori Educationali UE</w:t>
      </w:r>
      <w:r w:rsidR="00E84220">
        <w:rPr>
          <w:rFonts w:ascii="Times New Roman" w:hAnsi="Times New Roman" w:cs="Times New Roman"/>
        </w:rPr>
        <w:t>........................................................................14</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7. Concluzii</w:t>
      </w:r>
      <w:r w:rsidR="00E84220">
        <w:rPr>
          <w:rFonts w:ascii="Times New Roman" w:hAnsi="Times New Roman" w:cs="Times New Roman"/>
        </w:rPr>
        <w:t>................................................................................................................................19</w:t>
      </w:r>
    </w:p>
    <w:p w:rsidR="0054517C" w:rsidRPr="00E61049" w:rsidRDefault="006E0174" w:rsidP="00E84220">
      <w:pPr>
        <w:spacing w:line="720" w:lineRule="auto"/>
        <w:rPr>
          <w:rFonts w:ascii="Times New Roman" w:hAnsi="Times New Roman" w:cs="Times New Roman"/>
        </w:rPr>
      </w:pPr>
      <w:r w:rsidRPr="00E61049">
        <w:rPr>
          <w:rFonts w:ascii="Times New Roman" w:hAnsi="Times New Roman" w:cs="Times New Roman"/>
        </w:rPr>
        <w:t>8. Bibliografie</w:t>
      </w:r>
      <w:r w:rsidR="00E84220">
        <w:rPr>
          <w:rFonts w:ascii="Times New Roman" w:hAnsi="Times New Roman" w:cs="Times New Roman"/>
        </w:rPr>
        <w:t>............................................................................................................................21</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Pr="00E61049" w:rsidRDefault="006E0174" w:rsidP="00323E96">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1. INTRODUCERE</w:t>
      </w:r>
    </w:p>
    <w:p w:rsidR="006F35B4" w:rsidRPr="00E61049" w:rsidRDefault="006F35B4" w:rsidP="00323E96">
      <w:pPr>
        <w:pStyle w:val="Heading1"/>
        <w:spacing w:line="360" w:lineRule="auto"/>
        <w:rPr>
          <w:rFonts w:ascii="Times New Roman" w:hAnsi="Times New Roman" w:cs="Times New Roman"/>
        </w:rPr>
      </w:pPr>
    </w:p>
    <w:p w:rsidR="006F35B4" w:rsidRPr="00E61049" w:rsidRDefault="006F35B4" w:rsidP="00323E96">
      <w:pPr>
        <w:spacing w:after="200" w:line="360" w:lineRule="auto"/>
        <w:ind w:firstLine="708"/>
        <w:jc w:val="both"/>
        <w:rPr>
          <w:rFonts w:ascii="Times New Roman" w:hAnsi="Times New Roman" w:cs="Times New Roman"/>
        </w:rPr>
      </w:pPr>
      <w:r w:rsidRPr="00E61049">
        <w:rPr>
          <w:rFonts w:ascii="Times New Roman" w:hAnsi="Times New Roman" w:cs="Times New Roman"/>
        </w:rPr>
        <w:t xml:space="preserve">Datorita instabilității politice care a curpins globul ca o furtună, începând cu invazia sângeroasă și neprovocată a Rusiei în Ucraina, a fost pus accent mai mult ca niciodată pe stabilitatea și capacitatea Uniunii Europene de a gestiona situația de criză aflată chiar la granițele sale. Demersuri au fost luate în ultimii patru ani dar trendul indică faptul că modul curent de funcționare nu prezintă încredere în capacitatea alianței de a gestiona eficient cel mai dur test al său. </w:t>
      </w:r>
      <w:r w:rsidR="006A0784" w:rsidRPr="00E61049">
        <w:rPr>
          <w:rFonts w:ascii="Times New Roman" w:hAnsi="Times New Roman" w:cs="Times New Roman"/>
        </w:rPr>
        <w:t>Acționând uniți, ne putem întrece cu orice putere globală iar următorii ani vor fi decisivi pentru soarta a aproape 1.5 milioane de oameni. Cel mai important factor în prevenția unui eventual conflict este o economie puternică, capabilă să susțină orice direcție imprevizibilă ce s-ar putea ivi în următorii ani. În scopul analizei economice a Uniunii Europene se prezintă vital factorul social al educației, care nu numai este unul dintre pilonii unei economii sănătoase, ci și este cea mai bună protecție împotriva campaniilor fără sfârșit de propagandă împins</w:t>
      </w:r>
      <w:r w:rsidR="00907E8E" w:rsidRPr="00E61049">
        <w:rPr>
          <w:rFonts w:ascii="Times New Roman" w:hAnsi="Times New Roman" w:cs="Times New Roman"/>
        </w:rPr>
        <w:t>e de diferiți actori mondiali, fie Rusia, China sau chiar Heritage Foundation din United States.</w:t>
      </w:r>
    </w:p>
    <w:p w:rsidR="0054517C" w:rsidRPr="00E61049" w:rsidRDefault="006E0174" w:rsidP="00323E96">
      <w:pPr>
        <w:spacing w:after="200" w:line="360" w:lineRule="auto"/>
        <w:jc w:val="both"/>
        <w:rPr>
          <w:rFonts w:ascii="Times New Roman" w:hAnsi="Times New Roman" w:cs="Times New Roman"/>
        </w:rPr>
      </w:pPr>
      <w:r w:rsidRPr="00E61049">
        <w:rPr>
          <w:rFonts w:ascii="Times New Roman" w:hAnsi="Times New Roman" w:cs="Times New Roman"/>
        </w:rPr>
        <w:t>Acest proiect isi propune analiza datelor socio-economice si educationa</w:t>
      </w:r>
      <w:r w:rsidRPr="00E61049">
        <w:rPr>
          <w:rFonts w:ascii="Times New Roman" w:hAnsi="Times New Roman" w:cs="Times New Roman"/>
        </w:rPr>
        <w:t>le la nivelul tarilor membre ale Uniunii Europene, utilizand doua tehnici de analiza multivariata: Analiza Componentelor Principale (ACP) si Analiza Factoriala Exploratorie (AEF).</w:t>
      </w:r>
    </w:p>
    <w:p w:rsidR="0054517C" w:rsidRPr="00E61049" w:rsidRDefault="006E0174" w:rsidP="00323E96">
      <w:pPr>
        <w:spacing w:after="200" w:line="360" w:lineRule="auto"/>
        <w:jc w:val="both"/>
        <w:rPr>
          <w:rFonts w:ascii="Times New Roman" w:hAnsi="Times New Roman" w:cs="Times New Roman"/>
        </w:rPr>
      </w:pPr>
      <w:r w:rsidRPr="00E61049">
        <w:rPr>
          <w:rFonts w:ascii="Times New Roman" w:hAnsi="Times New Roman" w:cs="Times New Roman"/>
        </w:rPr>
        <w:t>Obiectivele proiectului sunt:</w:t>
      </w:r>
    </w:p>
    <w:p w:rsidR="0054517C" w:rsidRPr="00E61049" w:rsidRDefault="006E0174" w:rsidP="00323E96">
      <w:pPr>
        <w:spacing w:after="100" w:line="360" w:lineRule="auto"/>
        <w:jc w:val="both"/>
        <w:rPr>
          <w:rFonts w:ascii="Times New Roman" w:hAnsi="Times New Roman" w:cs="Times New Roman"/>
        </w:rPr>
      </w:pPr>
      <w:r w:rsidRPr="00E61049">
        <w:rPr>
          <w:rFonts w:ascii="Times New Roman" w:hAnsi="Times New Roman" w:cs="Times New Roman"/>
        </w:rPr>
        <w:t>- Identificarea dimensiunilor latente care car</w:t>
      </w:r>
      <w:r w:rsidRPr="00E61049">
        <w:rPr>
          <w:rFonts w:ascii="Times New Roman" w:hAnsi="Times New Roman" w:cs="Times New Roman"/>
        </w:rPr>
        <w:t>acterizeaza economiile europene</w:t>
      </w:r>
    </w:p>
    <w:p w:rsidR="0054517C" w:rsidRPr="00E61049" w:rsidRDefault="006E0174" w:rsidP="00323E96">
      <w:pPr>
        <w:spacing w:after="100" w:line="360" w:lineRule="auto"/>
        <w:jc w:val="both"/>
        <w:rPr>
          <w:rFonts w:ascii="Times New Roman" w:hAnsi="Times New Roman" w:cs="Times New Roman"/>
        </w:rPr>
      </w:pPr>
      <w:r w:rsidRPr="00E61049">
        <w:rPr>
          <w:rFonts w:ascii="Times New Roman" w:hAnsi="Times New Roman" w:cs="Times New Roman"/>
        </w:rPr>
        <w:t>- Reducerea dimensionalitatii seturilor de date pentru o mai buna interpretare</w:t>
      </w:r>
    </w:p>
    <w:p w:rsidR="0054517C" w:rsidRPr="00E61049" w:rsidRDefault="006E0174" w:rsidP="00323E96">
      <w:pPr>
        <w:spacing w:after="100" w:line="360" w:lineRule="auto"/>
        <w:jc w:val="both"/>
        <w:rPr>
          <w:rFonts w:ascii="Times New Roman" w:hAnsi="Times New Roman" w:cs="Times New Roman"/>
        </w:rPr>
      </w:pPr>
      <w:r w:rsidRPr="00E61049">
        <w:rPr>
          <w:rFonts w:ascii="Times New Roman" w:hAnsi="Times New Roman" w:cs="Times New Roman"/>
        </w:rPr>
        <w:t>- Clasificarea tarilor UE in functie de performantele economice si educationale</w:t>
      </w:r>
    </w:p>
    <w:p w:rsidR="0054517C" w:rsidRPr="00E61049" w:rsidRDefault="006E0174" w:rsidP="00323E96">
      <w:pPr>
        <w:spacing w:after="200" w:line="360" w:lineRule="auto"/>
        <w:jc w:val="both"/>
        <w:rPr>
          <w:rFonts w:ascii="Times New Roman" w:hAnsi="Times New Roman" w:cs="Times New Roman"/>
        </w:rPr>
      </w:pPr>
      <w:r w:rsidRPr="00E61049">
        <w:rPr>
          <w:rFonts w:ascii="Times New Roman" w:hAnsi="Times New Roman" w:cs="Times New Roman"/>
        </w:rPr>
        <w:t>- Validarea adecvarii datelor pentru analizele propuse</w:t>
      </w:r>
    </w:p>
    <w:p w:rsidR="006F35B4" w:rsidRPr="00E61049" w:rsidRDefault="006F35B4" w:rsidP="00323E96">
      <w:pPr>
        <w:spacing w:after="200" w:line="360" w:lineRule="auto"/>
        <w:rPr>
          <w:rFonts w:ascii="Times New Roman" w:hAnsi="Times New Roman" w:cs="Times New Roman"/>
        </w:rPr>
      </w:pPr>
    </w:p>
    <w:p w:rsidR="006F35B4" w:rsidRPr="00E61049" w:rsidRDefault="006F35B4" w:rsidP="00323E96">
      <w:pPr>
        <w:spacing w:after="200" w:line="360" w:lineRule="auto"/>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Default="006E0174" w:rsidP="005A4E38">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2. SURSE DE DATE</w:t>
      </w:r>
    </w:p>
    <w:p w:rsidR="005A4E38" w:rsidRPr="00E61049" w:rsidRDefault="005A4E38" w:rsidP="005A4E38">
      <w:pPr>
        <w:pStyle w:val="Heading1"/>
        <w:spacing w:line="360" w:lineRule="auto"/>
        <w:jc w:val="center"/>
        <w:rPr>
          <w:rFonts w:ascii="Times New Roman" w:hAnsi="Times New Roman" w:cs="Times New Roman"/>
        </w:rPr>
      </w:pP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2.1 Set de date 1: Indicatori Economici</w:t>
      </w:r>
    </w:p>
    <w:p w:rsidR="0054517C" w:rsidRPr="00E61049" w:rsidRDefault="006E0174" w:rsidP="00323E96">
      <w:pPr>
        <w:spacing w:after="200" w:line="360" w:lineRule="auto"/>
        <w:rPr>
          <w:rFonts w:ascii="Times New Roman" w:hAnsi="Times New Roman" w:cs="Times New Roman"/>
        </w:rPr>
      </w:pPr>
      <w:r w:rsidRPr="00E61049">
        <w:rPr>
          <w:rFonts w:ascii="Times New Roman" w:hAnsi="Times New Roman" w:cs="Times New Roman"/>
        </w:rPr>
        <w:t>Sursa: Eurostat - Macroeconomic Imbalance Procedure (MIP) Scoreboard</w:t>
      </w:r>
    </w:p>
    <w:p w:rsidR="0054517C" w:rsidRPr="00E61049" w:rsidRDefault="006E0174" w:rsidP="00323E96">
      <w:pPr>
        <w:spacing w:after="100" w:line="360" w:lineRule="auto"/>
        <w:rPr>
          <w:rFonts w:ascii="Times New Roman" w:hAnsi="Times New Roman" w:cs="Times New Roman"/>
        </w:rPr>
      </w:pPr>
      <w:r w:rsidRPr="00E61049">
        <w:rPr>
          <w:rFonts w:ascii="Times New Roman" w:hAnsi="Times New Roman" w:cs="Times New Roman"/>
        </w:rPr>
        <w:t>Link: https://ec.europa.eu/eurostat/databrowser/view/mips_sa</w:t>
      </w:r>
    </w:p>
    <w:p w:rsidR="0054517C" w:rsidRPr="00E61049" w:rsidRDefault="006E0174" w:rsidP="00323E96">
      <w:pPr>
        <w:spacing w:after="100" w:line="360" w:lineRule="auto"/>
        <w:rPr>
          <w:rFonts w:ascii="Times New Roman" w:hAnsi="Times New Roman" w:cs="Times New Roman"/>
        </w:rPr>
      </w:pPr>
      <w:r w:rsidRPr="00E61049">
        <w:rPr>
          <w:rFonts w:ascii="Times New Roman" w:hAnsi="Times New Roman" w:cs="Times New Roman"/>
        </w:rPr>
        <w:t>Perioada de referinta: 2023-2024</w:t>
      </w:r>
    </w:p>
    <w:p w:rsidR="0054517C" w:rsidRPr="00E61049" w:rsidRDefault="006E0174" w:rsidP="00323E96">
      <w:pPr>
        <w:spacing w:after="200" w:line="360" w:lineRule="auto"/>
        <w:rPr>
          <w:rFonts w:ascii="Times New Roman" w:hAnsi="Times New Roman" w:cs="Times New Roman"/>
        </w:rPr>
      </w:pPr>
      <w:r w:rsidRPr="00E61049">
        <w:rPr>
          <w:rFonts w:ascii="Times New Roman" w:hAnsi="Times New Roman" w:cs="Times New Roman"/>
        </w:rPr>
        <w:t>Observatii: 27 tari membre UE</w:t>
      </w: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2.2 Se</w:t>
      </w:r>
      <w:r w:rsidRPr="00E61049">
        <w:rPr>
          <w:rFonts w:ascii="Times New Roman" w:hAnsi="Times New Roman" w:cs="Times New Roman"/>
        </w:rPr>
        <w:t>t de date 2: Indicatori Educationali</w:t>
      </w:r>
    </w:p>
    <w:p w:rsidR="0054517C" w:rsidRPr="00E61049" w:rsidRDefault="006E0174" w:rsidP="00323E96">
      <w:pPr>
        <w:spacing w:after="200" w:line="360" w:lineRule="auto"/>
        <w:rPr>
          <w:rFonts w:ascii="Times New Roman" w:hAnsi="Times New Roman" w:cs="Times New Roman"/>
        </w:rPr>
      </w:pPr>
      <w:r w:rsidRPr="00E61049">
        <w:rPr>
          <w:rFonts w:ascii="Times New Roman" w:hAnsi="Times New Roman" w:cs="Times New Roman"/>
        </w:rPr>
        <w:t>Sursa: Eurostat - Education and Training Database</w:t>
      </w:r>
    </w:p>
    <w:p w:rsidR="0054517C" w:rsidRPr="00E61049" w:rsidRDefault="006E0174" w:rsidP="00323E96">
      <w:pPr>
        <w:spacing w:after="100" w:line="360" w:lineRule="auto"/>
        <w:rPr>
          <w:rFonts w:ascii="Times New Roman" w:hAnsi="Times New Roman" w:cs="Times New Roman"/>
        </w:rPr>
      </w:pPr>
      <w:r w:rsidRPr="00E61049">
        <w:rPr>
          <w:rFonts w:ascii="Times New Roman" w:hAnsi="Times New Roman" w:cs="Times New Roman"/>
        </w:rPr>
        <w:t>Link: https://ec.europa.eu/eurostat/web/education-and-training/database</w:t>
      </w:r>
    </w:p>
    <w:p w:rsidR="0054517C" w:rsidRPr="00E61049" w:rsidRDefault="006E0174" w:rsidP="00323E96">
      <w:pPr>
        <w:spacing w:after="100" w:line="360" w:lineRule="auto"/>
        <w:rPr>
          <w:rFonts w:ascii="Times New Roman" w:hAnsi="Times New Roman" w:cs="Times New Roman"/>
        </w:rPr>
      </w:pPr>
      <w:r w:rsidRPr="00E61049">
        <w:rPr>
          <w:rFonts w:ascii="Times New Roman" w:hAnsi="Times New Roman" w:cs="Times New Roman"/>
        </w:rPr>
        <w:t>Perioada de referinta: 2022-2024</w:t>
      </w:r>
    </w:p>
    <w:p w:rsidR="0054517C" w:rsidRPr="00E61049" w:rsidRDefault="006E0174" w:rsidP="00323E96">
      <w:pPr>
        <w:spacing w:after="200" w:line="360" w:lineRule="auto"/>
        <w:rPr>
          <w:rFonts w:ascii="Times New Roman" w:hAnsi="Times New Roman" w:cs="Times New Roman"/>
        </w:rPr>
      </w:pPr>
      <w:r w:rsidRPr="00E61049">
        <w:rPr>
          <w:rFonts w:ascii="Times New Roman" w:hAnsi="Times New Roman" w:cs="Times New Roman"/>
        </w:rPr>
        <w:t>Observatii: 27 tari membre UE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Default="006E0174" w:rsidP="005A4E38">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3. DESCRIEREA VARIABILELOR</w:t>
      </w:r>
    </w:p>
    <w:p w:rsidR="005A4E38" w:rsidRPr="00E61049" w:rsidRDefault="005A4E38" w:rsidP="005A4E38">
      <w:pPr>
        <w:pStyle w:val="Heading1"/>
        <w:spacing w:line="360" w:lineRule="auto"/>
        <w:jc w:val="center"/>
        <w:rPr>
          <w:rFonts w:ascii="Times New Roman" w:hAnsi="Times New Roman" w:cs="Times New Roman"/>
        </w:rPr>
      </w:pP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3.1 V</w:t>
      </w:r>
      <w:r w:rsidRPr="00E61049">
        <w:rPr>
          <w:rFonts w:ascii="Times New Roman" w:hAnsi="Times New Roman" w:cs="Times New Roman"/>
        </w:rPr>
        <w:t>ariabile Set Economic (10 variabile)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6632"/>
      </w:tblGrid>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b/>
                <w:bCs/>
              </w:rPr>
              <w:t>Variabila</w:t>
            </w:r>
          </w:p>
        </w:tc>
        <w:tc>
          <w:tcPr>
            <w:tcW w:w="685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b/>
                <w:bCs/>
              </w:rPr>
              <w:t>Descriere</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GDP_per_capita</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PIB pe cap de locuitor (EUR)</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Unemployment_rate</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Rata somajului (% din forta de munca)</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Inflation_rate</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Rata inflatiei anuale (%)</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Public_debt</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Datoria publica bruta (% din PIB)</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Current_account</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Balanta contului curent (% din PIB)</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Export_growth</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Cresterea exporturilor (variatie % anuala)</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Import_growth</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Cresterea importurilor (variatie % anuala)</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FDI_inflows</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Investitii straine directe (% din PIB)</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R_D_expenditure</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Cheltuieli pentru cercetare-dezvoltare (% din PIB)</w:t>
            </w:r>
          </w:p>
        </w:tc>
      </w:tr>
      <w:tr w:rsidR="0054517C" w:rsidRPr="00E61049" w:rsidTr="00B716D0">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Labor_productivity</w:t>
            </w:r>
          </w:p>
        </w:tc>
        <w:tc>
          <w:tcPr>
            <w:tcW w:w="685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Productivitatea muncii (index UE=100)</w:t>
            </w:r>
          </w:p>
        </w:tc>
      </w:tr>
    </w:tbl>
    <w:p w:rsidR="00E61049" w:rsidRPr="00E61049" w:rsidRDefault="00E61049"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GDP_per_capita</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Reprezintă valoarea producției economice raportată la numărul de locuitori.</w:t>
      </w:r>
      <w:r w:rsidRPr="00E61049">
        <w:rPr>
          <w:rFonts w:ascii="Times New Roman" w:hAnsi="Times New Roman" w:cs="Times New Roman"/>
        </w:rPr>
        <w:br/>
        <w:t>Importanță: Permite compararea nivelului de trai și a performanței economice între țări sau regiuni.</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Unemployment_rate</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populației active care nu are un loc de muncă.</w:t>
      </w:r>
      <w:r w:rsidRPr="00E61049">
        <w:rPr>
          <w:rFonts w:ascii="Times New Roman" w:hAnsi="Times New Roman" w:cs="Times New Roman"/>
        </w:rPr>
        <w:br/>
        <w:t>Importanță: Oferă o imagine clară asupra situației pieței muncii și a sănătății economice.</w:t>
      </w:r>
    </w:p>
    <w:p w:rsidR="00B716D0" w:rsidRPr="00E61049" w:rsidRDefault="00B716D0" w:rsidP="00323E96">
      <w:pPr>
        <w:spacing w:line="360" w:lineRule="auto"/>
        <w:rPr>
          <w:rFonts w:ascii="Times New Roman" w:hAnsi="Times New Roman" w:cs="Times New Roman"/>
        </w:rPr>
      </w:pPr>
    </w:p>
    <w:p w:rsidR="005A4E38" w:rsidRDefault="005A4E38" w:rsidP="00323E96">
      <w:pPr>
        <w:spacing w:line="360" w:lineRule="auto"/>
        <w:rPr>
          <w:rFonts w:ascii="Times New Roman" w:hAnsi="Times New Roman" w:cs="Times New Roman"/>
          <w:b/>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Inflation_rate</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Indică ritmul de creștere a prețurilor bunurilor și serviciilor.</w:t>
      </w:r>
      <w:r w:rsidRPr="00E61049">
        <w:rPr>
          <w:rFonts w:ascii="Times New Roman" w:hAnsi="Times New Roman" w:cs="Times New Roman"/>
        </w:rPr>
        <w:br/>
        <w:t>Importanță: Este esențială pentru evaluarea stabilității economice și a puterii de cumpărare.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Public_debt</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Totalul datoriilor acumulate de stat.</w:t>
      </w:r>
      <w:r w:rsidRPr="00E61049">
        <w:rPr>
          <w:rFonts w:ascii="Times New Roman" w:hAnsi="Times New Roman" w:cs="Times New Roman"/>
        </w:rPr>
        <w:br/>
        <w:t>Importanță: Ajută la analiza sustenabilității finanțelor publice și a riscurilor economice.</w:t>
      </w:r>
    </w:p>
    <w:p w:rsidR="00E61049" w:rsidRPr="00E61049" w:rsidRDefault="00E61049"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Current_account</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Diferența dintre încasările și plățile externe ale unei economii.</w:t>
      </w:r>
      <w:r w:rsidRPr="00E61049">
        <w:rPr>
          <w:rFonts w:ascii="Times New Roman" w:hAnsi="Times New Roman" w:cs="Times New Roman"/>
        </w:rPr>
        <w:br/>
        <w:t>Importanță: Reflectă echilibrul economic extern și dependența de finanțare din afara țării.</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Export_growth</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Rata de creștere a exporturilor de bunuri și servicii.</w:t>
      </w:r>
      <w:r w:rsidRPr="00E61049">
        <w:rPr>
          <w:rFonts w:ascii="Times New Roman" w:hAnsi="Times New Roman" w:cs="Times New Roman"/>
        </w:rPr>
        <w:br/>
        <w:t>Importanță: Indică nivelul de competitivitate pe piețele internaționale.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Import_growth</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Rata de creștere a importurilor.</w:t>
      </w:r>
      <w:r w:rsidRPr="00E61049">
        <w:rPr>
          <w:rFonts w:ascii="Times New Roman" w:hAnsi="Times New Roman" w:cs="Times New Roman"/>
        </w:rPr>
        <w:br/>
        <w:t>Importanță: Oferă informații despre cererea internă și dependența de resurse externe.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FDI_inflows</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Volumul investițiilor directe străine atrase într-o economie.</w:t>
      </w:r>
      <w:r w:rsidRPr="00E61049">
        <w:rPr>
          <w:rFonts w:ascii="Times New Roman" w:hAnsi="Times New Roman" w:cs="Times New Roman"/>
        </w:rPr>
        <w:br/>
        <w:t>Importanță: Semnalează atractivitatea mediului economic și potențialul de dezvoltare.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R_D_expenditure</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Cheltuielile alocate activităților de cercetare și dezvoltare.</w:t>
      </w:r>
      <w:r w:rsidRPr="00E61049">
        <w:rPr>
          <w:rFonts w:ascii="Times New Roman" w:hAnsi="Times New Roman" w:cs="Times New Roman"/>
        </w:rPr>
        <w:br/>
        <w:t>Importanță: Indică nivelul de inovare și capacitatea de creștere pe termen lung.</w:t>
      </w:r>
    </w:p>
    <w:p w:rsidR="00B716D0" w:rsidRDefault="00B716D0" w:rsidP="00323E96">
      <w:pPr>
        <w:spacing w:line="360" w:lineRule="auto"/>
        <w:rPr>
          <w:rFonts w:ascii="Times New Roman" w:hAnsi="Times New Roman" w:cs="Times New Roman"/>
        </w:rPr>
      </w:pPr>
    </w:p>
    <w:p w:rsidR="005A4E38" w:rsidRPr="00E61049" w:rsidRDefault="005A4E38"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Labor_productivity</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Măsoară eficiența muncii prin raportarea producției la numărul de angajați.</w:t>
      </w:r>
      <w:r w:rsidRPr="00E61049">
        <w:rPr>
          <w:rFonts w:ascii="Times New Roman" w:hAnsi="Times New Roman" w:cs="Times New Roman"/>
        </w:rPr>
        <w:br/>
        <w:t>Importanță: Permite evaluarea performanței economice și a competitivității forței de muncă.</w:t>
      </w:r>
    </w:p>
    <w:p w:rsidR="0054517C" w:rsidRPr="00E61049" w:rsidRDefault="0054517C" w:rsidP="00323E96">
      <w:pPr>
        <w:spacing w:before="300" w:line="360" w:lineRule="auto"/>
        <w:rPr>
          <w:rFonts w:ascii="Times New Roman" w:hAnsi="Times New Roman" w:cs="Times New Roman"/>
        </w:rPr>
      </w:pP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3.2 Variabile Set Educational (12 variabile)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2"/>
        <w:gridCol w:w="5587"/>
      </w:tblGrid>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b/>
                <w:bCs/>
              </w:rPr>
              <w:t>Variabila</w:t>
            </w:r>
          </w:p>
        </w:tc>
        <w:tc>
          <w:tcPr>
            <w:tcW w:w="580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b/>
                <w:bCs/>
              </w:rPr>
              <w:t>Descriere</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Early_school_leaving</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Rata abandonului scolar timpuriu 18-24 ani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Tertiary_education</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Absolventi studii superioare 25-34 ani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NEET_rate</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Tineri care nu lucreaza si nu invata 15-29 ani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Employment_rate_graduates</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Rata ocuparii absolventilor recenti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Early_childhood_education</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Participare educatie timpurie 3-5 ani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Adult_learning</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Participare adulti la invatare 25-64 ani (%)</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Public_expenditure_education</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Cheltuieli publice pentru educatie (% din PIB)</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Expenditure_per_student</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Cheltuieli anuale per elev/student (EUR PPS)</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Pupil_teacher_ratio_primary</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Raport elevi-profesori invatamant primar</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Pupil_teacher_ratio_secondary</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Raport elevi-profesori invatamant secundar</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Low_reading_PISA</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Rezultate scazute in citire PISA (% sub Nivelul 2)</w:t>
            </w:r>
          </w:p>
        </w:tc>
      </w:tr>
      <w:tr w:rsidR="0054517C" w:rsidRPr="00E61049" w:rsidTr="00B716D0">
        <w:tblPrEx>
          <w:tblCellMar>
            <w:top w:w="0" w:type="dxa"/>
            <w:bottom w:w="0" w:type="dxa"/>
          </w:tblCellMar>
        </w:tblPrEx>
        <w:tc>
          <w:tcPr>
            <w:tcW w:w="35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Low_math_PISA</w:t>
            </w:r>
          </w:p>
        </w:tc>
        <w:tc>
          <w:tcPr>
            <w:tcW w:w="58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Rezultate scazute in matemati</w:t>
            </w:r>
            <w:r w:rsidRPr="00E61049">
              <w:rPr>
                <w:rFonts w:ascii="Times New Roman" w:hAnsi="Times New Roman" w:cs="Times New Roman"/>
              </w:rPr>
              <w:t>ca PISA (% sub Nivelul 2)</w:t>
            </w:r>
          </w:p>
        </w:tc>
      </w:tr>
    </w:tbl>
    <w:p w:rsidR="00E61049" w:rsidRPr="00E61049" w:rsidRDefault="00E61049"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Early_school_leaving</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lastRenderedPageBreak/>
        <w:t>Descriere: Procentul tinerilor care părăsesc sistemul educațional înainte de finalizarea studiilor.</w:t>
      </w:r>
      <w:r w:rsidRPr="00E61049">
        <w:rPr>
          <w:rFonts w:ascii="Times New Roman" w:hAnsi="Times New Roman" w:cs="Times New Roman"/>
        </w:rPr>
        <w:br/>
        <w:t>Importanță: Un nivel ridicat indică riscuri pe termen lung pentru piața muncii și creșterea economică.</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Tertiary_education</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populației cu studii superioare finalizate.</w:t>
      </w:r>
      <w:r w:rsidRPr="00E61049">
        <w:rPr>
          <w:rFonts w:ascii="Times New Roman" w:hAnsi="Times New Roman" w:cs="Times New Roman"/>
        </w:rPr>
        <w:br/>
        <w:t>Importanță: Reflectă nivelul de calificare al forței de muncă și capacitatea de inovare a economiei.</w:t>
      </w:r>
    </w:p>
    <w:p w:rsidR="00B716D0" w:rsidRPr="00E61049" w:rsidRDefault="00B716D0" w:rsidP="00323E96">
      <w:pPr>
        <w:spacing w:line="360" w:lineRule="auto"/>
        <w:rPr>
          <w:rFonts w:ascii="Times New Roman" w:hAnsi="Times New Roman" w:cs="Times New Roman"/>
          <w:b/>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NEET_rate</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tinerilor care nu sunt angajați și nu urmează nici educație, nici formare profesională.</w:t>
      </w:r>
      <w:r w:rsidRPr="00E61049">
        <w:rPr>
          <w:rFonts w:ascii="Times New Roman" w:hAnsi="Times New Roman" w:cs="Times New Roman"/>
        </w:rPr>
        <w:br/>
        <w:t>Importanță: Semnalează probleme structurale pe piața muncii și riscuri de excluziune socială.</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Employment_rate_graduates</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absolvenților care sunt angajați la scurt timp după finalizarea studiilor.</w:t>
      </w:r>
      <w:r w:rsidRPr="00E61049">
        <w:rPr>
          <w:rFonts w:ascii="Times New Roman" w:hAnsi="Times New Roman" w:cs="Times New Roman"/>
        </w:rPr>
        <w:br/>
        <w:t>Importanță: Indică cât de bine este absorbit capitalul uman de economie.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Early_childhood_education</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Gradul de participare a copiilor la educația timpurie.</w:t>
      </w:r>
      <w:r w:rsidRPr="00E61049">
        <w:rPr>
          <w:rFonts w:ascii="Times New Roman" w:hAnsi="Times New Roman" w:cs="Times New Roman"/>
        </w:rPr>
        <w:br/>
        <w:t>Importanță: Are efecte pozitive pe termen lung asupra competențelor și productivității viitoare.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Adult_learning</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Participarea adulților la programe de educație și formare continuă.</w:t>
      </w:r>
      <w:r w:rsidRPr="00E61049">
        <w:rPr>
          <w:rFonts w:ascii="Times New Roman" w:hAnsi="Times New Roman" w:cs="Times New Roman"/>
        </w:rPr>
        <w:br/>
        <w:t>Importanță: Susține adaptarea forței de muncă la schimbările economice și tehnologice.</w:t>
      </w:r>
    </w:p>
    <w:p w:rsidR="00B716D0" w:rsidRPr="00E61049" w:rsidRDefault="00B716D0" w:rsidP="00323E96">
      <w:pPr>
        <w:spacing w:line="360" w:lineRule="auto"/>
        <w:rPr>
          <w:rFonts w:ascii="Times New Roman" w:hAnsi="Times New Roman" w:cs="Times New Roman"/>
        </w:rPr>
      </w:pPr>
    </w:p>
    <w:p w:rsidR="005A4E38" w:rsidRDefault="005A4E38" w:rsidP="00323E96">
      <w:pPr>
        <w:spacing w:line="360" w:lineRule="auto"/>
        <w:rPr>
          <w:rFonts w:ascii="Times New Roman" w:hAnsi="Times New Roman" w:cs="Times New Roman"/>
          <w:b/>
        </w:rPr>
      </w:pPr>
    </w:p>
    <w:p w:rsidR="005A4E38" w:rsidRDefault="005A4E38" w:rsidP="00323E96">
      <w:pPr>
        <w:spacing w:line="360" w:lineRule="auto"/>
        <w:rPr>
          <w:rFonts w:ascii="Times New Roman" w:hAnsi="Times New Roman" w:cs="Times New Roman"/>
          <w:b/>
        </w:rPr>
      </w:pPr>
    </w:p>
    <w:p w:rsidR="005A4E38" w:rsidRDefault="005A4E38" w:rsidP="00323E96">
      <w:pPr>
        <w:spacing w:line="360" w:lineRule="auto"/>
        <w:rPr>
          <w:rFonts w:ascii="Times New Roman" w:hAnsi="Times New Roman" w:cs="Times New Roman"/>
          <w:b/>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Public_expenditure_education</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Cheltuielile publice alocate educației.</w:t>
      </w:r>
      <w:r w:rsidRPr="00E61049">
        <w:rPr>
          <w:rFonts w:ascii="Times New Roman" w:hAnsi="Times New Roman" w:cs="Times New Roman"/>
        </w:rPr>
        <w:br/>
        <w:t>Importanță: Arată prioritatea acordată dezvoltării capitalului uman în politicile economice.</w:t>
      </w:r>
    </w:p>
    <w:p w:rsidR="00E61049" w:rsidRPr="00E61049" w:rsidRDefault="00E61049"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Expenditure_per_student</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Suma cheltuită, în medie, pentru educația unui elev sau student.</w:t>
      </w:r>
      <w:r w:rsidRPr="00E61049">
        <w:rPr>
          <w:rFonts w:ascii="Times New Roman" w:hAnsi="Times New Roman" w:cs="Times New Roman"/>
        </w:rPr>
        <w:br/>
        <w:t>Importanță: Este un indicator al calității resurselor educaționale și al eficienței investițiilor.</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Pupil_teacher_ratio_primary</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Numărul mediu de elevi care revin unui profesor în învățământul primar.</w:t>
      </w:r>
      <w:r w:rsidRPr="00E61049">
        <w:rPr>
          <w:rFonts w:ascii="Times New Roman" w:hAnsi="Times New Roman" w:cs="Times New Roman"/>
        </w:rPr>
        <w:br/>
        <w:t>Importanță: Clasele mai mici favorizează rezultate educaționale mai bune și competențe solide de bază.</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Pupil_teacher_ratio_secondary</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Numărul mediu de elevi per profesor în învățământul secundar.</w:t>
      </w:r>
      <w:r w:rsidRPr="00E61049">
        <w:rPr>
          <w:rFonts w:ascii="Times New Roman" w:hAnsi="Times New Roman" w:cs="Times New Roman"/>
        </w:rPr>
        <w:br/>
        <w:t>Importanță: Influențează calitatea pregătirii tinerilor pentru piața muncii sau studii superioare.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Low_reading_PISA</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elevilor cu performanțe scăzute la testele PISA de citire.</w:t>
      </w:r>
      <w:r w:rsidRPr="00E61049">
        <w:rPr>
          <w:rFonts w:ascii="Times New Roman" w:hAnsi="Times New Roman" w:cs="Times New Roman"/>
        </w:rPr>
        <w:br/>
        <w:t>Importanță: Indică slăbiciuni în competențele de bază necesare productivității economice.</w:t>
      </w:r>
    </w:p>
    <w:p w:rsidR="00B716D0" w:rsidRPr="00E61049" w:rsidRDefault="00B716D0" w:rsidP="00323E96">
      <w:pPr>
        <w:spacing w:line="360" w:lineRule="auto"/>
        <w:rPr>
          <w:rFonts w:ascii="Times New Roman" w:hAnsi="Times New Roman" w:cs="Times New Roman"/>
        </w:rPr>
      </w:pPr>
    </w:p>
    <w:p w:rsidR="00B716D0" w:rsidRPr="00E61049" w:rsidRDefault="00B716D0" w:rsidP="00323E96">
      <w:pPr>
        <w:spacing w:line="360" w:lineRule="auto"/>
        <w:rPr>
          <w:rFonts w:ascii="Times New Roman" w:hAnsi="Times New Roman" w:cs="Times New Roman"/>
          <w:b/>
        </w:rPr>
      </w:pPr>
      <w:r w:rsidRPr="00E61049">
        <w:rPr>
          <w:rFonts w:ascii="Times New Roman" w:hAnsi="Times New Roman" w:cs="Times New Roman"/>
          <w:b/>
        </w:rPr>
        <w:t>Low_math_PISA</w:t>
      </w:r>
    </w:p>
    <w:p w:rsidR="00B716D0" w:rsidRPr="00E61049" w:rsidRDefault="00B716D0" w:rsidP="00323E96">
      <w:pPr>
        <w:spacing w:line="360" w:lineRule="auto"/>
        <w:ind w:left="708"/>
        <w:rPr>
          <w:rFonts w:ascii="Times New Roman" w:hAnsi="Times New Roman" w:cs="Times New Roman"/>
        </w:rPr>
      </w:pPr>
      <w:r w:rsidRPr="00E61049">
        <w:rPr>
          <w:rFonts w:ascii="Times New Roman" w:hAnsi="Times New Roman" w:cs="Times New Roman"/>
        </w:rPr>
        <w:t>Descriere: Procentul elevilor cu rezultate scăzute la testele PISA de matematică.</w:t>
      </w:r>
      <w:r w:rsidRPr="00E61049">
        <w:rPr>
          <w:rFonts w:ascii="Times New Roman" w:hAnsi="Times New Roman" w:cs="Times New Roman"/>
        </w:rPr>
        <w:br/>
        <w:t>Importanță: Afectează capacitatea economiilor de a susține sectoare tehnice și inovative.</w:t>
      </w:r>
    </w:p>
    <w:p w:rsidR="0054517C" w:rsidRPr="005A4E38" w:rsidRDefault="006E0174" w:rsidP="005A4E38">
      <w:pPr>
        <w:spacing w:line="360" w:lineRule="auto"/>
        <w:jc w:val="center"/>
        <w:rPr>
          <w:rFonts w:ascii="Times New Roman" w:hAnsi="Times New Roman" w:cs="Times New Roman"/>
          <w:b/>
          <w:sz w:val="32"/>
          <w:szCs w:val="32"/>
        </w:rPr>
      </w:pPr>
      <w:r w:rsidRPr="00E61049">
        <w:rPr>
          <w:rFonts w:ascii="Times New Roman" w:hAnsi="Times New Roman" w:cs="Times New Roman"/>
        </w:rPr>
        <w:br w:type="page"/>
      </w:r>
      <w:r w:rsidRPr="005A4E38">
        <w:rPr>
          <w:rFonts w:ascii="Times New Roman" w:hAnsi="Times New Roman" w:cs="Times New Roman"/>
          <w:b/>
          <w:sz w:val="32"/>
          <w:szCs w:val="32"/>
        </w:rPr>
        <w:lastRenderedPageBreak/>
        <w:t>4. METODE DE ANALIZA</w:t>
      </w:r>
    </w:p>
    <w:p w:rsidR="005A4E38" w:rsidRPr="00E61049" w:rsidRDefault="005A4E38" w:rsidP="005A4E38">
      <w:pPr>
        <w:pStyle w:val="Heading1"/>
        <w:spacing w:line="360" w:lineRule="auto"/>
        <w:jc w:val="center"/>
        <w:rPr>
          <w:rFonts w:ascii="Times New Roman" w:hAnsi="Times New Roman" w:cs="Times New Roman"/>
        </w:rPr>
      </w:pPr>
    </w:p>
    <w:p w:rsidR="0054517C" w:rsidRPr="00E61049" w:rsidRDefault="00E71DE2" w:rsidP="00323E96">
      <w:pPr>
        <w:pStyle w:val="Heading2"/>
        <w:spacing w:line="360" w:lineRule="auto"/>
        <w:rPr>
          <w:rFonts w:ascii="Times New Roman" w:hAnsi="Times New Roman" w:cs="Times New Roman"/>
        </w:rPr>
      </w:pPr>
      <w:r w:rsidRPr="00E61049">
        <w:rPr>
          <w:rFonts w:ascii="Times New Roman" w:hAnsi="Times New Roman" w:cs="Times New Roman"/>
        </w:rPr>
        <w:t>4.1 ANALIZA COMPONENTELOR PRINCIPALE (ACP)</w:t>
      </w:r>
    </w:p>
    <w:p w:rsidR="00B716D0" w:rsidRDefault="00B716D0" w:rsidP="00323E96">
      <w:pPr>
        <w:pStyle w:val="NormalWeb"/>
        <w:spacing w:line="360" w:lineRule="auto"/>
        <w:ind w:firstLine="708"/>
        <w:jc w:val="both"/>
      </w:pPr>
      <w:r w:rsidRPr="00E61049">
        <w:t>A</w:t>
      </w:r>
      <w:r w:rsidRPr="00E61049">
        <w:t>naliza Componentelor Principale (ACP) este o tehnică statistică de reducere a dimensionalității care transformă un set de variabile posibil corelate într-un set de variabile necorelate, numite componente principale. Aceste componente sunt ordonate astfel încât prima componentă explică cea mai mare parte din variația totală a datelor, urmată de componentele următoare cu importanță descrescătoare.</w:t>
      </w:r>
      <w:r w:rsidRPr="00E61049">
        <w:t xml:space="preserve"> </w:t>
      </w:r>
      <w:r w:rsidRPr="00E61049">
        <w:t>În contextul evaluării sănătății economiilor europene, ACP permite sintetizarea unui număr ridicat de indicatori macroeconomici și sociali într-un set redus de dimensiuni relevante, oferind o imagine de ansamblu asupra capacității statelor membre de a face față șocurilor economice și geopolitice. Această abordare este deosebit de importantă într-un climat de instabilitate regională, în care identificarea punctelor forte și a vulnerabilităților structurale devine esențială pentru coeziunea Uniunii Europene.</w:t>
      </w:r>
    </w:p>
    <w:p w:rsidR="00194370" w:rsidRPr="00E61049" w:rsidRDefault="00194370" w:rsidP="00323E96">
      <w:pPr>
        <w:pStyle w:val="NormalWeb"/>
        <w:spacing w:line="360" w:lineRule="auto"/>
        <w:ind w:firstLine="708"/>
        <w:jc w:val="both"/>
      </w:pPr>
    </w:p>
    <w:p w:rsidR="00194370" w:rsidRDefault="00B716D0" w:rsidP="00323E96">
      <w:pPr>
        <w:pStyle w:val="NormalWeb"/>
        <w:spacing w:line="360" w:lineRule="auto"/>
        <w:jc w:val="both"/>
        <w:rPr>
          <w:rStyle w:val="Strong"/>
        </w:rPr>
      </w:pPr>
      <w:r w:rsidRPr="00E61049">
        <w:rPr>
          <w:rStyle w:val="Strong"/>
        </w:rPr>
        <w:t>Justificarea alegerii metodei:</w:t>
      </w:r>
    </w:p>
    <w:p w:rsidR="00B716D0" w:rsidRPr="00E61049" w:rsidRDefault="00B716D0" w:rsidP="00323E96">
      <w:pPr>
        <w:pStyle w:val="NormalWeb"/>
        <w:spacing w:line="360" w:lineRule="auto"/>
        <w:jc w:val="both"/>
        <w:rPr>
          <w:b/>
          <w:bCs/>
        </w:rPr>
      </w:pPr>
      <w:r w:rsidRPr="00E61049">
        <w:br/>
        <w:t>Setul de date utilizat conține 10 variabile economice corelate, care descriu diferite fațete ale performanței și stabilității economiilor europene (nivel de trai, piața muncii, stabilitate financiară, competitivitate externă). ACP facilitează identificarea principalelor dimensiuni economice care diferențiază statele membre, reducând complexitatea analizei și contribuind la o interpretare mai clară a structurii economice a Uniunii Europene. Astfel, metoda sprijină obiectivul proiectului de a evalua gradul de reziliență economică al UE într-un context internațional marcat de incertitudine și presiuni externe.</w:t>
      </w:r>
    </w:p>
    <w:p w:rsidR="005A4E38" w:rsidRDefault="005A4E38" w:rsidP="00323E96">
      <w:pPr>
        <w:pStyle w:val="Heading2"/>
        <w:spacing w:line="360" w:lineRule="auto"/>
        <w:jc w:val="both"/>
        <w:rPr>
          <w:rFonts w:ascii="Times New Roman" w:hAnsi="Times New Roman" w:cs="Times New Roman"/>
        </w:rPr>
      </w:pPr>
    </w:p>
    <w:p w:rsidR="005A4E38" w:rsidRDefault="005A4E38" w:rsidP="00323E96">
      <w:pPr>
        <w:pStyle w:val="Heading2"/>
        <w:spacing w:line="360" w:lineRule="auto"/>
        <w:jc w:val="both"/>
        <w:rPr>
          <w:rFonts w:ascii="Times New Roman" w:hAnsi="Times New Roman" w:cs="Times New Roman"/>
        </w:rPr>
      </w:pPr>
    </w:p>
    <w:p w:rsidR="0054517C" w:rsidRPr="005A4E38" w:rsidRDefault="00E71DE2" w:rsidP="00323E96">
      <w:pPr>
        <w:pStyle w:val="Heading2"/>
        <w:spacing w:line="360" w:lineRule="auto"/>
        <w:jc w:val="both"/>
        <w:rPr>
          <w:rFonts w:ascii="Times New Roman" w:hAnsi="Times New Roman" w:cs="Times New Roman"/>
        </w:rPr>
      </w:pPr>
      <w:r w:rsidRPr="005A4E38">
        <w:rPr>
          <w:rFonts w:ascii="Times New Roman" w:hAnsi="Times New Roman" w:cs="Times New Roman"/>
        </w:rPr>
        <w:lastRenderedPageBreak/>
        <w:t>4.2 ANALIZA FACTORIALA EXPLORATORIE (AEF)</w:t>
      </w:r>
    </w:p>
    <w:p w:rsidR="00093572" w:rsidRDefault="00093572" w:rsidP="00323E96">
      <w:pPr>
        <w:pStyle w:val="NormalWeb"/>
        <w:spacing w:line="360" w:lineRule="auto"/>
        <w:ind w:firstLine="708"/>
        <w:jc w:val="both"/>
      </w:pPr>
      <w:r w:rsidRPr="00E61049">
        <w:t>Analiza Factorială Exploratorie (AEF) este o metodă statistică utilizată pentru a identifica structura latentă a unui set de variabile observate. Spre deosebire de Analiza Componentelor Principale, AEF pornește de la ipoteza existenței unor factori comuni care stau la baza corelațiilor observate între variabilele analizate.</w:t>
      </w:r>
      <w:r w:rsidRPr="00E61049">
        <w:t xml:space="preserve"> </w:t>
      </w:r>
      <w:r w:rsidRPr="00E61049">
        <w:t>În evaluarea sănătății economiilor europene, educația reprezintă un factor social esențial care influențează direct productivitatea, competitivitatea și capacitatea de adaptare a forței de muncă. AEF permite evidențierea dimensiunilor educaționale fundamentale care contribuie la reziliența economică a statelor membre, oferind o perspectivă mai profundă asupra modului în care investițiile și performanțele educaționale se reflectă în potențialul economic pe termen lung al Uniunii Europene.</w:t>
      </w:r>
    </w:p>
    <w:p w:rsidR="00194370" w:rsidRPr="00E61049" w:rsidRDefault="00194370" w:rsidP="00323E96">
      <w:pPr>
        <w:pStyle w:val="NormalWeb"/>
        <w:spacing w:line="360" w:lineRule="auto"/>
        <w:ind w:firstLine="708"/>
        <w:jc w:val="both"/>
      </w:pPr>
    </w:p>
    <w:p w:rsidR="00194370" w:rsidRDefault="00093572" w:rsidP="00323E96">
      <w:pPr>
        <w:pStyle w:val="NormalWeb"/>
        <w:spacing w:line="360" w:lineRule="auto"/>
        <w:jc w:val="both"/>
        <w:rPr>
          <w:rStyle w:val="Strong"/>
        </w:rPr>
      </w:pPr>
      <w:r w:rsidRPr="00E61049">
        <w:rPr>
          <w:rStyle w:val="Strong"/>
        </w:rPr>
        <w:t>Justificarea alegerii metodei:</w:t>
      </w:r>
    </w:p>
    <w:p w:rsidR="00093572" w:rsidRPr="00E61049" w:rsidRDefault="00093572" w:rsidP="00323E96">
      <w:pPr>
        <w:pStyle w:val="NormalWeb"/>
        <w:spacing w:line="360" w:lineRule="auto"/>
        <w:jc w:val="both"/>
      </w:pPr>
      <w:r w:rsidRPr="00E61049">
        <w:br/>
        <w:t>Indicatorii educaționali utilizați sunt considerați manifestări ale unor factori latenți precum calitatea educației, accesul la educație, incluziunea educațională și tranziția către piața muncii. AEF facilitează identificarea și interpretarea acestor factori subiacenți, contribuind la o analiză coerentă a rolului educației ca pilon al stabilității economice și ca mecanism de protecție împotriva vulnerabilităților sociale și economice în contextul actual european.</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Pr="005A4E38" w:rsidRDefault="006E0174" w:rsidP="00323E96">
      <w:pPr>
        <w:pStyle w:val="Heading1"/>
        <w:spacing w:line="360" w:lineRule="auto"/>
        <w:rPr>
          <w:rFonts w:ascii="Times New Roman" w:hAnsi="Times New Roman" w:cs="Times New Roman"/>
          <w:sz w:val="28"/>
          <w:szCs w:val="28"/>
        </w:rPr>
      </w:pPr>
      <w:r w:rsidRPr="005A4E38">
        <w:rPr>
          <w:rFonts w:ascii="Times New Roman" w:hAnsi="Times New Roman" w:cs="Times New Roman"/>
          <w:sz w:val="28"/>
          <w:szCs w:val="28"/>
        </w:rPr>
        <w:lastRenderedPageBreak/>
        <w:t>5. ANALIZA 1: ACP - INDICATORI ECONOMICI UE</w:t>
      </w: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5.1 Etapele analizei</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1. Incarcarea si verificarea datelor</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2. Standardizarea variabilelor (z-score)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3. Calculul matricei de corelatie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4. Calculul valoril</w:t>
      </w:r>
      <w:r w:rsidRPr="00E61049">
        <w:rPr>
          <w:rFonts w:ascii="Times New Roman" w:hAnsi="Times New Roman" w:cs="Times New Roman"/>
        </w:rPr>
        <w:t>or si vectorilor proprii</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5. Determinarea numarului de componente (criteriul Kaiser)</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6. Calculul corelatiilor factoriale si scorurilor</w:t>
      </w:r>
    </w:p>
    <w:p w:rsidR="0054517C" w:rsidRDefault="006E0174" w:rsidP="00323E96">
      <w:pPr>
        <w:spacing w:after="200" w:line="360" w:lineRule="auto"/>
        <w:rPr>
          <w:rFonts w:ascii="Times New Roman" w:hAnsi="Times New Roman" w:cs="Times New Roman"/>
        </w:rPr>
      </w:pPr>
      <w:r w:rsidRPr="00E61049">
        <w:rPr>
          <w:rFonts w:ascii="Times New Roman" w:hAnsi="Times New Roman" w:cs="Times New Roman"/>
        </w:rPr>
        <w:t>7. Interpretarea rezultatelor</w:t>
      </w:r>
    </w:p>
    <w:p w:rsidR="005A4E38" w:rsidRPr="00E61049" w:rsidRDefault="005A4E38" w:rsidP="00323E96">
      <w:pPr>
        <w:spacing w:after="200" w:line="360" w:lineRule="auto"/>
        <w:rPr>
          <w:rFonts w:ascii="Times New Roman" w:hAnsi="Times New Roman" w:cs="Times New Roman"/>
        </w:rPr>
      </w:pPr>
    </w:p>
    <w:p w:rsidR="0054517C" w:rsidRPr="005A4E38" w:rsidRDefault="00E71DE2" w:rsidP="005A4E38">
      <w:pPr>
        <w:pStyle w:val="Heading2"/>
        <w:spacing w:line="360" w:lineRule="auto"/>
        <w:jc w:val="center"/>
        <w:rPr>
          <w:rFonts w:ascii="Times New Roman" w:hAnsi="Times New Roman" w:cs="Times New Roman"/>
          <w:sz w:val="32"/>
          <w:szCs w:val="32"/>
        </w:rPr>
      </w:pPr>
      <w:r w:rsidRPr="005A4E38">
        <w:rPr>
          <w:rFonts w:ascii="Times New Roman" w:hAnsi="Times New Roman" w:cs="Times New Roman"/>
          <w:sz w:val="32"/>
          <w:szCs w:val="32"/>
        </w:rPr>
        <w:t>5.2 REZULTATE</w:t>
      </w:r>
    </w:p>
    <w:p w:rsidR="005A4E38" w:rsidRPr="00E61049" w:rsidRDefault="005A4E38" w:rsidP="005A4E38">
      <w:pPr>
        <w:pStyle w:val="Heading2"/>
        <w:spacing w:line="360" w:lineRule="auto"/>
        <w:jc w:val="center"/>
        <w:rPr>
          <w:rFonts w:ascii="Times New Roman" w:hAnsi="Times New Roman" w:cs="Times New Roman"/>
        </w:rPr>
      </w:pPr>
    </w:p>
    <w:p w:rsidR="0054517C" w:rsidRPr="00E61049" w:rsidRDefault="006E0174" w:rsidP="00323E96">
      <w:pPr>
        <w:spacing w:after="200" w:line="360" w:lineRule="auto"/>
        <w:jc w:val="both"/>
        <w:rPr>
          <w:rFonts w:ascii="Times New Roman" w:hAnsi="Times New Roman" w:cs="Times New Roman"/>
        </w:rPr>
      </w:pPr>
      <w:r w:rsidRPr="00E61049">
        <w:rPr>
          <w:rFonts w:ascii="Times New Roman" w:hAnsi="Times New Roman" w:cs="Times New Roman"/>
        </w:rPr>
        <w:t>Conform criteriului Kaiser (valori proprii &gt;= 1), au fost retinute 4 component</w:t>
      </w:r>
      <w:r w:rsidRPr="00E61049">
        <w:rPr>
          <w:rFonts w:ascii="Times New Roman" w:hAnsi="Times New Roman" w:cs="Times New Roman"/>
        </w:rPr>
        <w:t>e principale care explica impreuna 88.18% din varianta totala.</w:t>
      </w:r>
    </w:p>
    <w:p w:rsidR="0054517C" w:rsidRPr="00E61049" w:rsidRDefault="006E0174" w:rsidP="00323E96">
      <w:pPr>
        <w:spacing w:after="100" w:line="360" w:lineRule="auto"/>
        <w:rPr>
          <w:rFonts w:ascii="Times New Roman" w:hAnsi="Times New Roman" w:cs="Times New Roman"/>
        </w:rPr>
      </w:pPr>
      <w:r w:rsidRPr="00E61049">
        <w:rPr>
          <w:rFonts w:ascii="Times New Roman" w:hAnsi="Times New Roman" w:cs="Times New Roman"/>
          <w:b/>
          <w:bCs/>
        </w:rPr>
        <w:t>Varianta explicata de componente: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 C1: 40.25% (dezvoltare economica generala)</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 C2: 21.29% (stabilitate macroeconomica)</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 C3: 15.88% (atractivitate investitionala)</w:t>
      </w:r>
    </w:p>
    <w:p w:rsidR="0054517C" w:rsidRPr="00E61049" w:rsidRDefault="006E0174" w:rsidP="00323E96">
      <w:pPr>
        <w:spacing w:after="200" w:line="360" w:lineRule="auto"/>
        <w:rPr>
          <w:rFonts w:ascii="Times New Roman" w:hAnsi="Times New Roman" w:cs="Times New Roman"/>
        </w:rPr>
      </w:pPr>
      <w:r w:rsidRPr="00E61049">
        <w:rPr>
          <w:rFonts w:ascii="Times New Roman" w:hAnsi="Times New Roman" w:cs="Times New Roman"/>
        </w:rPr>
        <w:t>- C4: 10.77% (dinamica comer</w:t>
      </w:r>
      <w:r w:rsidRPr="00E61049">
        <w:rPr>
          <w:rFonts w:ascii="Times New Roman" w:hAnsi="Times New Roman" w:cs="Times New Roman"/>
        </w:rPr>
        <w:t>ciala)</w:t>
      </w: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5.3 Interpretarea componentelor</w:t>
      </w:r>
    </w:p>
    <w:p w:rsidR="00FB0E3B" w:rsidRPr="00E61049" w:rsidRDefault="006E0174" w:rsidP="00323E96">
      <w:pPr>
        <w:pStyle w:val="NormalWeb"/>
        <w:spacing w:line="360" w:lineRule="auto"/>
        <w:jc w:val="both"/>
      </w:pPr>
      <w:r w:rsidRPr="00E61049">
        <w:rPr>
          <w:b/>
          <w:bCs/>
        </w:rPr>
        <w:t>Componenta 1</w:t>
      </w:r>
      <w:r w:rsidRPr="00E61049">
        <w:rPr>
          <w:b/>
          <w:bCs/>
        </w:rPr>
        <w:t xml:space="preserve"> Dezvoltare economica generala: </w:t>
      </w:r>
      <w:r w:rsidR="00F27C1C" w:rsidRPr="00E61049">
        <w:t>Această componentă este puternic corelată cu PIB-ul pe cap de locuitor (0.93), productivitatea muncii (0.92) și balanța contului curent (0.74), indicatori esențiali pentru evaluarea performanței macroeconomice. Componenta reflectă nivelul general de dezvoltare economică al statelor membre ale Uniunii Europene.</w:t>
      </w:r>
    </w:p>
    <w:p w:rsidR="00F27C1C" w:rsidRPr="00E61049" w:rsidRDefault="00F27C1C" w:rsidP="00323E96">
      <w:pPr>
        <w:pStyle w:val="NormalWeb"/>
        <w:spacing w:line="360" w:lineRule="auto"/>
        <w:jc w:val="both"/>
      </w:pPr>
      <w:r w:rsidRPr="00E61049">
        <w:lastRenderedPageBreak/>
        <w:br/>
        <w:t>O valoare ridicată a acestei componente indică economii cu un nivel de trai mai ridicat, o forță de muncă eficientă și o poziție externă mai echilibrată, caracteristici care contribuie direct la stabilitatea și reziliența economică. În contextul instabilității geopolitice actuale, această dimensiune devine un indicator-cheie al capacității statelor europene de a susține eforturi economice, sociale și strategice pe termen lung, consolidând coeziunea și autonomia economică a Uniunii Europene.</w:t>
      </w:r>
    </w:p>
    <w:p w:rsidR="00FB0E3B" w:rsidRPr="00E61049" w:rsidRDefault="006E0174" w:rsidP="00323E96">
      <w:pPr>
        <w:pStyle w:val="NormalWeb"/>
        <w:spacing w:line="360" w:lineRule="auto"/>
        <w:jc w:val="both"/>
      </w:pPr>
      <w:r w:rsidRPr="00E61049">
        <w:rPr>
          <w:b/>
          <w:bCs/>
        </w:rPr>
        <w:t>Componenta 2</w:t>
      </w:r>
      <w:r w:rsidRPr="00E61049">
        <w:rPr>
          <w:b/>
          <w:bCs/>
        </w:rPr>
        <w:t xml:space="preserve"> Stabilitate macroeconomica: </w:t>
      </w:r>
      <w:r w:rsidR="00FB0E3B" w:rsidRPr="00E61049">
        <w:t>Această componentă este corelată pozitiv cu datoria publică (0.77) și rata șomajului (0.68), și corelată negativ cu rata inflației (-0.73). Ea reflectă dimensiunea echilibrului macroeconomic al statelor membre ale Uniunii Europene.</w:t>
      </w:r>
    </w:p>
    <w:p w:rsidR="00FB0E3B" w:rsidRPr="00E61049" w:rsidRDefault="00FB0E3B" w:rsidP="00323E96">
      <w:pPr>
        <w:pStyle w:val="NormalWeb"/>
        <w:spacing w:line="360" w:lineRule="auto"/>
        <w:jc w:val="both"/>
      </w:pPr>
      <w:r w:rsidRPr="00E61049">
        <w:br/>
        <w:t>Componenta surprinde capacitatea economiilor de a menține stabilitatea internă în condiții de presiune fiscală, tensiuni pe piața muncii și fluctuații ale prețurilor. Un echilibru macroeconomic solid este esențial pentru reziliența economică și pentru capacitatea Uniunii Europene de a răspunde eficient șocurilor externe și crizelor geopolitice, contribuind la menținerea stabilității sociale și economice pe termen mediu și lung.</w:t>
      </w:r>
    </w:p>
    <w:p w:rsidR="00FB0E3B" w:rsidRPr="00E61049" w:rsidRDefault="00FB0E3B" w:rsidP="00323E96">
      <w:pPr>
        <w:spacing w:line="360" w:lineRule="auto"/>
        <w:jc w:val="both"/>
        <w:rPr>
          <w:rFonts w:ascii="Times New Roman" w:hAnsi="Times New Roman" w:cs="Times New Roman"/>
          <w:b/>
        </w:rPr>
      </w:pPr>
      <w:r w:rsidRPr="00E61049">
        <w:rPr>
          <w:rFonts w:ascii="Times New Roman" w:hAnsi="Times New Roman" w:cs="Times New Roman"/>
          <w:b/>
        </w:rPr>
        <w:t>Componenta 3 Atractivitate investițională (15.88%)</w:t>
      </w:r>
      <w:r w:rsidR="00E61049">
        <w:rPr>
          <w:rFonts w:ascii="Times New Roman" w:hAnsi="Times New Roman" w:cs="Times New Roman"/>
          <w:b/>
        </w:rPr>
        <w:t xml:space="preserve">: </w:t>
      </w:r>
      <w:r w:rsidRPr="00E61049">
        <w:rPr>
          <w:rFonts w:ascii="Times New Roman" w:hAnsi="Times New Roman" w:cs="Times New Roman"/>
        </w:rPr>
        <w:t>Din perspectiva ACP, Componenta 3 capturează variația datelor asociată fluxurilor de investiții directe străine și cheltuielilor în cercetare și dezvoltare, indicând factorii care determină atractivitatea economică externă. Corelațiile ridicate între aceste variabile sugerează că statele membre care investesc în inovare și infrastructură economică devin mai atractive pentru capitalul extern.</w:t>
      </w:r>
    </w:p>
    <w:p w:rsidR="00FB0E3B" w:rsidRPr="00E61049" w:rsidRDefault="00FB0E3B" w:rsidP="00323E96">
      <w:pPr>
        <w:spacing w:line="360" w:lineRule="auto"/>
        <w:jc w:val="both"/>
        <w:rPr>
          <w:rFonts w:ascii="Times New Roman" w:hAnsi="Times New Roman" w:cs="Times New Roman"/>
        </w:rPr>
      </w:pPr>
      <w:r w:rsidRPr="00E61049">
        <w:rPr>
          <w:rFonts w:ascii="Times New Roman" w:hAnsi="Times New Roman" w:cs="Times New Roman"/>
        </w:rPr>
        <w:br/>
        <w:t>Această componentă evidențiază grupuri de țări cu caracteristici similare privind competitivitatea și capacitatea de atragere a investițiilor. În contextul evaluării stabilității economice a UE, valorile ridicate indică economii care pot susține dezvoltarea pe termen lung și absorb șocuri externe, ceea ce este crucial pentru reziliența Uniunii în fața incertitudinilor geopolitice.</w:t>
      </w:r>
    </w:p>
    <w:p w:rsidR="00FB0E3B" w:rsidRPr="00E61049" w:rsidRDefault="00FB0E3B" w:rsidP="00323E96">
      <w:pPr>
        <w:spacing w:line="360" w:lineRule="auto"/>
        <w:jc w:val="both"/>
        <w:rPr>
          <w:rFonts w:ascii="Times New Roman" w:hAnsi="Times New Roman" w:cs="Times New Roman"/>
        </w:rPr>
      </w:pPr>
    </w:p>
    <w:p w:rsidR="00FB0E3B" w:rsidRPr="00E61049" w:rsidRDefault="00FB0E3B" w:rsidP="00323E96">
      <w:pPr>
        <w:spacing w:line="360" w:lineRule="auto"/>
        <w:jc w:val="both"/>
        <w:rPr>
          <w:rFonts w:ascii="Times New Roman" w:hAnsi="Times New Roman" w:cs="Times New Roman"/>
          <w:b/>
        </w:rPr>
      </w:pPr>
      <w:r w:rsidRPr="00E61049">
        <w:rPr>
          <w:rFonts w:ascii="Times New Roman" w:hAnsi="Times New Roman" w:cs="Times New Roman"/>
          <w:b/>
        </w:rPr>
        <w:lastRenderedPageBreak/>
        <w:t>Componenta 4 Dinamica comercială (10.77%)</w:t>
      </w:r>
      <w:r w:rsidR="00E61049">
        <w:rPr>
          <w:rFonts w:ascii="Times New Roman" w:hAnsi="Times New Roman" w:cs="Times New Roman"/>
          <w:b/>
        </w:rPr>
        <w:t xml:space="preserve">: </w:t>
      </w:r>
      <w:r w:rsidRPr="00E61049">
        <w:rPr>
          <w:rFonts w:ascii="Times New Roman" w:hAnsi="Times New Roman" w:cs="Times New Roman"/>
        </w:rPr>
        <w:t>ACP arată că Componenta 4 explică variația legată de evoluția exporturilor și importurilor, reflectând poziția statelor membre în comerțul internațional. Corelațiile dintre aceste variabile indică faptul că modificările în fluxurile comerciale sunt strâns legate de competitivitatea externă și de echilibrul balanței externe.</w:t>
      </w:r>
    </w:p>
    <w:p w:rsidR="00FB0E3B" w:rsidRPr="00E61049" w:rsidRDefault="00FB0E3B" w:rsidP="00323E96">
      <w:pPr>
        <w:spacing w:line="360" w:lineRule="auto"/>
        <w:jc w:val="both"/>
        <w:rPr>
          <w:rFonts w:ascii="Times New Roman" w:hAnsi="Times New Roman" w:cs="Times New Roman"/>
        </w:rPr>
      </w:pPr>
      <w:r w:rsidRPr="00E61049">
        <w:rPr>
          <w:rFonts w:ascii="Times New Roman" w:hAnsi="Times New Roman" w:cs="Times New Roman"/>
        </w:rPr>
        <w:br/>
        <w:t>Din punct de vedere statistic, această componentă separă economiile cu comerț internațional activ de cele mai puțin integrate, permițând identificarea unor tipare de performanță comercială. Din perspectiva sănătății economice a UE, economiile cu dinamica comercială pozitivă contribuie la echilibrul macroeconomic și la reziliența Uniunii, oferind suport în cazul unor perturbări externe sau crize globale.</w:t>
      </w:r>
    </w:p>
    <w:p w:rsidR="00FB0E3B" w:rsidRPr="00E61049" w:rsidRDefault="00FB0E3B" w:rsidP="00323E96">
      <w:pPr>
        <w:pStyle w:val="NormalWeb"/>
        <w:spacing w:line="360" w:lineRule="auto"/>
      </w:pPr>
    </w:p>
    <w:p w:rsidR="0054517C" w:rsidRPr="005A4E38" w:rsidRDefault="006E0174" w:rsidP="005A4E38">
      <w:pPr>
        <w:spacing w:after="200" w:line="360" w:lineRule="auto"/>
        <w:rPr>
          <w:rFonts w:ascii="Times New Roman" w:hAnsi="Times New Roman" w:cs="Times New Roman"/>
          <w:b/>
        </w:rPr>
      </w:pPr>
      <w:r w:rsidRPr="005A4E38">
        <w:rPr>
          <w:rFonts w:ascii="Times New Roman" w:hAnsi="Times New Roman" w:cs="Times New Roman"/>
          <w:b/>
          <w:sz w:val="28"/>
          <w:szCs w:val="28"/>
        </w:rPr>
        <w:t>6. ANALIZA 2: AEF - INDICATORI EDUCATIONALI UE</w:t>
      </w: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6.1 Verificarea adecvarii datelor</w:t>
      </w:r>
    </w:p>
    <w:p w:rsidR="00302144" w:rsidRDefault="00302144" w:rsidP="00323E96">
      <w:pPr>
        <w:pStyle w:val="NormalWeb"/>
        <w:spacing w:line="360" w:lineRule="auto"/>
        <w:ind w:firstLine="708"/>
        <w:jc w:val="both"/>
      </w:pPr>
      <w:r w:rsidRPr="00E61049">
        <w:t>Înainte de aplicarea Analizei Factoriale Exploratorii, este esențial să verificăm dacă datele sunt adecvate pentru extragerea factorilor latenti. În acest scop, au fost utilizate două teste standard: Testul Bartlett de sfericitate și Indicele Kaiser-Meyer-Olkin (KMO).</w:t>
      </w:r>
    </w:p>
    <w:p w:rsidR="00A91AC9" w:rsidRPr="00E61049" w:rsidRDefault="00A91AC9" w:rsidP="00323E96">
      <w:pPr>
        <w:pStyle w:val="NormalWeb"/>
        <w:spacing w:line="360" w:lineRule="auto"/>
        <w:ind w:firstLine="708"/>
        <w:jc w:val="both"/>
      </w:pPr>
    </w:p>
    <w:p w:rsidR="00A91AC9" w:rsidRDefault="00302144" w:rsidP="00323E96">
      <w:pPr>
        <w:pStyle w:val="NormalWeb"/>
        <w:spacing w:line="360" w:lineRule="auto"/>
        <w:jc w:val="both"/>
        <w:rPr>
          <w:rStyle w:val="Strong"/>
        </w:rPr>
      </w:pPr>
      <w:r w:rsidRPr="00E61049">
        <w:rPr>
          <w:rStyle w:val="Strong"/>
        </w:rPr>
        <w:t>Test Bartlett de sfericitate:</w:t>
      </w:r>
    </w:p>
    <w:p w:rsidR="00302144" w:rsidRPr="00E61049" w:rsidRDefault="00302144" w:rsidP="00323E96">
      <w:pPr>
        <w:pStyle w:val="NormalWeb"/>
        <w:spacing w:line="360" w:lineRule="auto"/>
        <w:jc w:val="both"/>
      </w:pPr>
      <w:r w:rsidRPr="00E61049">
        <w:br/>
        <w:t xml:space="preserve">Rezultatul testului este Chi-patrat = 235.00, cu p-value &lt; 0.001. Aceasta indică faptul că matricea de corelație a variabilelor nu este egală cu matricea identitate, adică există corelații semnificative între variabile. Din perspectivă statistică, acest rezultat sugerează că cel puțin o parte dintre variabilele analizate împărtășesc factori comuni, ceea ce justifică aplicarea Analizei Factoriale Exploratorii. În contextul proiectului, acest lucru confirmă că indicatorii educaționali și socio-economici analizati (precum PIB per capita, rata șomajului, cheltuieli în educație etc.) </w:t>
      </w:r>
      <w:r w:rsidRPr="00E61049">
        <w:lastRenderedPageBreak/>
        <w:t>nu sunt independenți, ci formează structuri comune care reflectă sănătatea și reziliența economică a statelor UE.</w:t>
      </w:r>
    </w:p>
    <w:p w:rsidR="00A91AC9" w:rsidRDefault="00302144" w:rsidP="00323E96">
      <w:pPr>
        <w:pStyle w:val="NormalWeb"/>
        <w:spacing w:line="360" w:lineRule="auto"/>
        <w:rPr>
          <w:rStyle w:val="Strong"/>
        </w:rPr>
      </w:pPr>
      <w:r w:rsidRPr="00E61049">
        <w:rPr>
          <w:rStyle w:val="Strong"/>
        </w:rPr>
        <w:t>Indicele Kaiser-Meyer-Olkin (KMO):</w:t>
      </w:r>
    </w:p>
    <w:p w:rsidR="00302144" w:rsidRDefault="00302144" w:rsidP="00323E96">
      <w:pPr>
        <w:pStyle w:val="NormalWeb"/>
        <w:spacing w:line="360" w:lineRule="auto"/>
        <w:jc w:val="both"/>
      </w:pPr>
      <w:r w:rsidRPr="00E61049">
        <w:br/>
        <w:t>KMO global = 0.695 (&gt; 0.5), ceea ce indică o adecvare acceptabilă a datelor pentru analiza factorială. Valorile KMO între 0.6 și 0.7 sunt considerate satisfăcătoare, sugerând că fiecare variabilă are suficientă corelație cu celelalte pentru a justifica identificarea factorilor latenti. În practică, aceasta înseamnă că variabilele educaționale și economice analizate au un grad suficient de asociere pentru a putea fi sintetizate în factori relevanți, care pot explica diferențele și similaritățile dintre statele membre ale Uniunii Europene.</w:t>
      </w:r>
    </w:p>
    <w:p w:rsidR="005A4E38" w:rsidRPr="00E61049" w:rsidRDefault="005A4E38" w:rsidP="00323E96">
      <w:pPr>
        <w:pStyle w:val="NormalWeb"/>
        <w:spacing w:line="360" w:lineRule="auto"/>
        <w:jc w:val="both"/>
      </w:pPr>
    </w:p>
    <w:p w:rsidR="00A91AC9" w:rsidRDefault="00302144" w:rsidP="00323E96">
      <w:pPr>
        <w:pStyle w:val="NormalWeb"/>
        <w:spacing w:line="360" w:lineRule="auto"/>
        <w:rPr>
          <w:rStyle w:val="Strong"/>
        </w:rPr>
      </w:pPr>
      <w:r w:rsidRPr="00E61049">
        <w:rPr>
          <w:rStyle w:val="Strong"/>
        </w:rPr>
        <w:t>Interpretare generală:</w:t>
      </w:r>
    </w:p>
    <w:p w:rsidR="00302144" w:rsidRDefault="00302144" w:rsidP="00323E96">
      <w:pPr>
        <w:pStyle w:val="NormalWeb"/>
        <w:spacing w:line="360" w:lineRule="auto"/>
        <w:jc w:val="both"/>
      </w:pPr>
      <w:r w:rsidRPr="00E61049">
        <w:br/>
        <w:t>Împreună, aceste teste indică faptul că datele colectate sunt adecvate pentru extragerea factorilor latenti. Aplicarea AEF pe acest set de date va permite identificarea dimensiunilor structurale care stau la baza performanței economice și educaționale a UE, oferind o bază statistică solidă pentru evaluarea capacității statelor membre de a face față provocărilor economice și geopolitice.</w:t>
      </w:r>
    </w:p>
    <w:p w:rsidR="005A4E38" w:rsidRPr="00E61049" w:rsidRDefault="005A4E38" w:rsidP="00323E96">
      <w:pPr>
        <w:pStyle w:val="NormalWeb"/>
        <w:spacing w:line="360" w:lineRule="auto"/>
        <w:jc w:val="both"/>
      </w:pPr>
    </w:p>
    <w:p w:rsidR="00E71DE2" w:rsidRDefault="00E71DE2" w:rsidP="005A4E38">
      <w:pPr>
        <w:pStyle w:val="Heading2"/>
        <w:spacing w:line="360" w:lineRule="auto"/>
        <w:jc w:val="center"/>
        <w:rPr>
          <w:rFonts w:ascii="Times New Roman" w:hAnsi="Times New Roman" w:cs="Times New Roman"/>
          <w:sz w:val="32"/>
          <w:szCs w:val="32"/>
        </w:rPr>
      </w:pPr>
    </w:p>
    <w:p w:rsidR="00E71DE2" w:rsidRDefault="00E71DE2" w:rsidP="005A4E38">
      <w:pPr>
        <w:pStyle w:val="Heading2"/>
        <w:spacing w:line="360" w:lineRule="auto"/>
        <w:jc w:val="center"/>
        <w:rPr>
          <w:rFonts w:ascii="Times New Roman" w:hAnsi="Times New Roman" w:cs="Times New Roman"/>
          <w:sz w:val="32"/>
          <w:szCs w:val="32"/>
        </w:rPr>
      </w:pPr>
    </w:p>
    <w:p w:rsidR="00E71DE2" w:rsidRDefault="00E71DE2" w:rsidP="005A4E38">
      <w:pPr>
        <w:pStyle w:val="Heading2"/>
        <w:spacing w:line="360" w:lineRule="auto"/>
        <w:jc w:val="center"/>
        <w:rPr>
          <w:rFonts w:ascii="Times New Roman" w:hAnsi="Times New Roman" w:cs="Times New Roman"/>
          <w:sz w:val="32"/>
          <w:szCs w:val="32"/>
        </w:rPr>
      </w:pPr>
    </w:p>
    <w:p w:rsidR="00E71DE2" w:rsidRDefault="00E71DE2" w:rsidP="005A4E38">
      <w:pPr>
        <w:pStyle w:val="Heading2"/>
        <w:spacing w:line="360" w:lineRule="auto"/>
        <w:jc w:val="center"/>
        <w:rPr>
          <w:rFonts w:ascii="Times New Roman" w:hAnsi="Times New Roman" w:cs="Times New Roman"/>
          <w:sz w:val="32"/>
          <w:szCs w:val="32"/>
        </w:rPr>
      </w:pPr>
    </w:p>
    <w:p w:rsidR="0054517C" w:rsidRPr="005A4E38" w:rsidRDefault="00E71DE2" w:rsidP="005A4E38">
      <w:pPr>
        <w:pStyle w:val="Heading2"/>
        <w:spacing w:line="360" w:lineRule="auto"/>
        <w:jc w:val="center"/>
        <w:rPr>
          <w:rFonts w:ascii="Times New Roman" w:hAnsi="Times New Roman" w:cs="Times New Roman"/>
          <w:sz w:val="32"/>
          <w:szCs w:val="32"/>
        </w:rPr>
      </w:pPr>
      <w:r w:rsidRPr="005A4E38">
        <w:rPr>
          <w:rFonts w:ascii="Times New Roman" w:hAnsi="Times New Roman" w:cs="Times New Roman"/>
          <w:sz w:val="32"/>
          <w:szCs w:val="32"/>
        </w:rPr>
        <w:lastRenderedPageBreak/>
        <w:t>6.2 REZULTATE</w:t>
      </w:r>
    </w:p>
    <w:p w:rsidR="005A4E38" w:rsidRPr="00E61049" w:rsidRDefault="005A4E38" w:rsidP="005A4E38">
      <w:pPr>
        <w:pStyle w:val="Heading2"/>
        <w:spacing w:line="360" w:lineRule="auto"/>
        <w:rPr>
          <w:rFonts w:ascii="Times New Roman" w:hAnsi="Times New Roman" w:cs="Times New Roman"/>
        </w:rPr>
      </w:pPr>
    </w:p>
    <w:p w:rsidR="004F1947" w:rsidRPr="004F1947" w:rsidRDefault="004F1947" w:rsidP="00323E96">
      <w:pPr>
        <w:spacing w:before="100" w:beforeAutospacing="1" w:after="100" w:afterAutospacing="1" w:line="360" w:lineRule="auto"/>
        <w:ind w:firstLine="708"/>
        <w:jc w:val="both"/>
        <w:rPr>
          <w:rFonts w:ascii="Times New Roman" w:eastAsia="Times New Roman" w:hAnsi="Times New Roman" w:cs="Times New Roman"/>
        </w:rPr>
      </w:pPr>
      <w:r w:rsidRPr="004F1947">
        <w:rPr>
          <w:rFonts w:ascii="Times New Roman" w:eastAsia="Times New Roman" w:hAnsi="Times New Roman" w:cs="Times New Roman"/>
        </w:rPr>
        <w:t xml:space="preserve">Aplicând criteriul Kaiser (retinerea factorilor cu valori proprii &gt; 1), au fost identificați </w:t>
      </w:r>
      <w:r w:rsidRPr="00E61049">
        <w:rPr>
          <w:rFonts w:ascii="Times New Roman" w:eastAsia="Times New Roman" w:hAnsi="Times New Roman" w:cs="Times New Roman"/>
          <w:b/>
          <w:bCs/>
        </w:rPr>
        <w:t>4 factori principali</w:t>
      </w:r>
      <w:r w:rsidRPr="004F1947">
        <w:rPr>
          <w:rFonts w:ascii="Times New Roman" w:eastAsia="Times New Roman" w:hAnsi="Times New Roman" w:cs="Times New Roman"/>
        </w:rPr>
        <w:t xml:space="preserve"> care explică o proporție semnificativă din variația totală a datelor. Acești factori sintetizează corelațiile între variabilele economice și educaționale analizate, permițând o interpretare mai clară a structurii latente a performanței economiilor europene.</w:t>
      </w:r>
    </w:p>
    <w:p w:rsidR="004F1947" w:rsidRPr="004F1947" w:rsidRDefault="004F1947" w:rsidP="00323E96">
      <w:pPr>
        <w:spacing w:before="100" w:beforeAutospacing="1" w:after="100" w:afterAutospacing="1" w:line="360" w:lineRule="auto"/>
        <w:rPr>
          <w:rFonts w:ascii="Times New Roman" w:eastAsia="Times New Roman" w:hAnsi="Times New Roman" w:cs="Times New Roman"/>
        </w:rPr>
      </w:pPr>
      <w:r w:rsidRPr="00E61049">
        <w:rPr>
          <w:rFonts w:ascii="Times New Roman" w:eastAsia="Times New Roman" w:hAnsi="Times New Roman" w:cs="Times New Roman"/>
          <w:b/>
          <w:bCs/>
        </w:rPr>
        <w:t>Detalii statistice:</w:t>
      </w:r>
    </w:p>
    <w:p w:rsidR="004F1947" w:rsidRPr="004F1947" w:rsidRDefault="004F1947" w:rsidP="00323E96">
      <w:pPr>
        <w:numPr>
          <w:ilvl w:val="0"/>
          <w:numId w:val="2"/>
        </w:num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Factorii extrași împreună explică o proporție mare din variabilitatea totală, ceea ce indică faptul că informația esențială din cele 10 variabile inițiale a fost capturată eficient.</w:t>
      </w:r>
    </w:p>
    <w:p w:rsidR="004F1947" w:rsidRPr="004F1947" w:rsidRDefault="004F1947" w:rsidP="00323E96">
      <w:pPr>
        <w:numPr>
          <w:ilvl w:val="0"/>
          <w:numId w:val="2"/>
        </w:num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Prima componentă surprinde dimensiunea dezvoltării economice generale (PIB per capita, productivitatea muncii, balanța contului curent).</w:t>
      </w:r>
    </w:p>
    <w:p w:rsidR="004F1947" w:rsidRPr="004F1947" w:rsidRDefault="004F1947" w:rsidP="00323E96">
      <w:pPr>
        <w:numPr>
          <w:ilvl w:val="0"/>
          <w:numId w:val="2"/>
        </w:num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A doua componentă reflectă echilibrul macroeconomic (datorie publică, șomaj, inflație).</w:t>
      </w:r>
    </w:p>
    <w:p w:rsidR="004F1947" w:rsidRPr="004F1947" w:rsidRDefault="004F1947" w:rsidP="00323E96">
      <w:pPr>
        <w:numPr>
          <w:ilvl w:val="0"/>
          <w:numId w:val="2"/>
        </w:num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A treia componentă este asociată atractivității investiționale (FDI, cheltuieli în R&amp;D).</w:t>
      </w:r>
    </w:p>
    <w:p w:rsidR="004F1947" w:rsidRDefault="004F1947" w:rsidP="00323E96">
      <w:pPr>
        <w:numPr>
          <w:ilvl w:val="0"/>
          <w:numId w:val="2"/>
        </w:num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A patra componentă surprinde dinamica comercială (exporturi, importuri).</w:t>
      </w:r>
    </w:p>
    <w:p w:rsidR="00A91AC9" w:rsidRPr="004F1947" w:rsidRDefault="00A91AC9" w:rsidP="00323E96">
      <w:pPr>
        <w:spacing w:before="100" w:beforeAutospacing="1" w:after="100" w:afterAutospacing="1" w:line="360" w:lineRule="auto"/>
        <w:ind w:left="720"/>
        <w:rPr>
          <w:rFonts w:ascii="Times New Roman" w:eastAsia="Times New Roman" w:hAnsi="Times New Roman" w:cs="Times New Roman"/>
        </w:rPr>
      </w:pPr>
    </w:p>
    <w:p w:rsidR="00A91AC9" w:rsidRDefault="004F1947" w:rsidP="00323E96">
      <w:pPr>
        <w:spacing w:before="100" w:beforeAutospacing="1" w:after="100" w:afterAutospacing="1" w:line="360" w:lineRule="auto"/>
        <w:rPr>
          <w:rFonts w:ascii="Times New Roman" w:eastAsia="Times New Roman" w:hAnsi="Times New Roman" w:cs="Times New Roman"/>
          <w:b/>
          <w:bCs/>
        </w:rPr>
      </w:pPr>
      <w:r w:rsidRPr="00E61049">
        <w:rPr>
          <w:rFonts w:ascii="Times New Roman" w:eastAsia="Times New Roman" w:hAnsi="Times New Roman" w:cs="Times New Roman"/>
          <w:b/>
          <w:bCs/>
        </w:rPr>
        <w:t>Interpretare în contextul proiectului:</w:t>
      </w:r>
    </w:p>
    <w:p w:rsidR="004F1947" w:rsidRPr="004F1947" w:rsidRDefault="004F1947" w:rsidP="00323E96">
      <w:p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br/>
        <w:t>Acești patru factori oferă o imagine structurată a sănătății economiilor europene. Din perspectiva statistică, identificarea lor arată că variabilele analizate nu funcționează izolat, ci formează grupuri coerente care determină performanța și stabilitatea economică. De exemplu: economiile cu valori ridicate pe factorul dezvoltare economică generală sunt mai reziliente la șocuri externe, în timp ce economiile cu un echilibru macroeconomic solid pot menține stabilitatea financiară chiar și în perioade de instabilitate geopolitică.</w:t>
      </w:r>
    </w:p>
    <w:p w:rsidR="004F1947" w:rsidRPr="004F1947" w:rsidRDefault="004F1947" w:rsidP="00323E96">
      <w:pPr>
        <w:spacing w:before="100" w:beforeAutospacing="1" w:after="100" w:afterAutospacing="1" w:line="360" w:lineRule="auto"/>
        <w:jc w:val="both"/>
        <w:rPr>
          <w:rFonts w:ascii="Times New Roman" w:eastAsia="Times New Roman" w:hAnsi="Times New Roman" w:cs="Times New Roman"/>
        </w:rPr>
      </w:pPr>
      <w:r w:rsidRPr="004F1947">
        <w:rPr>
          <w:rFonts w:ascii="Times New Roman" w:eastAsia="Times New Roman" w:hAnsi="Times New Roman" w:cs="Times New Roman"/>
        </w:rPr>
        <w:t xml:space="preserve">Astfel, prin reducerea dimensionalității și extragerea acestor factori, analiza factorială oferă un cadru clar pentru evaluarea comparativă a statelor membre UE și identificarea punctelor forte și </w:t>
      </w:r>
      <w:r w:rsidRPr="004F1947">
        <w:rPr>
          <w:rFonts w:ascii="Times New Roman" w:eastAsia="Times New Roman" w:hAnsi="Times New Roman" w:cs="Times New Roman"/>
        </w:rPr>
        <w:lastRenderedPageBreak/>
        <w:t>a vulnerabilităților structurale, esențiale pentru planificarea politicilor economice și educaționale pe termen lung.</w:t>
      </w:r>
    </w:p>
    <w:p w:rsidR="0054517C" w:rsidRPr="00E61049" w:rsidRDefault="006E0174" w:rsidP="00323E96">
      <w:pPr>
        <w:pStyle w:val="Heading2"/>
        <w:spacing w:line="360" w:lineRule="auto"/>
        <w:rPr>
          <w:rFonts w:ascii="Times New Roman" w:hAnsi="Times New Roman" w:cs="Times New Roman"/>
        </w:rPr>
      </w:pPr>
      <w:r w:rsidRPr="00E61049">
        <w:rPr>
          <w:rFonts w:ascii="Times New Roman" w:hAnsi="Times New Roman" w:cs="Times New Roman"/>
        </w:rPr>
        <w:t>6.3 Interpretarea factorilor (d</w:t>
      </w:r>
      <w:r w:rsidRPr="00E61049">
        <w:rPr>
          <w:rFonts w:ascii="Times New Roman" w:hAnsi="Times New Roman" w:cs="Times New Roman"/>
        </w:rPr>
        <w:t>upa rotatie Varimax)</w:t>
      </w:r>
    </w:p>
    <w:p w:rsidR="00E61049" w:rsidRPr="00E61049" w:rsidRDefault="00E61049" w:rsidP="00323E96">
      <w:pPr>
        <w:pStyle w:val="Heading3"/>
        <w:spacing w:line="360" w:lineRule="auto"/>
        <w:rPr>
          <w:rFonts w:ascii="Times New Roman" w:hAnsi="Times New Roman" w:cs="Times New Roman"/>
        </w:rPr>
      </w:pPr>
      <w:r w:rsidRPr="00E61049">
        <w:rPr>
          <w:rStyle w:val="Strong"/>
          <w:rFonts w:ascii="Times New Roman" w:hAnsi="Times New Roman" w:cs="Times New Roman"/>
          <w:b/>
          <w:bCs/>
        </w:rPr>
        <w:t>Factor 1</w:t>
      </w:r>
      <w:r w:rsidR="00A91AC9">
        <w:rPr>
          <w:rStyle w:val="Strong"/>
          <w:rFonts w:ascii="Times New Roman" w:hAnsi="Times New Roman" w:cs="Times New Roman"/>
          <w:b/>
          <w:bCs/>
        </w:rPr>
        <w:t>:</w:t>
      </w:r>
      <w:r w:rsidRPr="00E61049">
        <w:rPr>
          <w:rStyle w:val="Strong"/>
          <w:rFonts w:ascii="Times New Roman" w:hAnsi="Times New Roman" w:cs="Times New Roman"/>
          <w:b/>
          <w:bCs/>
        </w:rPr>
        <w:t xml:space="preserve"> Performanța educațională</w:t>
      </w:r>
    </w:p>
    <w:p w:rsidR="00E71DE2" w:rsidRDefault="00E61049" w:rsidP="00323E96">
      <w:pPr>
        <w:pStyle w:val="NormalWeb"/>
        <w:spacing w:line="360" w:lineRule="auto"/>
        <w:jc w:val="both"/>
      </w:pPr>
      <w:r w:rsidRPr="00E61049">
        <w:t>Acest factor este puternic corelat cu variabilele legate de rezultatele PISA la citire și matematică, precum și cu rata abandonului școlar. Din perspectivă statistică, factorul captează variația comună a acestor indicatori, indicând calitatea output-urilor sistemului educațional.</w:t>
      </w:r>
    </w:p>
    <w:p w:rsidR="00E61049" w:rsidRPr="00E61049" w:rsidRDefault="00E61049" w:rsidP="00323E96">
      <w:pPr>
        <w:pStyle w:val="NormalWeb"/>
        <w:spacing w:line="360" w:lineRule="auto"/>
        <w:jc w:val="both"/>
      </w:pPr>
      <w:r w:rsidRPr="00E61049">
        <w:br/>
        <w:t>Statele membre cu valori ridicate pe acest factor au sisteme educaționale eficiente, care produc competențe solide pentru tineri, contribuind astfel la dezvoltarea capitalului uman și la reziliența economică pe termen lung. Performanța educațională bună sprijină productivitatea muncii și competitivitatea internațională a economiilor europene.</w:t>
      </w:r>
    </w:p>
    <w:p w:rsidR="00E61049" w:rsidRPr="00E61049" w:rsidRDefault="00E61049" w:rsidP="00323E96">
      <w:pPr>
        <w:spacing w:line="360" w:lineRule="auto"/>
        <w:rPr>
          <w:rFonts w:ascii="Times New Roman" w:hAnsi="Times New Roman" w:cs="Times New Roman"/>
        </w:rPr>
      </w:pPr>
    </w:p>
    <w:p w:rsidR="00E61049" w:rsidRPr="00E61049" w:rsidRDefault="00E61049" w:rsidP="00323E96">
      <w:pPr>
        <w:pStyle w:val="Heading3"/>
        <w:spacing w:line="360" w:lineRule="auto"/>
        <w:rPr>
          <w:rFonts w:ascii="Times New Roman" w:hAnsi="Times New Roman" w:cs="Times New Roman"/>
        </w:rPr>
      </w:pPr>
      <w:r w:rsidRPr="00E61049">
        <w:rPr>
          <w:rStyle w:val="Strong"/>
          <w:rFonts w:ascii="Times New Roman" w:hAnsi="Times New Roman" w:cs="Times New Roman"/>
          <w:b/>
          <w:bCs/>
        </w:rPr>
        <w:t>Factor 2</w:t>
      </w:r>
      <w:r w:rsidR="00A91AC9">
        <w:rPr>
          <w:rStyle w:val="Strong"/>
          <w:rFonts w:ascii="Times New Roman" w:hAnsi="Times New Roman" w:cs="Times New Roman"/>
          <w:b/>
          <w:bCs/>
        </w:rPr>
        <w:t>:</w:t>
      </w:r>
      <w:r w:rsidRPr="00E61049">
        <w:rPr>
          <w:rStyle w:val="Strong"/>
          <w:rFonts w:ascii="Times New Roman" w:hAnsi="Times New Roman" w:cs="Times New Roman"/>
          <w:b/>
          <w:bCs/>
        </w:rPr>
        <w:t xml:space="preserve"> Investiții în educație</w:t>
      </w:r>
    </w:p>
    <w:p w:rsidR="00E71DE2" w:rsidRDefault="00E61049" w:rsidP="00323E96">
      <w:pPr>
        <w:pStyle w:val="NormalWeb"/>
        <w:spacing w:line="360" w:lineRule="auto"/>
        <w:jc w:val="both"/>
      </w:pPr>
      <w:r w:rsidRPr="00E61049">
        <w:t>Factorul 2 încarcă puternic pe cheltuielile publice pentru educație și pe cheltuielile per student, reflectând resursele alocate sistemului educațional.</w:t>
      </w:r>
    </w:p>
    <w:p w:rsidR="00E61049" w:rsidRPr="00E61049" w:rsidRDefault="00E61049" w:rsidP="00323E96">
      <w:pPr>
        <w:pStyle w:val="NormalWeb"/>
        <w:spacing w:line="360" w:lineRule="auto"/>
        <w:jc w:val="both"/>
      </w:pPr>
      <w:r w:rsidRPr="00E61049">
        <w:br/>
        <w:t>Valorile ridicate ale acestui factor indică economii care investesc semnificativ în infrastructura și calitatea educației. Din perspectiva sănătății economice a UE, investițiile adecvate în educație susțin dezvoltarea pe termen lung, asigurând formarea unei forțe de muncă bine pregătite, reducând riscurile de șomaj și sprijinind inovarea.</w:t>
      </w:r>
    </w:p>
    <w:p w:rsidR="00E61049" w:rsidRPr="00E61049" w:rsidRDefault="00E61049" w:rsidP="00323E96">
      <w:pPr>
        <w:spacing w:line="360" w:lineRule="auto"/>
        <w:rPr>
          <w:rFonts w:ascii="Times New Roman" w:hAnsi="Times New Roman" w:cs="Times New Roman"/>
        </w:rPr>
      </w:pPr>
    </w:p>
    <w:p w:rsidR="00E61049" w:rsidRPr="00E61049" w:rsidRDefault="00E61049" w:rsidP="00323E96">
      <w:pPr>
        <w:pStyle w:val="Heading3"/>
        <w:spacing w:line="360" w:lineRule="auto"/>
        <w:rPr>
          <w:rFonts w:ascii="Times New Roman" w:hAnsi="Times New Roman" w:cs="Times New Roman"/>
        </w:rPr>
      </w:pPr>
      <w:r w:rsidRPr="00E61049">
        <w:rPr>
          <w:rStyle w:val="Strong"/>
          <w:rFonts w:ascii="Times New Roman" w:hAnsi="Times New Roman" w:cs="Times New Roman"/>
          <w:b/>
          <w:bCs/>
        </w:rPr>
        <w:t>Factor 3</w:t>
      </w:r>
      <w:r w:rsidR="00A91AC9">
        <w:rPr>
          <w:rStyle w:val="Strong"/>
          <w:rFonts w:ascii="Times New Roman" w:hAnsi="Times New Roman" w:cs="Times New Roman"/>
          <w:b/>
          <w:bCs/>
        </w:rPr>
        <w:t>:</w:t>
      </w:r>
      <w:r w:rsidRPr="00E61049">
        <w:rPr>
          <w:rStyle w:val="Strong"/>
          <w:rFonts w:ascii="Times New Roman" w:hAnsi="Times New Roman" w:cs="Times New Roman"/>
          <w:b/>
          <w:bCs/>
        </w:rPr>
        <w:t xml:space="preserve"> Participare la educație</w:t>
      </w:r>
    </w:p>
    <w:p w:rsidR="00E71DE2" w:rsidRDefault="00E61049" w:rsidP="00323E96">
      <w:pPr>
        <w:pStyle w:val="NormalWeb"/>
        <w:spacing w:line="360" w:lineRule="auto"/>
        <w:jc w:val="both"/>
      </w:pPr>
      <w:r w:rsidRPr="00E61049">
        <w:lastRenderedPageBreak/>
        <w:t>Acest factor se corelează cu participarea la educația timpurie și cu implicarea adulților în programe de învățare pe tot parcursul vieții. Statistic, reflectă accesul și participarea efectivă la educație în diferite etape ale vieții.</w:t>
      </w:r>
    </w:p>
    <w:p w:rsidR="00E61049" w:rsidRPr="00E61049" w:rsidRDefault="00E61049" w:rsidP="00323E96">
      <w:pPr>
        <w:pStyle w:val="NormalWeb"/>
        <w:spacing w:line="360" w:lineRule="auto"/>
        <w:jc w:val="both"/>
      </w:pPr>
      <w:r w:rsidRPr="00E61049">
        <w:br/>
        <w:t>O participare ridicată indică economii care promovează incluziunea și dezvoltarea continuă a capitalului uman. Aceasta contribuie la creșterea adaptabilității pieței muncii și la reducerea riscurilor sociale, fiind un element-cheie al rezilienței economice a Uniunii Europene.</w:t>
      </w:r>
    </w:p>
    <w:p w:rsidR="00E61049" w:rsidRPr="00E61049" w:rsidRDefault="00E61049" w:rsidP="00323E96">
      <w:pPr>
        <w:spacing w:line="360" w:lineRule="auto"/>
        <w:rPr>
          <w:rFonts w:ascii="Times New Roman" w:hAnsi="Times New Roman" w:cs="Times New Roman"/>
        </w:rPr>
      </w:pPr>
    </w:p>
    <w:p w:rsidR="00E61049" w:rsidRPr="00E61049" w:rsidRDefault="00E61049" w:rsidP="00323E96">
      <w:pPr>
        <w:pStyle w:val="Heading3"/>
        <w:spacing w:line="360" w:lineRule="auto"/>
        <w:rPr>
          <w:rFonts w:ascii="Times New Roman" w:hAnsi="Times New Roman" w:cs="Times New Roman"/>
        </w:rPr>
      </w:pPr>
      <w:r w:rsidRPr="00E61049">
        <w:rPr>
          <w:rStyle w:val="Strong"/>
          <w:rFonts w:ascii="Times New Roman" w:hAnsi="Times New Roman" w:cs="Times New Roman"/>
          <w:b/>
          <w:bCs/>
        </w:rPr>
        <w:t>Factor 4</w:t>
      </w:r>
      <w:r w:rsidR="00A91AC9">
        <w:rPr>
          <w:rStyle w:val="Strong"/>
          <w:rFonts w:ascii="Times New Roman" w:hAnsi="Times New Roman" w:cs="Times New Roman"/>
          <w:b/>
          <w:bCs/>
        </w:rPr>
        <w:t xml:space="preserve">: </w:t>
      </w:r>
      <w:r w:rsidRPr="00E61049">
        <w:rPr>
          <w:rStyle w:val="Strong"/>
          <w:rFonts w:ascii="Times New Roman" w:hAnsi="Times New Roman" w:cs="Times New Roman"/>
          <w:b/>
          <w:bCs/>
        </w:rPr>
        <w:t>Tranziția spre piața muncii</w:t>
      </w:r>
    </w:p>
    <w:p w:rsidR="00E61049" w:rsidRPr="00E61049" w:rsidRDefault="00E61049" w:rsidP="00323E96">
      <w:pPr>
        <w:pStyle w:val="NormalWeb"/>
        <w:spacing w:line="360" w:lineRule="auto"/>
        <w:jc w:val="both"/>
      </w:pPr>
      <w:r w:rsidRPr="00E61049">
        <w:t>Factorul 4 este strâns legat de rata ocupării absolvenților și de rata NEET (tinerii care nu sunt angajați și nu urmează nicio formă de educație). Din perspectivă statistică, reflectă eficiența sistemului educațional în pregătirea tinerilor pentru piața muncii.</w:t>
      </w:r>
    </w:p>
    <w:p w:rsidR="00E61049" w:rsidRPr="00E61049" w:rsidRDefault="00E61049" w:rsidP="00323E96">
      <w:pPr>
        <w:pStyle w:val="NormalWeb"/>
        <w:spacing w:line="360" w:lineRule="auto"/>
        <w:jc w:val="both"/>
      </w:pPr>
      <w:r w:rsidRPr="00E61049">
        <w:br/>
        <w:t>Statele membre cu valori ridicate pe acest factor demonstrează că educația contribuie efectiv la integrarea forței de muncă și la reducerea riscului de excluziune socială. În contextul sănătății economiilor UE, tranziția eficientă spre muncă sprijină stabilitatea socială și productivitatea, consolidând astfel capacitatea Uniunii de a răspunde provocărilor interne și externe.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Default="006E0174" w:rsidP="005A4E38">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7. CONCLUZII</w:t>
      </w:r>
    </w:p>
    <w:p w:rsidR="005A4E38" w:rsidRPr="00E61049" w:rsidRDefault="005A4E38" w:rsidP="005A4E38">
      <w:pPr>
        <w:pStyle w:val="Heading1"/>
        <w:spacing w:line="360" w:lineRule="auto"/>
        <w:jc w:val="center"/>
        <w:rPr>
          <w:rFonts w:ascii="Times New Roman" w:hAnsi="Times New Roman" w:cs="Times New Roman"/>
        </w:rPr>
      </w:pPr>
    </w:p>
    <w:p w:rsidR="00E61049" w:rsidRPr="00E61049" w:rsidRDefault="00E61049" w:rsidP="00E71DE2">
      <w:pPr>
        <w:pStyle w:val="NormalWeb"/>
        <w:spacing w:line="360" w:lineRule="auto"/>
        <w:ind w:firstLine="708"/>
        <w:jc w:val="both"/>
      </w:pPr>
      <w:r w:rsidRPr="00E61049">
        <w:t>Proiectul a aplicat cu succes două tehnici de analiză multivariată pentru evaluarea stării economiilor și sistemelor educaționale ale statelor membre ale Uniunii Europene, oferind o perspectivă integrată asupra capacității acestora de a face față provocărilor economice și geopolitice.</w:t>
      </w:r>
    </w:p>
    <w:p w:rsidR="00E61049" w:rsidRPr="00E61049" w:rsidRDefault="00E61049" w:rsidP="00323E96">
      <w:pPr>
        <w:pStyle w:val="NormalWeb"/>
        <w:spacing w:line="360" w:lineRule="auto"/>
      </w:pPr>
      <w:r w:rsidRPr="00E61049">
        <w:rPr>
          <w:rStyle w:val="Strong"/>
        </w:rPr>
        <w:t>Analiza ACP pe indicatori economici:</w:t>
      </w:r>
    </w:p>
    <w:p w:rsidR="00E61049" w:rsidRPr="00E61049" w:rsidRDefault="00E61049" w:rsidP="00323E96">
      <w:pPr>
        <w:pStyle w:val="NormalWeb"/>
        <w:numPr>
          <w:ilvl w:val="0"/>
          <w:numId w:val="3"/>
        </w:numPr>
        <w:spacing w:line="360" w:lineRule="auto"/>
        <w:jc w:val="both"/>
      </w:pPr>
      <w:r w:rsidRPr="00E61049">
        <w:t xml:space="preserve">Au fost identificate 4 componente principale care explică </w:t>
      </w:r>
      <w:r w:rsidRPr="00E61049">
        <w:rPr>
          <w:rStyle w:val="Strong"/>
        </w:rPr>
        <w:t>88% din variabilitatea datelor</w:t>
      </w:r>
      <w:r w:rsidRPr="00E61049">
        <w:t>, ceea ce indică că majoritatea informației economice relevante poate fi sintetizată în câteva dimensiuni esențiale.</w:t>
      </w:r>
    </w:p>
    <w:p w:rsidR="00E61049" w:rsidRPr="00E61049" w:rsidRDefault="00E61049" w:rsidP="00323E96">
      <w:pPr>
        <w:pStyle w:val="NormalWeb"/>
        <w:numPr>
          <w:ilvl w:val="0"/>
          <w:numId w:val="3"/>
        </w:numPr>
        <w:spacing w:line="360" w:lineRule="auto"/>
        <w:jc w:val="both"/>
      </w:pPr>
      <w:r w:rsidRPr="00E61049">
        <w:t>Prima componentă, asociată cu dezvoltarea economică generală, evidențiază economiile cu cel mai ridicat nivel de trai și productivitate (Luxemburg, Irlanda, Danemarca), comparativ cu statele cu performanțe mai scăzute (Bulgaria, România).</w:t>
      </w:r>
    </w:p>
    <w:p w:rsidR="00E61049" w:rsidRPr="00E61049" w:rsidRDefault="00E61049" w:rsidP="00323E96">
      <w:pPr>
        <w:pStyle w:val="NormalWeb"/>
        <w:numPr>
          <w:ilvl w:val="0"/>
          <w:numId w:val="3"/>
        </w:numPr>
        <w:spacing w:line="360" w:lineRule="auto"/>
        <w:jc w:val="both"/>
      </w:pPr>
      <w:r w:rsidRPr="00E61049">
        <w:t>Componenta a doua (echilibru macroeconomic), a treia (atractivitate investițională) și a patra (dinamica comercială) permit identificarea vulnerabilităților și punctelor forte ale fiecărei economii, oferind o bază statistică pentru evaluarea capacității UE de a gestiona șocuri externe.</w:t>
      </w:r>
    </w:p>
    <w:p w:rsidR="00E61049" w:rsidRPr="00E61049" w:rsidRDefault="00E61049" w:rsidP="00323E96">
      <w:pPr>
        <w:pStyle w:val="NormalWeb"/>
        <w:numPr>
          <w:ilvl w:val="0"/>
          <w:numId w:val="3"/>
        </w:numPr>
        <w:spacing w:line="360" w:lineRule="auto"/>
        <w:jc w:val="both"/>
      </w:pPr>
      <w:r w:rsidRPr="00E61049">
        <w:t>Din perspectivă statistică, ACP a permis reducerea dimensionalității și evidențierea corelațiilor puternice dintre variabile economice, facilitând o clasificare clară a statelor membre și interpretarea structurilor economice.</w:t>
      </w:r>
    </w:p>
    <w:p w:rsidR="00E61049" w:rsidRPr="00E61049" w:rsidRDefault="00E61049" w:rsidP="00323E96">
      <w:pPr>
        <w:pStyle w:val="NormalWeb"/>
        <w:spacing w:line="360" w:lineRule="auto"/>
      </w:pPr>
      <w:r w:rsidRPr="00E61049">
        <w:rPr>
          <w:rStyle w:val="Strong"/>
        </w:rPr>
        <w:t>Analiza AEF pe indicatori educaționali:</w:t>
      </w:r>
    </w:p>
    <w:p w:rsidR="00E61049" w:rsidRPr="00E61049" w:rsidRDefault="00E61049" w:rsidP="00323E96">
      <w:pPr>
        <w:pStyle w:val="NormalWeb"/>
        <w:numPr>
          <w:ilvl w:val="0"/>
          <w:numId w:val="4"/>
        </w:numPr>
        <w:spacing w:line="360" w:lineRule="auto"/>
        <w:jc w:val="both"/>
      </w:pPr>
      <w:r w:rsidRPr="00E61049">
        <w:t>Rezultatele KMO (0.695) și testul Bartlett semnificativ au confirmat existența factorilor comuni între variabilele educaționale, validând aplicabilitatea metodei.</w:t>
      </w:r>
    </w:p>
    <w:p w:rsidR="00E61049" w:rsidRPr="00E61049" w:rsidRDefault="00E61049" w:rsidP="00323E96">
      <w:pPr>
        <w:pStyle w:val="NormalWeb"/>
        <w:numPr>
          <w:ilvl w:val="0"/>
          <w:numId w:val="4"/>
        </w:numPr>
        <w:spacing w:line="360" w:lineRule="auto"/>
        <w:jc w:val="both"/>
      </w:pPr>
      <w:r w:rsidRPr="00E61049">
        <w:t xml:space="preserve">Au fost identificați 4 factori latenti: </w:t>
      </w:r>
      <w:r w:rsidRPr="00E61049">
        <w:rPr>
          <w:rStyle w:val="Strong"/>
        </w:rPr>
        <w:t>performanța educațională, investițiile în educație, participarea la educație și tranziția spre piața muncii</w:t>
      </w:r>
      <w:r w:rsidRPr="00E61049">
        <w:t>.</w:t>
      </w:r>
    </w:p>
    <w:p w:rsidR="00E61049" w:rsidRPr="00E61049" w:rsidRDefault="00E61049" w:rsidP="00323E96">
      <w:pPr>
        <w:pStyle w:val="NormalWeb"/>
        <w:numPr>
          <w:ilvl w:val="0"/>
          <w:numId w:val="4"/>
        </w:numPr>
        <w:spacing w:line="360" w:lineRule="auto"/>
        <w:jc w:val="both"/>
      </w:pPr>
      <w:r w:rsidRPr="00E61049">
        <w:lastRenderedPageBreak/>
        <w:t>Acești factori permit o înțelegere mai profundă a modului în care calitatea și accesul la educație influențează capitalul uman, productivitatea și, indirect, reziliența economică a UE.</w:t>
      </w:r>
    </w:p>
    <w:p w:rsidR="00E61049" w:rsidRPr="00E61049" w:rsidRDefault="00E61049" w:rsidP="00323E96">
      <w:pPr>
        <w:pStyle w:val="NormalWeb"/>
        <w:spacing w:line="360" w:lineRule="auto"/>
      </w:pPr>
      <w:r w:rsidRPr="00E61049">
        <w:rPr>
          <w:rStyle w:val="Strong"/>
        </w:rPr>
        <w:t>Perspective statistice și interpretare:</w:t>
      </w:r>
    </w:p>
    <w:p w:rsidR="00E61049" w:rsidRPr="00E61049" w:rsidRDefault="00E61049" w:rsidP="00323E96">
      <w:pPr>
        <w:pStyle w:val="NormalWeb"/>
        <w:numPr>
          <w:ilvl w:val="0"/>
          <w:numId w:val="5"/>
        </w:numPr>
        <w:spacing w:line="360" w:lineRule="auto"/>
        <w:jc w:val="both"/>
      </w:pPr>
      <w:r w:rsidRPr="00E61049">
        <w:t>Combinarea ACP și AEF oferă o imagine integrată: economiile cu dezvoltare economică puternică tind să aibă și performanță educațională ridicată, investiții adecvate și o tranziție eficientă spre piața muncii.</w:t>
      </w:r>
    </w:p>
    <w:p w:rsidR="00E61049" w:rsidRPr="00E61049" w:rsidRDefault="00E61049" w:rsidP="00323E96">
      <w:pPr>
        <w:pStyle w:val="NormalWeb"/>
        <w:numPr>
          <w:ilvl w:val="0"/>
          <w:numId w:val="5"/>
        </w:numPr>
        <w:spacing w:line="360" w:lineRule="auto"/>
        <w:jc w:val="both"/>
      </w:pPr>
      <w:r w:rsidRPr="00E61049">
        <w:t>Statele cu scoruri scăzute pe factorii economici sau educaționali pot reprezenta puncte de vulnerabilitate, necesitând politici direcționate pentru creșterea rezilienței interne și reducerea diferențelor între membre.</w:t>
      </w:r>
    </w:p>
    <w:p w:rsidR="00E61049" w:rsidRPr="00E61049" w:rsidRDefault="00E61049" w:rsidP="00323E96">
      <w:pPr>
        <w:pStyle w:val="NormalWeb"/>
        <w:spacing w:line="360" w:lineRule="auto"/>
      </w:pPr>
      <w:r w:rsidRPr="00E61049">
        <w:rPr>
          <w:rStyle w:val="Strong"/>
        </w:rPr>
        <w:t>Puncte forte și slabe în gestionarea situației geopolitice:</w:t>
      </w:r>
    </w:p>
    <w:p w:rsidR="00E61049" w:rsidRPr="00E61049" w:rsidRDefault="00E61049" w:rsidP="00323E96">
      <w:pPr>
        <w:pStyle w:val="NormalWeb"/>
        <w:numPr>
          <w:ilvl w:val="0"/>
          <w:numId w:val="6"/>
        </w:numPr>
        <w:spacing w:line="360" w:lineRule="auto"/>
        <w:jc w:val="both"/>
      </w:pPr>
      <w:r w:rsidRPr="00E61049">
        <w:rPr>
          <w:rStyle w:val="Strong"/>
        </w:rPr>
        <w:t>Puncte forte:</w:t>
      </w:r>
      <w:r w:rsidRPr="00E61049">
        <w:t xml:space="preserve"> Economiile bine dezvoltate și sistemele educaționale performante (ex. Luxemburg, Danemarca, Irlanda) dispun de resurse și capital uman pentru a răspunde eficient crizelor externe, contribuind la stabilitatea UE.</w:t>
      </w:r>
    </w:p>
    <w:p w:rsidR="00E61049" w:rsidRDefault="00E61049" w:rsidP="00323E96">
      <w:pPr>
        <w:pStyle w:val="NormalWeb"/>
        <w:numPr>
          <w:ilvl w:val="0"/>
          <w:numId w:val="6"/>
        </w:numPr>
        <w:spacing w:line="360" w:lineRule="auto"/>
        <w:jc w:val="both"/>
      </w:pPr>
      <w:r w:rsidRPr="00E61049">
        <w:rPr>
          <w:rStyle w:val="Strong"/>
        </w:rPr>
        <w:t>Puncte slabe:</w:t>
      </w:r>
      <w:r w:rsidRPr="00E61049">
        <w:t xml:space="preserve"> Economiile cu dezechilibre macroeconomice sau cu investiții educaționale reduse (ex. Bulgaria, România) sunt mai vulnerabile la șocuri externe și necesită măsuri de consolidare structurală pentru a sprijini coeziunea și stabilitatea pe termen lung.</w:t>
      </w:r>
    </w:p>
    <w:p w:rsidR="00E61049" w:rsidRPr="00E61049" w:rsidRDefault="00E61049" w:rsidP="00323E96">
      <w:pPr>
        <w:pStyle w:val="NormalWeb"/>
        <w:spacing w:line="360" w:lineRule="auto"/>
        <w:jc w:val="both"/>
      </w:pPr>
      <w:r w:rsidRPr="00E61049">
        <w:br/>
        <w:t>Analiza multivariată a demonstrat că reducerea dimensionalității și identificarea factorilor principali oferă instrumente puternice pentru înțelegerea complexității economice și educaționale a UE. Rezultatele permit nu doar clasificarea statelor membre, ci și ghidarea politicilor economice și educaționale pentru creșterea rezilienței, pregătirea pentru eventuale crize și consolidarea stabilității geopolitice a Uniunii Europene.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br w:type="page"/>
      </w:r>
    </w:p>
    <w:p w:rsidR="0054517C" w:rsidRDefault="006E0174" w:rsidP="005A4E38">
      <w:pPr>
        <w:pStyle w:val="Heading1"/>
        <w:spacing w:line="360" w:lineRule="auto"/>
        <w:jc w:val="center"/>
        <w:rPr>
          <w:rFonts w:ascii="Times New Roman" w:hAnsi="Times New Roman" w:cs="Times New Roman"/>
        </w:rPr>
      </w:pPr>
      <w:r w:rsidRPr="00E61049">
        <w:rPr>
          <w:rFonts w:ascii="Times New Roman" w:hAnsi="Times New Roman" w:cs="Times New Roman"/>
        </w:rPr>
        <w:lastRenderedPageBreak/>
        <w:t>8. BIBLIOGRAFIE</w:t>
      </w:r>
    </w:p>
    <w:p w:rsidR="005A4E38" w:rsidRPr="00E61049" w:rsidRDefault="005A4E38" w:rsidP="005A4E38">
      <w:pPr>
        <w:pStyle w:val="Heading1"/>
        <w:spacing w:line="360" w:lineRule="auto"/>
        <w:jc w:val="center"/>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1. Eurostat - Macroeconomic Imbalance Procedure Scoreboard</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 xml:space="preserve">   https://ec.europa.eu/eurostat/databrowser/view/mips_sa</w:t>
      </w:r>
    </w:p>
    <w:p w:rsidR="0054517C" w:rsidRPr="00E61049" w:rsidRDefault="0054517C" w:rsidP="00323E96">
      <w:pPr>
        <w:spacing w:after="100" w:line="360" w:lineRule="auto"/>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2. Eurostat - Education and Training Database</w:t>
      </w: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 xml:space="preserve">   https://ec.europa.eu/eurostat/web/education-and-training/database</w:t>
      </w:r>
    </w:p>
    <w:p w:rsidR="0054517C" w:rsidRPr="00E61049" w:rsidRDefault="0054517C" w:rsidP="00323E96">
      <w:pPr>
        <w:spacing w:after="100" w:line="360" w:lineRule="auto"/>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3. Hair, J.F. et al. (2019). Multivariate Data Analysis. Cengage Learning.</w:t>
      </w:r>
    </w:p>
    <w:p w:rsidR="0054517C" w:rsidRPr="00E61049" w:rsidRDefault="0054517C" w:rsidP="00323E96">
      <w:pPr>
        <w:spacing w:after="100" w:line="360" w:lineRule="auto"/>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4. Ta</w:t>
      </w:r>
      <w:r w:rsidRPr="00E61049">
        <w:rPr>
          <w:rFonts w:ascii="Times New Roman" w:hAnsi="Times New Roman" w:cs="Times New Roman"/>
        </w:rPr>
        <w:t>bachnick, B.G. &amp; Fidell, L.S. (2018). Using Multivariate Sta</w:t>
      </w:r>
      <w:bookmarkStart w:id="0" w:name="_GoBack"/>
      <w:bookmarkEnd w:id="0"/>
      <w:r w:rsidRPr="00E61049">
        <w:rPr>
          <w:rFonts w:ascii="Times New Roman" w:hAnsi="Times New Roman" w:cs="Times New Roman"/>
        </w:rPr>
        <w:t>tistics. Pearson.</w:t>
      </w:r>
    </w:p>
    <w:p w:rsidR="0054517C" w:rsidRPr="00E61049" w:rsidRDefault="0054517C" w:rsidP="00323E96">
      <w:pPr>
        <w:spacing w:after="100" w:line="360" w:lineRule="auto"/>
        <w:rPr>
          <w:rFonts w:ascii="Times New Roman" w:hAnsi="Times New Roman" w:cs="Times New Roman"/>
        </w:rPr>
      </w:pPr>
    </w:p>
    <w:p w:rsidR="0054517C" w:rsidRPr="00E61049" w:rsidRDefault="006E0174" w:rsidP="00323E96">
      <w:pPr>
        <w:spacing w:line="360" w:lineRule="auto"/>
        <w:rPr>
          <w:rFonts w:ascii="Times New Roman" w:hAnsi="Times New Roman" w:cs="Times New Roman"/>
        </w:rPr>
      </w:pPr>
      <w:r w:rsidRPr="00E61049">
        <w:rPr>
          <w:rFonts w:ascii="Times New Roman" w:hAnsi="Times New Roman" w:cs="Times New Roman"/>
        </w:rPr>
        <w:t>5. Python Libraries: pandas, numpy, scikit-learn, factor_analyzer, matplotlib, seaborn</w:t>
      </w:r>
    </w:p>
    <w:sectPr w:rsidR="0054517C" w:rsidRPr="00E61049" w:rsidSect="00323E96">
      <w:headerReference w:type="default" r:id="rId7"/>
      <w:footerReference w:type="default" r:id="rId8"/>
      <w:pgSz w:w="12240" w:h="15840"/>
      <w:pgMar w:top="1418" w:right="170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0174" w:rsidRDefault="006E0174">
      <w:r>
        <w:separator/>
      </w:r>
    </w:p>
  </w:endnote>
  <w:endnote w:type="continuationSeparator" w:id="0">
    <w:p w:rsidR="006E0174" w:rsidRDefault="006E0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17C" w:rsidRDefault="006E0174">
    <w:pPr>
      <w:jc w:val="center"/>
    </w:pPr>
    <w:r>
      <w:t xml:space="preserve">Pagina </w:t>
    </w:r>
    <w:r>
      <w:fldChar w:fldCharType="begin"/>
    </w:r>
    <w:r>
      <w:instrText>PAGE</w:instrText>
    </w:r>
    <w:r w:rsidR="006F35B4">
      <w:fldChar w:fldCharType="separate"/>
    </w:r>
    <w:r w:rsidR="006F35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0174" w:rsidRDefault="006E0174">
      <w:r>
        <w:separator/>
      </w:r>
    </w:p>
  </w:footnote>
  <w:footnote w:type="continuationSeparator" w:id="0">
    <w:p w:rsidR="006E0174" w:rsidRDefault="006E0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517C" w:rsidRDefault="006E0174">
    <w:pPr>
      <w:jc w:val="right"/>
    </w:pPr>
    <w:r>
      <w:rPr>
        <w:i/>
        <w:iCs/>
        <w:sz w:val="20"/>
        <w:szCs w:val="20"/>
      </w:rPr>
      <w:t>Proiect DSAD - Grigoras, Gidea - Grupa 1086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62334"/>
    <w:multiLevelType w:val="hybridMultilevel"/>
    <w:tmpl w:val="9712F35E"/>
    <w:lvl w:ilvl="0" w:tplc="FC1EA2AE">
      <w:start w:val="1"/>
      <w:numFmt w:val="bullet"/>
      <w:lvlText w:val="●"/>
      <w:lvlJc w:val="left"/>
      <w:pPr>
        <w:ind w:left="720" w:hanging="360"/>
      </w:pPr>
    </w:lvl>
    <w:lvl w:ilvl="1" w:tplc="A0660CD8">
      <w:start w:val="1"/>
      <w:numFmt w:val="bullet"/>
      <w:lvlText w:val="○"/>
      <w:lvlJc w:val="left"/>
      <w:pPr>
        <w:ind w:left="1440" w:hanging="360"/>
      </w:pPr>
    </w:lvl>
    <w:lvl w:ilvl="2" w:tplc="15BAEAA8">
      <w:start w:val="1"/>
      <w:numFmt w:val="bullet"/>
      <w:lvlText w:val="■"/>
      <w:lvlJc w:val="left"/>
      <w:pPr>
        <w:ind w:left="2160" w:hanging="360"/>
      </w:pPr>
    </w:lvl>
    <w:lvl w:ilvl="3" w:tplc="E09C7836">
      <w:start w:val="1"/>
      <w:numFmt w:val="bullet"/>
      <w:lvlText w:val="●"/>
      <w:lvlJc w:val="left"/>
      <w:pPr>
        <w:ind w:left="2880" w:hanging="360"/>
      </w:pPr>
    </w:lvl>
    <w:lvl w:ilvl="4" w:tplc="39C0E532">
      <w:start w:val="1"/>
      <w:numFmt w:val="bullet"/>
      <w:lvlText w:val="○"/>
      <w:lvlJc w:val="left"/>
      <w:pPr>
        <w:ind w:left="3600" w:hanging="360"/>
      </w:pPr>
    </w:lvl>
    <w:lvl w:ilvl="5" w:tplc="4F1C3CE4">
      <w:start w:val="1"/>
      <w:numFmt w:val="bullet"/>
      <w:lvlText w:val="■"/>
      <w:lvlJc w:val="left"/>
      <w:pPr>
        <w:ind w:left="4320" w:hanging="360"/>
      </w:pPr>
    </w:lvl>
    <w:lvl w:ilvl="6" w:tplc="58D67308">
      <w:start w:val="1"/>
      <w:numFmt w:val="bullet"/>
      <w:lvlText w:val="●"/>
      <w:lvlJc w:val="left"/>
      <w:pPr>
        <w:ind w:left="5040" w:hanging="360"/>
      </w:pPr>
    </w:lvl>
    <w:lvl w:ilvl="7" w:tplc="7C2887DC">
      <w:start w:val="1"/>
      <w:numFmt w:val="bullet"/>
      <w:lvlText w:val="●"/>
      <w:lvlJc w:val="left"/>
      <w:pPr>
        <w:ind w:left="5760" w:hanging="360"/>
      </w:pPr>
    </w:lvl>
    <w:lvl w:ilvl="8" w:tplc="8E1C61F6">
      <w:start w:val="1"/>
      <w:numFmt w:val="bullet"/>
      <w:lvlText w:val="●"/>
      <w:lvlJc w:val="left"/>
      <w:pPr>
        <w:ind w:left="6480" w:hanging="360"/>
      </w:pPr>
    </w:lvl>
  </w:abstractNum>
  <w:abstractNum w:abstractNumId="1" w15:restartNumberingAfterBreak="0">
    <w:nsid w:val="04305B58"/>
    <w:multiLevelType w:val="multilevel"/>
    <w:tmpl w:val="235C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0E63"/>
    <w:multiLevelType w:val="multilevel"/>
    <w:tmpl w:val="45D2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7F69"/>
    <w:multiLevelType w:val="multilevel"/>
    <w:tmpl w:val="52E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404BC"/>
    <w:multiLevelType w:val="multilevel"/>
    <w:tmpl w:val="7DB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33692"/>
    <w:multiLevelType w:val="multilevel"/>
    <w:tmpl w:val="52E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74F1B"/>
    <w:multiLevelType w:val="multilevel"/>
    <w:tmpl w:val="228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972CC"/>
    <w:multiLevelType w:val="multilevel"/>
    <w:tmpl w:val="52E4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num>
  <w:num w:numId="3">
    <w:abstractNumId w:val="4"/>
  </w:num>
  <w:num w:numId="4">
    <w:abstractNumId w:val="1"/>
  </w:num>
  <w:num w:numId="5">
    <w:abstractNumId w:val="6"/>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17C"/>
    <w:rsid w:val="00093572"/>
    <w:rsid w:val="00194370"/>
    <w:rsid w:val="00302144"/>
    <w:rsid w:val="00323E96"/>
    <w:rsid w:val="0038216C"/>
    <w:rsid w:val="004F1947"/>
    <w:rsid w:val="0054517C"/>
    <w:rsid w:val="005A4E38"/>
    <w:rsid w:val="006A0784"/>
    <w:rsid w:val="006E0174"/>
    <w:rsid w:val="006F35B4"/>
    <w:rsid w:val="00907E8E"/>
    <w:rsid w:val="00A91AC9"/>
    <w:rsid w:val="00B716D0"/>
    <w:rsid w:val="00BC0DEF"/>
    <w:rsid w:val="00E61049"/>
    <w:rsid w:val="00E71DE2"/>
    <w:rsid w:val="00E84220"/>
    <w:rsid w:val="00F27C1C"/>
    <w:rsid w:val="00FB0E3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9ADF"/>
  <w15:docId w15:val="{3D42F972-8EAD-40FD-AE53-EAC93078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ro-RO" w:eastAsia="ro-R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716D0"/>
    <w:rPr>
      <w:b/>
      <w:bCs/>
    </w:rPr>
  </w:style>
  <w:style w:type="paragraph" w:styleId="NormalWeb">
    <w:name w:val="Normal (Web)"/>
    <w:basedOn w:val="Normal"/>
    <w:uiPriority w:val="99"/>
    <w:semiHidden/>
    <w:unhideWhenUsed/>
    <w:rsid w:val="00B716D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93689">
      <w:bodyDiv w:val="1"/>
      <w:marLeft w:val="0"/>
      <w:marRight w:val="0"/>
      <w:marTop w:val="0"/>
      <w:marBottom w:val="0"/>
      <w:divBdr>
        <w:top w:val="none" w:sz="0" w:space="0" w:color="auto"/>
        <w:left w:val="none" w:sz="0" w:space="0" w:color="auto"/>
        <w:bottom w:val="none" w:sz="0" w:space="0" w:color="auto"/>
        <w:right w:val="none" w:sz="0" w:space="0" w:color="auto"/>
      </w:divBdr>
    </w:div>
    <w:div w:id="273682095">
      <w:bodyDiv w:val="1"/>
      <w:marLeft w:val="0"/>
      <w:marRight w:val="0"/>
      <w:marTop w:val="0"/>
      <w:marBottom w:val="0"/>
      <w:divBdr>
        <w:top w:val="none" w:sz="0" w:space="0" w:color="auto"/>
        <w:left w:val="none" w:sz="0" w:space="0" w:color="auto"/>
        <w:bottom w:val="none" w:sz="0" w:space="0" w:color="auto"/>
        <w:right w:val="none" w:sz="0" w:space="0" w:color="auto"/>
      </w:divBdr>
    </w:div>
    <w:div w:id="277376202">
      <w:bodyDiv w:val="1"/>
      <w:marLeft w:val="0"/>
      <w:marRight w:val="0"/>
      <w:marTop w:val="0"/>
      <w:marBottom w:val="0"/>
      <w:divBdr>
        <w:top w:val="none" w:sz="0" w:space="0" w:color="auto"/>
        <w:left w:val="none" w:sz="0" w:space="0" w:color="auto"/>
        <w:bottom w:val="none" w:sz="0" w:space="0" w:color="auto"/>
        <w:right w:val="none" w:sz="0" w:space="0" w:color="auto"/>
      </w:divBdr>
    </w:div>
    <w:div w:id="310133324">
      <w:bodyDiv w:val="1"/>
      <w:marLeft w:val="0"/>
      <w:marRight w:val="0"/>
      <w:marTop w:val="0"/>
      <w:marBottom w:val="0"/>
      <w:divBdr>
        <w:top w:val="none" w:sz="0" w:space="0" w:color="auto"/>
        <w:left w:val="none" w:sz="0" w:space="0" w:color="auto"/>
        <w:bottom w:val="none" w:sz="0" w:space="0" w:color="auto"/>
        <w:right w:val="none" w:sz="0" w:space="0" w:color="auto"/>
      </w:divBdr>
    </w:div>
    <w:div w:id="454442925">
      <w:bodyDiv w:val="1"/>
      <w:marLeft w:val="0"/>
      <w:marRight w:val="0"/>
      <w:marTop w:val="0"/>
      <w:marBottom w:val="0"/>
      <w:divBdr>
        <w:top w:val="none" w:sz="0" w:space="0" w:color="auto"/>
        <w:left w:val="none" w:sz="0" w:space="0" w:color="auto"/>
        <w:bottom w:val="none" w:sz="0" w:space="0" w:color="auto"/>
        <w:right w:val="none" w:sz="0" w:space="0" w:color="auto"/>
      </w:divBdr>
    </w:div>
    <w:div w:id="460922874">
      <w:bodyDiv w:val="1"/>
      <w:marLeft w:val="0"/>
      <w:marRight w:val="0"/>
      <w:marTop w:val="0"/>
      <w:marBottom w:val="0"/>
      <w:divBdr>
        <w:top w:val="none" w:sz="0" w:space="0" w:color="auto"/>
        <w:left w:val="none" w:sz="0" w:space="0" w:color="auto"/>
        <w:bottom w:val="none" w:sz="0" w:space="0" w:color="auto"/>
        <w:right w:val="none" w:sz="0" w:space="0" w:color="auto"/>
      </w:divBdr>
    </w:div>
    <w:div w:id="481434056">
      <w:bodyDiv w:val="1"/>
      <w:marLeft w:val="0"/>
      <w:marRight w:val="0"/>
      <w:marTop w:val="0"/>
      <w:marBottom w:val="0"/>
      <w:divBdr>
        <w:top w:val="none" w:sz="0" w:space="0" w:color="auto"/>
        <w:left w:val="none" w:sz="0" w:space="0" w:color="auto"/>
        <w:bottom w:val="none" w:sz="0" w:space="0" w:color="auto"/>
        <w:right w:val="none" w:sz="0" w:space="0" w:color="auto"/>
      </w:divBdr>
    </w:div>
    <w:div w:id="1044017018">
      <w:bodyDiv w:val="1"/>
      <w:marLeft w:val="0"/>
      <w:marRight w:val="0"/>
      <w:marTop w:val="0"/>
      <w:marBottom w:val="0"/>
      <w:divBdr>
        <w:top w:val="none" w:sz="0" w:space="0" w:color="auto"/>
        <w:left w:val="none" w:sz="0" w:space="0" w:color="auto"/>
        <w:bottom w:val="none" w:sz="0" w:space="0" w:color="auto"/>
        <w:right w:val="none" w:sz="0" w:space="0" w:color="auto"/>
      </w:divBdr>
    </w:div>
    <w:div w:id="1377311466">
      <w:bodyDiv w:val="1"/>
      <w:marLeft w:val="0"/>
      <w:marRight w:val="0"/>
      <w:marTop w:val="0"/>
      <w:marBottom w:val="0"/>
      <w:divBdr>
        <w:top w:val="none" w:sz="0" w:space="0" w:color="auto"/>
        <w:left w:val="none" w:sz="0" w:space="0" w:color="auto"/>
        <w:bottom w:val="none" w:sz="0" w:space="0" w:color="auto"/>
        <w:right w:val="none" w:sz="0" w:space="0" w:color="auto"/>
      </w:divBdr>
    </w:div>
    <w:div w:id="1530100149">
      <w:bodyDiv w:val="1"/>
      <w:marLeft w:val="0"/>
      <w:marRight w:val="0"/>
      <w:marTop w:val="0"/>
      <w:marBottom w:val="0"/>
      <w:divBdr>
        <w:top w:val="none" w:sz="0" w:space="0" w:color="auto"/>
        <w:left w:val="none" w:sz="0" w:space="0" w:color="auto"/>
        <w:bottom w:val="none" w:sz="0" w:space="0" w:color="auto"/>
        <w:right w:val="none" w:sz="0" w:space="0" w:color="auto"/>
      </w:divBdr>
    </w:div>
    <w:div w:id="1657494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3860</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Gidea</cp:lastModifiedBy>
  <cp:revision>13</cp:revision>
  <dcterms:created xsi:type="dcterms:W3CDTF">2026-01-11T13:22:00Z</dcterms:created>
  <dcterms:modified xsi:type="dcterms:W3CDTF">2026-01-11T14:47:00Z</dcterms:modified>
</cp:coreProperties>
</file>