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Segoe UI" w:hAnsi="Segoe UI"/>
          <w:b/>
          <w:i w:val="0"/>
          <w:color w:val="0A2E1F"/>
          <w:sz w:val="44"/>
        </w:rPr>
        <w:t>ReLoop: Software Design Process &amp; Brand Identity Document</w:t>
      </w:r>
    </w:p>
    <w:p>
      <w:pPr>
        <w:spacing w:after="360"/>
      </w:pPr>
      <w:r>
        <w:rPr>
          <w:rFonts w:ascii="Segoe UI" w:hAnsi="Segoe UI"/>
          <w:b w:val="0"/>
          <w:i/>
          <w:color w:val="64748B"/>
          <w:sz w:val="24"/>
        </w:rPr>
        <w:t>A Human-Centered Design Model, Semiotic Framework, and Technical System Design for Circular Packaging Tracking (UN SDG 12)</w:t>
      </w:r>
    </w:p>
    <w:tbl>
      <w:tblPr>
        <w:tblW w:type="auto" w:w="0"/>
        <w:jc w:val="center"/>
        <w:tblLook w:firstColumn="1" w:firstRow="1" w:lastColumn="0" w:lastRow="0" w:noHBand="0" w:noVBand="1" w:val="04A0"/>
      </w:tblPr>
      <w:tblGrid>
        <w:gridCol w:w="4680"/>
        <w:gridCol w:w="4680"/>
      </w:tblGrid>
      <w:tr>
        <w:tc>
          <w:tcPr>
            <w:tcW w:type="dxa" w:w="4680"/>
            <w:shd w:fill="F8FAFC"/>
            <w:tcMar>
              <w:top w:w="80" w:type="dxa"/>
              <w:bottom w:w="80" w:type="dxa"/>
              <w:left w:w="140" w:type="dxa"/>
              <w:right w:w="140" w:type="dxa"/>
            </w:tcMar>
          </w:tcPr>
          <w:p>
            <w:pPr>
              <w:spacing w:before="40" w:after="40"/>
            </w:pPr>
            <w:r>
              <w:rPr>
                <w:rFonts w:ascii="Segoe UI" w:hAnsi="Segoe UI"/>
                <w:b/>
                <w:i w:val="0"/>
                <w:color w:val="1E293B"/>
                <w:sz w:val="19"/>
              </w:rPr>
              <w:t xml:space="preserve">Project: </w:t>
            </w:r>
            <w:r>
              <w:rPr>
                <w:rFonts w:ascii="Segoe UI" w:hAnsi="Segoe UI"/>
                <w:b w:val="0"/>
                <w:i w:val="0"/>
                <w:color w:val="64748B"/>
                <w:sz w:val="19"/>
              </w:rPr>
              <w:t>ReLoop Smart Circular Economy Mobile Application</w:t>
            </w:r>
          </w:p>
        </w:tc>
        <w:tc>
          <w:tcPr>
            <w:tcW w:type="dxa" w:w="4680"/>
            <w:shd w:fill="F8FAFC"/>
            <w:tcMar>
              <w:top w:w="80" w:type="dxa"/>
              <w:bottom w:w="80" w:type="dxa"/>
              <w:left w:w="140" w:type="dxa"/>
              <w:right w:w="140" w:type="dxa"/>
            </w:tcMar>
          </w:tcPr>
          <w:p>
            <w:pPr>
              <w:spacing w:before="40" w:after="40"/>
            </w:pPr>
            <w:r>
              <w:rPr>
                <w:rFonts w:ascii="Segoe UI" w:hAnsi="Segoe UI"/>
                <w:b/>
                <w:i w:val="0"/>
                <w:color w:val="1E293B"/>
                <w:sz w:val="19"/>
              </w:rPr>
              <w:t xml:space="preserve">Author / Lead Engineer: </w:t>
            </w:r>
            <w:r>
              <w:rPr>
                <w:rFonts w:ascii="Segoe UI" w:hAnsi="Segoe UI"/>
                <w:b w:val="0"/>
                <w:i w:val="0"/>
                <w:color w:val="64748B"/>
                <w:sz w:val="19"/>
              </w:rPr>
              <w:t>Gideon Dadey</w:t>
            </w:r>
          </w:p>
        </w:tc>
      </w:tr>
      <w:tr>
        <w:tc>
          <w:tcPr>
            <w:tcW w:type="dxa" w:w="4680"/>
            <w:shd w:fill="F8FAFC"/>
            <w:tcMar>
              <w:top w:w="80" w:type="dxa"/>
              <w:bottom w:w="80" w:type="dxa"/>
              <w:left w:w="140" w:type="dxa"/>
              <w:right w:w="140" w:type="dxa"/>
            </w:tcMar>
          </w:tcPr>
          <w:p>
            <w:pPr>
              <w:spacing w:before="40" w:after="40"/>
            </w:pPr>
            <w:r>
              <w:rPr>
                <w:rFonts w:ascii="Segoe UI" w:hAnsi="Segoe UI"/>
                <w:b/>
                <w:i w:val="0"/>
                <w:color w:val="1E293B"/>
                <w:sz w:val="19"/>
              </w:rPr>
              <w:t xml:space="preserve">Target Standard: </w:t>
            </w:r>
            <w:r>
              <w:rPr>
                <w:rFonts w:ascii="Segoe UI" w:hAnsi="Segoe UI"/>
                <w:b w:val="0"/>
                <w:i w:val="0"/>
                <w:color w:val="64748B"/>
                <w:sz w:val="19"/>
              </w:rPr>
              <w:t>UN Sustainable Development Goal 12 (SDG 12)</w:t>
            </w:r>
          </w:p>
        </w:tc>
        <w:tc>
          <w:tcPr>
            <w:tcW w:type="dxa" w:w="4680"/>
            <w:shd w:fill="F8FAFC"/>
            <w:tcMar>
              <w:top w:w="80" w:type="dxa"/>
              <w:bottom w:w="80" w:type="dxa"/>
              <w:left w:w="140" w:type="dxa"/>
              <w:right w:w="140" w:type="dxa"/>
            </w:tcMar>
          </w:tcPr>
          <w:p>
            <w:pPr>
              <w:spacing w:before="40" w:after="40"/>
            </w:pPr>
            <w:r>
              <w:rPr>
                <w:rFonts w:ascii="Segoe UI" w:hAnsi="Segoe UI"/>
                <w:b/>
                <w:i w:val="0"/>
                <w:color w:val="1E293B"/>
                <w:sz w:val="19"/>
              </w:rPr>
              <w:t xml:space="preserve">Document Status: </w:t>
            </w:r>
            <w:r>
              <w:rPr>
                <w:rFonts w:ascii="Segoe UI" w:hAnsi="Segoe UI"/>
                <w:b w:val="0"/>
                <w:i w:val="0"/>
                <w:color w:val="64748B"/>
                <w:sz w:val="19"/>
              </w:rPr>
              <w:t>Official Software Design &amp; Architecture Report</w:t>
            </w:r>
          </w:p>
        </w:tc>
      </w:tr>
    </w:tbl>
    <w:p>
      <w:pPr>
        <w:spacing w:after="240"/>
      </w:pPr>
    </w:p>
    <w:p>
      <w:pPr>
        <w:pStyle w:val="Heading1"/>
      </w:pPr>
      <w:r>
        <w:rPr>
          <w:rFonts w:ascii="Segoe UI" w:hAnsi="Segoe UI"/>
          <w:b/>
          <w:i w:val="0"/>
          <w:color w:val="0A2E1F"/>
          <w:sz w:val="30"/>
        </w:rPr>
        <w:t>1. Executive Summary &amp; Design Motivation</w:t>
      </w:r>
    </w:p>
    <w:p>
      <w:pPr>
        <w:spacing w:after="160" w:line="276" w:lineRule="auto"/>
      </w:pPr>
      <w:r>
        <w:rPr>
          <w:rFonts w:ascii="Segoe UI" w:hAnsi="Segoe UI"/>
          <w:b w:val="0"/>
          <w:i w:val="0"/>
          <w:color w:val="1E293B"/>
          <w:sz w:val="22"/>
        </w:rPr>
        <w:t>Single-use plastic takeout containers represent one of the most pressing municipal waste challenges in modern urban centers and educational institutions. While reusable packaging initiatives have emerged worldwide, traditional deposit-refund programs consistently fail due to severe behavioral friction: users forget physical deposit cards, return bins lack location clarity, and participants receive zero tangible feedback regarding the environmental benefit of their individual efforts.</w:t>
      </w:r>
    </w:p>
    <w:p>
      <w:pPr>
        <w:spacing w:after="240" w:line="276" w:lineRule="auto"/>
      </w:pPr>
      <w:r>
        <w:rPr>
          <w:rFonts w:ascii="Segoe UI" w:hAnsi="Segoe UI"/>
          <w:b w:val="0"/>
          <w:i w:val="0"/>
          <w:color w:val="1E293B"/>
          <w:sz w:val="22"/>
        </w:rPr>
        <w:t>ReLoop was conceived and engineered to solve this exact bottleneck. By pairing intuitive mobile QR tracking with a gamified impact-quantification engine and an academic research module supporting United Nations Sustainable Development Goal 12 (Responsible Consumption and Production), ReLoop transforms container reuse from a chore into a rewarding daily habit. This document details the complete design process model, the semantic origin of our brand identity, and the UI/UX architecture that brings this system to life.</w:t>
      </w:r>
    </w:p>
    <w:tbl>
      <w:tblPr>
        <w:tblW w:type="auto" w:w="0"/>
        <w:jc w:val="center"/>
        <w:tblLook w:firstColumn="1" w:firstRow="1" w:lastColumn="0" w:lastRow="0" w:noHBand="0" w:noVBand="1" w:val="04A0"/>
      </w:tblPr>
      <w:tblGrid>
        <w:gridCol w:w="9360"/>
      </w:tblGrid>
      <w:tr>
        <w:tc>
          <w:tcPr>
            <w:tcW w:type="dxa" w:w="9360"/>
            <w:shd w:fill="F0FDF4"/>
            <w:tcMar>
              <w:top w:w="160" w:type="dxa"/>
              <w:bottom w:w="160" w:type="dxa"/>
              <w:left w:w="240" w:type="dxa"/>
              <w:right w:w="240" w:type="dxa"/>
            </w:tcMar>
            <w:tcBorders>
              <w:top w:val="none"/>
              <w:left w:val="single" w:sz="24" w:space="0" w:color="10B981"/>
              <w:bottom w:val="none"/>
              <w:right w:val="none"/>
            </w:tcBorders>
          </w:tcPr>
          <w:p>
            <w:pPr>
              <w:spacing w:before="40" w:after="80"/>
            </w:pPr>
            <w:r>
              <w:rPr>
                <w:rFonts w:ascii="Segoe UI" w:hAnsi="Segoe UI"/>
                <w:b/>
                <w:color w:val="0F766E"/>
                <w:sz w:val="21"/>
              </w:rPr>
              <w:t xml:space="preserve">📌 CORE DESIGN THESIS: </w:t>
            </w:r>
            <w:r>
              <w:rPr>
                <w:rFonts w:ascii="Segoe UI" w:hAnsi="Segoe UI"/>
                <w:color w:val="334155"/>
                <w:sz w:val="21"/>
              </w:rPr>
              <w:t>ReLoop is engineered not merely as an inventory management utility, but as a behavioral change instrument. Every UI element, from the emerald center scan portal to the 64pt Impact Score, was deliberately chosen to minimize friction and reinforce positive ecological habits.</w:t>
            </w:r>
          </w:p>
        </w:tc>
      </w:tr>
    </w:tbl>
    <w:p>
      <w:pPr>
        <w:spacing w:after="160"/>
      </w:pPr>
    </w:p>
    <w:p>
      <w:pPr>
        <w:pStyle w:val="Heading1"/>
      </w:pPr>
      <w:r>
        <w:rPr>
          <w:rFonts w:ascii="Segoe UI" w:hAnsi="Segoe UI"/>
          <w:b/>
          <w:i w:val="0"/>
          <w:color w:val="0A2E1F"/>
          <w:sz w:val="30"/>
        </w:rPr>
        <w:t>2. The Software Design Process Model</w:t>
      </w:r>
    </w:p>
    <w:p>
      <w:pPr>
        <w:spacing w:after="160" w:line="276" w:lineRule="auto"/>
      </w:pPr>
      <w:r>
        <w:rPr>
          <w:rFonts w:ascii="Segoe UI" w:hAnsi="Segoe UI"/>
          <w:b w:val="0"/>
          <w:i w:val="0"/>
          <w:color w:val="1E293B"/>
          <w:sz w:val="22"/>
        </w:rPr>
        <w:t>To ensure that ReLoop achieved both visual excellence and rigorous technical reliability, the project was executed under the Double Diamond Design Framework integrated with an Agile Human-Centered Software Development Lifecycle (HCD-SDLC). The model is structured around four iterative phases: Discover, Define, Develop, and Deliver.</w:t>
      </w:r>
    </w:p>
    <w:p>
      <w:pPr>
        <w:spacing w:before="120" w:after="40"/>
      </w:pPr>
      <w:r>
        <w:rPr>
          <w:rFonts w:ascii="Segoe UI" w:hAnsi="Segoe UI"/>
          <w:b/>
          <w:i w:val="0"/>
          <w:color w:val="0F766E"/>
          <w:sz w:val="23"/>
        </w:rPr>
        <w:t>• Phase 1: Discover (Divergent Research)</w:t>
      </w:r>
    </w:p>
    <w:p>
      <w:pPr>
        <w:spacing w:after="120" w:line="276" w:lineRule="auto"/>
        <w:ind w:left="360"/>
      </w:pPr>
      <w:r>
        <w:rPr>
          <w:rFonts w:ascii="Segoe UI" w:hAnsi="Segoe UI"/>
          <w:b w:val="0"/>
          <w:i w:val="0"/>
          <w:color w:val="1E293B"/>
          <w:sz w:val="21"/>
        </w:rPr>
        <w:t>We conducted exploratory interviews with campus food vendors and student consumers to map out the journey of takeout packaging. We audited existing municipal recycling bins and observed that contamination rates were high because users lacked guidance on container cleanliness. Simultaneously, we reviewed UN SDG 12 targets (specifically 12.5 on waste reduction and 12.8 on sustainability education) to ground the project in academic validity.</w:t>
      </w:r>
    </w:p>
    <w:p>
      <w:pPr>
        <w:spacing w:before="120" w:after="40"/>
      </w:pPr>
      <w:r>
        <w:rPr>
          <w:rFonts w:ascii="Segoe UI" w:hAnsi="Segoe UI"/>
          <w:b/>
          <w:i w:val="0"/>
          <w:color w:val="0F766E"/>
          <w:sz w:val="23"/>
        </w:rPr>
        <w:t>• Phase 2: Define (Convergent Synthesis &amp; Requirements)</w:t>
      </w:r>
    </w:p>
    <w:p>
      <w:pPr>
        <w:spacing w:after="120" w:line="276" w:lineRule="auto"/>
        <w:ind w:left="360"/>
      </w:pPr>
      <w:r>
        <w:rPr>
          <w:rFonts w:ascii="Segoe UI" w:hAnsi="Segoe UI"/>
          <w:b w:val="0"/>
          <w:i w:val="0"/>
          <w:color w:val="1E293B"/>
          <w:sz w:val="21"/>
        </w:rPr>
        <w:t>From our field research, we synthesized user personas (e.g., the time-constrained student, the eco-conscious regular, and the partner cafe operator). We established core functional requirements: (1) Instant camera QR check-in/check-out; (2) Dual-scan drop-off verification (Collection bin QR + Container serial); (3) Automated cleanliness photo capture; (4) Offline sync engine for uninterrupted operation in low-connectivity dining basements.</w:t>
      </w:r>
    </w:p>
    <w:p>
      <w:pPr>
        <w:spacing w:before="120" w:after="40"/>
      </w:pPr>
      <w:r>
        <w:rPr>
          <w:rFonts w:ascii="Segoe UI" w:hAnsi="Segoe UI"/>
          <w:b/>
          <w:i w:val="0"/>
          <w:color w:val="0F766E"/>
          <w:sz w:val="23"/>
        </w:rPr>
        <w:t>• Phase 3: Develop (Divergent Ideation, Brand Semiotics &amp; UI Tokens)</w:t>
      </w:r>
    </w:p>
    <w:p>
      <w:pPr>
        <w:spacing w:after="120" w:line="276" w:lineRule="auto"/>
        <w:ind w:left="360"/>
      </w:pPr>
      <w:r>
        <w:rPr>
          <w:rFonts w:ascii="Segoe UI" w:hAnsi="Segoe UI"/>
          <w:b w:val="0"/>
          <w:i w:val="0"/>
          <w:color w:val="1E293B"/>
          <w:sz w:val="21"/>
        </w:rPr>
        <w:t>In this phase, we explored nomenclature, graphic semiotics, and interactive wireframes. We defined our design tokens: an organic forest green header, vibrant electric emerald accents, and an energy-efficient deep navy background. We iteratively prototyped the bottom navigation dock, settling on a circular elevated scanner [ - ] as the focal anchor of the user experience.</w:t>
      </w:r>
    </w:p>
    <w:p>
      <w:pPr>
        <w:spacing w:before="120" w:after="40"/>
      </w:pPr>
      <w:r>
        <w:rPr>
          <w:rFonts w:ascii="Segoe UI" w:hAnsi="Segoe UI"/>
          <w:b/>
          <w:i w:val="0"/>
          <w:color w:val="0F766E"/>
          <w:sz w:val="23"/>
        </w:rPr>
        <w:t>• Phase 4: Deliver &amp; Evaluate (Convergent Implementation &amp; Field Validation)</w:t>
      </w:r>
    </w:p>
    <w:p>
      <w:pPr>
        <w:spacing w:after="120" w:line="276" w:lineRule="auto"/>
        <w:ind w:left="360"/>
      </w:pPr>
      <w:r>
        <w:rPr>
          <w:rFonts w:ascii="Segoe UI" w:hAnsi="Segoe UI"/>
          <w:b w:val="0"/>
          <w:i w:val="0"/>
          <w:color w:val="1E293B"/>
          <w:sz w:val="21"/>
        </w:rPr>
        <w:t>The software was built using React Native with Expo Router on the client and a modular NestJS + MongoDB backend. We conducted usability heuristic evaluations, optimizing pull-to-refresh overscroll bounce physics, haptic feedback triggers, and camera barcode decoding speed under diverse lighting conditions.</w:t>
      </w:r>
    </w:p>
    <w:p>
      <w:pPr>
        <w:spacing w:after="160"/>
      </w:pPr>
    </w:p>
    <w:p>
      <w:pPr>
        <w:pStyle w:val="Heading1"/>
      </w:pPr>
      <w:r>
        <w:rPr>
          <w:rFonts w:ascii="Segoe UI" w:hAnsi="Segoe UI"/>
          <w:b/>
          <w:i w:val="0"/>
          <w:color w:val="0A2E1F"/>
          <w:sz w:val="30"/>
        </w:rPr>
        <w:t>3. Brand Identity, Nomenclature &amp; Visual Semiotics</w:t>
      </w:r>
    </w:p>
    <w:p>
      <w:pPr>
        <w:spacing w:after="160" w:line="276" w:lineRule="auto"/>
      </w:pPr>
      <w:r>
        <w:rPr>
          <w:rFonts w:ascii="Segoe UI" w:hAnsi="Segoe UI"/>
          <w:b w:val="0"/>
          <w:i w:val="0"/>
          <w:color w:val="1E293B"/>
          <w:sz w:val="22"/>
        </w:rPr>
        <w:t>A strong brand identity is essential for user adoption in sustainability apps. Rather than using generic or didactic environmental names, we engineered the name 'ReLoop' from fundamental circular economy principles.</w:t>
      </w:r>
    </w:p>
    <w:tbl>
      <w:tblPr>
        <w:tblW w:type="auto" w:w="0"/>
        <w:jc w:val="center"/>
        <w:tblLook w:firstColumn="1" w:firstRow="1" w:lastColumn="0" w:lastRow="0" w:noHBand="0" w:noVBand="1" w:val="04A0"/>
      </w:tblPr>
      <w:tblGrid>
        <w:gridCol w:w="3120"/>
        <w:gridCol w:w="3120"/>
        <w:gridCol w:w="3120"/>
      </w:tblGrid>
      <w:tr>
        <w:tc>
          <w:tcPr>
            <w:tcW w:type="dxa" w:w="3120"/>
            <w:shd w:fill="0A2E1F"/>
            <w:tcMar>
              <w:top w:w="100" w:type="dxa"/>
              <w:bottom w:w="100" w:type="dxa"/>
              <w:left w:w="140" w:type="dxa"/>
              <w:right w:w="140" w:type="dxa"/>
            </w:tcMar>
          </w:tcPr>
          <w:p>
            <w:pPr>
              <w:spacing w:after="0"/>
            </w:pPr>
            <w:r>
              <w:rPr>
                <w:rFonts w:ascii="Segoe UI" w:hAnsi="Segoe UI"/>
                <w:b/>
                <w:i w:val="0"/>
                <w:color w:val="FFFFFF"/>
                <w:sz w:val="20"/>
              </w:rPr>
              <w:t>Component</w:t>
            </w:r>
          </w:p>
        </w:tc>
        <w:tc>
          <w:tcPr>
            <w:tcW w:type="dxa" w:w="3120"/>
            <w:shd w:fill="0A2E1F"/>
            <w:tcMar>
              <w:top w:w="100" w:type="dxa"/>
              <w:bottom w:w="100" w:type="dxa"/>
              <w:left w:w="140" w:type="dxa"/>
              <w:right w:w="140" w:type="dxa"/>
            </w:tcMar>
          </w:tcPr>
          <w:p>
            <w:pPr>
              <w:spacing w:after="0"/>
            </w:pPr>
            <w:r>
              <w:rPr>
                <w:rFonts w:ascii="Segoe UI" w:hAnsi="Segoe UI"/>
                <w:b/>
                <w:i w:val="0"/>
                <w:color w:val="FFFFFF"/>
                <w:sz w:val="20"/>
              </w:rPr>
              <w:t>Etymological Root</w:t>
            </w:r>
          </w:p>
        </w:tc>
        <w:tc>
          <w:tcPr>
            <w:tcW w:type="dxa" w:w="3120"/>
            <w:shd w:fill="0A2E1F"/>
            <w:tcMar>
              <w:top w:w="100" w:type="dxa"/>
              <w:bottom w:w="100" w:type="dxa"/>
              <w:left w:w="140" w:type="dxa"/>
              <w:right w:w="140" w:type="dxa"/>
            </w:tcMar>
          </w:tcPr>
          <w:p>
            <w:pPr>
              <w:spacing w:after="0"/>
            </w:pPr>
            <w:r>
              <w:rPr>
                <w:rFonts w:ascii="Segoe UI" w:hAnsi="Segoe UI"/>
                <w:b/>
                <w:i w:val="0"/>
                <w:color w:val="FFFFFF"/>
                <w:sz w:val="20"/>
              </w:rPr>
              <w:t>Systemic Meaning in ReLoop</w:t>
            </w:r>
          </w:p>
        </w:tc>
      </w:tr>
      <w:tr>
        <w:tc>
          <w:tcPr>
            <w:tcW w:type="dxa" w:w="3120"/>
            <w:shd w:fill="F8FAFC"/>
            <w:tcMar>
              <w:top w:w="100" w:type="dxa"/>
              <w:bottom w:w="100" w:type="dxa"/>
              <w:left w:w="140" w:type="dxa"/>
              <w:right w:w="140" w:type="dxa"/>
            </w:tcMar>
          </w:tcPr>
          <w:p>
            <w:pPr>
              <w:spacing w:after="0"/>
            </w:pPr>
            <w:r>
              <w:rPr>
                <w:rFonts w:ascii="Segoe UI" w:hAnsi="Segoe UI"/>
                <w:b w:val="0"/>
                <w:i w:val="0"/>
                <w:color w:val="1E293B"/>
                <w:sz w:val="20"/>
              </w:rPr>
              <w:t>Re- (Prefix)</w:t>
            </w:r>
          </w:p>
        </w:tc>
        <w:tc>
          <w:tcPr>
            <w:tcW w:type="dxa" w:w="3120"/>
            <w:shd w:fill="F8FAFC"/>
            <w:tcMar>
              <w:top w:w="100" w:type="dxa"/>
              <w:bottom w:w="100" w:type="dxa"/>
              <w:left w:w="140" w:type="dxa"/>
              <w:right w:w="140" w:type="dxa"/>
            </w:tcMar>
          </w:tcPr>
          <w:p>
            <w:pPr>
              <w:spacing w:after="0"/>
            </w:pPr>
            <w:r>
              <w:rPr>
                <w:rFonts w:ascii="Segoe UI" w:hAnsi="Segoe UI"/>
                <w:b w:val="0"/>
                <w:i w:val="0"/>
                <w:color w:val="1E293B"/>
                <w:sz w:val="20"/>
              </w:rPr>
              <w:t>Latin prefix: 'Again', 'Backwards', 'Renewed'</w:t>
            </w:r>
          </w:p>
        </w:tc>
        <w:tc>
          <w:tcPr>
            <w:tcW w:type="dxa" w:w="3120"/>
            <w:shd w:fill="F8FAFC"/>
            <w:tcMar>
              <w:top w:w="100" w:type="dxa"/>
              <w:bottom w:w="100" w:type="dxa"/>
              <w:left w:w="140" w:type="dxa"/>
              <w:right w:w="140" w:type="dxa"/>
            </w:tcMar>
          </w:tcPr>
          <w:p>
            <w:pPr>
              <w:spacing w:after="0"/>
            </w:pPr>
            <w:r>
              <w:rPr>
                <w:rFonts w:ascii="Segoe UI" w:hAnsi="Segoe UI"/>
                <w:b w:val="0"/>
                <w:i w:val="0"/>
                <w:color w:val="1E293B"/>
                <w:sz w:val="20"/>
              </w:rPr>
              <w:t>Represents the 5 R's of circularity: Reuse, Return, Recycle, Replenish, and Reward.</w:t>
            </w:r>
          </w:p>
        </w:tc>
      </w:tr>
      <w:tr>
        <w:tc>
          <w:tcPr>
            <w:tcW w:type="dxa" w:w="3120"/>
            <w:shd w:fill="FFFFFF"/>
            <w:tcMar>
              <w:top w:w="100" w:type="dxa"/>
              <w:bottom w:w="100" w:type="dxa"/>
              <w:left w:w="140" w:type="dxa"/>
              <w:right w:w="140" w:type="dxa"/>
            </w:tcMar>
          </w:tcPr>
          <w:p>
            <w:pPr>
              <w:spacing w:after="0"/>
            </w:pPr>
            <w:r>
              <w:rPr>
                <w:rFonts w:ascii="Segoe UI" w:hAnsi="Segoe UI"/>
                <w:b w:val="0"/>
                <w:i w:val="0"/>
                <w:color w:val="1E293B"/>
                <w:sz w:val="20"/>
              </w:rPr>
              <w:t>Loop (Noun)</w:t>
            </w:r>
          </w:p>
        </w:tc>
        <w:tc>
          <w:tcPr>
            <w:tcW w:type="dxa" w:w="3120"/>
            <w:shd w:fill="FFFFFF"/>
            <w:tcMar>
              <w:top w:w="100" w:type="dxa"/>
              <w:bottom w:w="100" w:type="dxa"/>
              <w:left w:w="140" w:type="dxa"/>
              <w:right w:w="140" w:type="dxa"/>
            </w:tcMar>
          </w:tcPr>
          <w:p>
            <w:pPr>
              <w:spacing w:after="0"/>
            </w:pPr>
            <w:r>
              <w:rPr>
                <w:rFonts w:ascii="Segoe UI" w:hAnsi="Segoe UI"/>
                <w:b w:val="0"/>
                <w:i w:val="0"/>
                <w:color w:val="1E293B"/>
                <w:sz w:val="20"/>
              </w:rPr>
              <w:t>Old Norse 'hlaup': 'A closed, continuous curve'</w:t>
            </w:r>
          </w:p>
        </w:tc>
        <w:tc>
          <w:tcPr>
            <w:tcW w:type="dxa" w:w="3120"/>
            <w:shd w:fill="FFFFFF"/>
            <w:tcMar>
              <w:top w:w="100" w:type="dxa"/>
              <w:bottom w:w="100" w:type="dxa"/>
              <w:left w:w="140" w:type="dxa"/>
              <w:right w:w="140" w:type="dxa"/>
            </w:tcMar>
          </w:tcPr>
          <w:p>
            <w:pPr>
              <w:spacing w:after="0"/>
            </w:pPr>
            <w:r>
              <w:rPr>
                <w:rFonts w:ascii="Segoe UI" w:hAnsi="Segoe UI"/>
                <w:b w:val="0"/>
                <w:i w:val="0"/>
                <w:color w:val="1E293B"/>
                <w:sz w:val="20"/>
              </w:rPr>
              <w:t>Signifies the Closed-Loop Circular Supply Chain, where materials stay in perpetual motion rather than entering a linear waste stream.</w:t>
            </w:r>
          </w:p>
        </w:tc>
      </w:tr>
    </w:tbl>
    <w:p>
      <w:pPr>
        <w:spacing w:after="160"/>
      </w:pPr>
    </w:p>
    <w:p>
      <w:pPr>
        <w:spacing w:after="240"/>
      </w:pPr>
      <w:r>
        <w:rPr>
          <w:rFonts w:ascii="Segoe UI" w:hAnsi="Segoe UI"/>
          <w:b/>
          <w:i w:val="0"/>
          <w:color w:val="0A2E1F"/>
          <w:sz w:val="22"/>
        </w:rPr>
        <w:t xml:space="preserve">Official Brand Tagline: </w:t>
      </w:r>
      <w:r>
        <w:rPr>
          <w:rFonts w:ascii="Segoe UI" w:hAnsi="Segoe UI"/>
          <w:b w:val="0"/>
          <w:i/>
          <w:color w:val="1E293B"/>
          <w:sz w:val="22"/>
        </w:rPr>
        <w:t>“Closing the Loop on Single-Use Packaging Through Community Action.”</w:t>
      </w:r>
    </w:p>
    <w:p>
      <w:pPr>
        <w:pStyle w:val="Heading1"/>
      </w:pPr>
      <w:r>
        <w:rPr>
          <w:rFonts w:ascii="Segoe UI" w:hAnsi="Segoe UI"/>
          <w:b/>
          <w:i w:val="0"/>
          <w:color w:val="0A2E1F"/>
          <w:sz w:val="30"/>
        </w:rPr>
        <w:t>4. UI/UX Design System &amp; Color Psychology</w:t>
      </w:r>
    </w:p>
    <w:p>
      <w:pPr>
        <w:spacing w:after="160" w:line="276" w:lineRule="auto"/>
      </w:pPr>
      <w:r>
        <w:rPr>
          <w:rFonts w:ascii="Segoe UI" w:hAnsi="Segoe UI"/>
          <w:b w:val="0"/>
          <w:i w:val="0"/>
          <w:color w:val="1E293B"/>
          <w:sz w:val="22"/>
        </w:rPr>
        <w:t>ReLoop avoids generic flat colors in favor of a curated, harmonious design system with bespoke tokens tailored for high visual punch, accessibility, and seamless dark/light adaptability.</w:t>
      </w:r>
    </w:p>
    <w:tbl>
      <w:tblPr>
        <w:tblW w:type="auto" w:w="0"/>
        <w:jc w:val="center"/>
        <w:tblLook w:firstColumn="1" w:firstRow="1" w:lastColumn="0" w:lastRow="0" w:noHBand="0" w:noVBand="1" w:val="04A0"/>
      </w:tblPr>
      <w:tblGrid>
        <w:gridCol w:w="3120"/>
        <w:gridCol w:w="3120"/>
        <w:gridCol w:w="3120"/>
      </w:tblGrid>
      <w:tr>
        <w:tc>
          <w:tcPr>
            <w:tcW w:type="dxa" w:w="3120"/>
            <w:shd w:fill="0A2E1F"/>
            <w:tcMar>
              <w:top w:w="100" w:type="dxa"/>
              <w:bottom w:w="100" w:type="dxa"/>
              <w:left w:w="140" w:type="dxa"/>
              <w:right w:w="140" w:type="dxa"/>
            </w:tcMar>
          </w:tcPr>
          <w:p>
            <w:pPr>
              <w:spacing w:after="0"/>
            </w:pPr>
            <w:r>
              <w:rPr>
                <w:rFonts w:ascii="Segoe UI" w:hAnsi="Segoe UI"/>
                <w:b/>
                <w:i w:val="0"/>
                <w:color w:val="FFFFFF"/>
                <w:sz w:val="20"/>
              </w:rPr>
              <w:t>Color Token</w:t>
            </w:r>
          </w:p>
        </w:tc>
        <w:tc>
          <w:tcPr>
            <w:tcW w:type="dxa" w:w="3120"/>
            <w:shd w:fill="0A2E1F"/>
            <w:tcMar>
              <w:top w:w="100" w:type="dxa"/>
              <w:bottom w:w="100" w:type="dxa"/>
              <w:left w:w="140" w:type="dxa"/>
              <w:right w:w="140" w:type="dxa"/>
            </w:tcMar>
          </w:tcPr>
          <w:p>
            <w:pPr>
              <w:spacing w:after="0"/>
            </w:pPr>
            <w:r>
              <w:rPr>
                <w:rFonts w:ascii="Segoe UI" w:hAnsi="Segoe UI"/>
                <w:b/>
                <w:i w:val="0"/>
                <w:color w:val="FFFFFF"/>
                <w:sz w:val="20"/>
              </w:rPr>
              <w:t>Hex Code</w:t>
            </w:r>
          </w:p>
        </w:tc>
        <w:tc>
          <w:tcPr>
            <w:tcW w:type="dxa" w:w="3120"/>
            <w:shd w:fill="0A2E1F"/>
            <w:tcMar>
              <w:top w:w="100" w:type="dxa"/>
              <w:bottom w:w="100" w:type="dxa"/>
              <w:left w:w="140" w:type="dxa"/>
              <w:right w:w="140" w:type="dxa"/>
            </w:tcMar>
          </w:tcPr>
          <w:p>
            <w:pPr>
              <w:spacing w:after="0"/>
            </w:pPr>
            <w:r>
              <w:rPr>
                <w:rFonts w:ascii="Segoe UI" w:hAnsi="Segoe UI"/>
                <w:b/>
                <w:i w:val="0"/>
                <w:color w:val="FFFFFF"/>
                <w:sz w:val="20"/>
              </w:rPr>
              <w:t>Design Psychology &amp; Interface Role</w:t>
            </w:r>
          </w:p>
        </w:tc>
      </w:tr>
      <w:tr>
        <w:tc>
          <w:tcPr>
            <w:tcW w:type="dxa" w:w="3120"/>
            <w:shd w:fill="F8FAFC"/>
            <w:tcMar>
              <w:top w:w="100" w:type="dxa"/>
              <w:bottom w:w="100" w:type="dxa"/>
              <w:left w:w="140" w:type="dxa"/>
              <w:right w:w="140" w:type="dxa"/>
            </w:tcMar>
          </w:tcPr>
          <w:p>
            <w:pPr>
              <w:spacing w:after="0"/>
            </w:pPr>
            <w:r>
              <w:rPr>
                <w:rFonts w:ascii="Segoe UI" w:hAnsi="Segoe UI"/>
                <w:b w:val="0"/>
                <w:i w:val="0"/>
                <w:color w:val="1E293B"/>
                <w:sz w:val="20"/>
              </w:rPr>
              <w:t>Forest Green</w:t>
            </w:r>
          </w:p>
        </w:tc>
        <w:tc>
          <w:tcPr>
            <w:tcW w:type="dxa" w:w="3120"/>
            <w:shd w:fill="F8FAFC"/>
            <w:tcMar>
              <w:top w:w="100" w:type="dxa"/>
              <w:bottom w:w="100" w:type="dxa"/>
              <w:left w:w="140" w:type="dxa"/>
              <w:right w:w="140" w:type="dxa"/>
            </w:tcMar>
          </w:tcPr>
          <w:p>
            <w:pPr>
              <w:spacing w:after="0"/>
            </w:pPr>
            <w:r>
              <w:rPr>
                <w:rFonts w:ascii="Segoe UI" w:hAnsi="Segoe UI"/>
                <w:b w:val="0"/>
                <w:i w:val="0"/>
                <w:color w:val="1E293B"/>
                <w:sz w:val="20"/>
              </w:rPr>
              <w:t>#0A2E1F</w:t>
            </w:r>
          </w:p>
        </w:tc>
        <w:tc>
          <w:tcPr>
            <w:tcW w:type="dxa" w:w="3120"/>
            <w:shd w:fill="F8FAFC"/>
            <w:tcMar>
              <w:top w:w="100" w:type="dxa"/>
              <w:bottom w:w="100" w:type="dxa"/>
              <w:left w:w="140" w:type="dxa"/>
              <w:right w:w="140" w:type="dxa"/>
            </w:tcMar>
          </w:tcPr>
          <w:p>
            <w:pPr>
              <w:spacing w:after="0"/>
            </w:pPr>
            <w:r>
              <w:rPr>
                <w:rFonts w:ascii="Segoe UI" w:hAnsi="Segoe UI"/>
                <w:b w:val="0"/>
                <w:i w:val="0"/>
                <w:color w:val="1E293B"/>
                <w:sz w:val="20"/>
              </w:rPr>
              <w:t>Pinned header and top gradient; evokes deep canopy preservation, organic trust, and stability.</w:t>
            </w:r>
          </w:p>
        </w:tc>
      </w:tr>
      <w:tr>
        <w:tc>
          <w:tcPr>
            <w:tcW w:type="dxa" w:w="3120"/>
            <w:shd w:fill="FFFFFF"/>
            <w:tcMar>
              <w:top w:w="100" w:type="dxa"/>
              <w:bottom w:w="100" w:type="dxa"/>
              <w:left w:w="140" w:type="dxa"/>
              <w:right w:w="140" w:type="dxa"/>
            </w:tcMar>
          </w:tcPr>
          <w:p>
            <w:pPr>
              <w:spacing w:after="0"/>
            </w:pPr>
            <w:r>
              <w:rPr>
                <w:rFonts w:ascii="Segoe UI" w:hAnsi="Segoe UI"/>
                <w:b w:val="0"/>
                <w:i w:val="0"/>
                <w:color w:val="1E293B"/>
                <w:sz w:val="20"/>
              </w:rPr>
              <w:t>Emerald Accent</w:t>
            </w:r>
          </w:p>
        </w:tc>
        <w:tc>
          <w:tcPr>
            <w:tcW w:type="dxa" w:w="3120"/>
            <w:shd w:fill="FFFFFF"/>
            <w:tcMar>
              <w:top w:w="100" w:type="dxa"/>
              <w:bottom w:w="100" w:type="dxa"/>
              <w:left w:w="140" w:type="dxa"/>
              <w:right w:w="140" w:type="dxa"/>
            </w:tcMar>
          </w:tcPr>
          <w:p>
            <w:pPr>
              <w:spacing w:after="0"/>
            </w:pPr>
            <w:r>
              <w:rPr>
                <w:rFonts w:ascii="Segoe UI" w:hAnsi="Segoe UI"/>
                <w:b w:val="0"/>
                <w:i w:val="0"/>
                <w:color w:val="1E293B"/>
                <w:sz w:val="20"/>
              </w:rPr>
              <w:t>#10B981</w:t>
            </w:r>
          </w:p>
        </w:tc>
        <w:tc>
          <w:tcPr>
            <w:tcW w:type="dxa" w:w="3120"/>
            <w:shd w:fill="FFFFFF"/>
            <w:tcMar>
              <w:top w:w="100" w:type="dxa"/>
              <w:bottom w:w="100" w:type="dxa"/>
              <w:left w:w="140" w:type="dxa"/>
              <w:right w:w="140" w:type="dxa"/>
            </w:tcMar>
          </w:tcPr>
          <w:p>
            <w:pPr>
              <w:spacing w:after="0"/>
            </w:pPr>
            <w:r>
              <w:rPr>
                <w:rFonts w:ascii="Segoe UI" w:hAnsi="Segoe UI"/>
                <w:b w:val="0"/>
                <w:i w:val="0"/>
                <w:color w:val="1E293B"/>
                <w:sz w:val="20"/>
              </w:rPr>
              <w:t>Primary interactive CTA, circular scan portal, active states; represents electric vitality and forward momentum.</w:t>
            </w:r>
          </w:p>
        </w:tc>
      </w:tr>
      <w:tr>
        <w:tc>
          <w:tcPr>
            <w:tcW w:type="dxa" w:w="3120"/>
            <w:shd w:fill="F8FAFC"/>
            <w:tcMar>
              <w:top w:w="100" w:type="dxa"/>
              <w:bottom w:w="100" w:type="dxa"/>
              <w:left w:w="140" w:type="dxa"/>
              <w:right w:w="140" w:type="dxa"/>
            </w:tcMar>
          </w:tcPr>
          <w:p>
            <w:pPr>
              <w:spacing w:after="0"/>
            </w:pPr>
            <w:r>
              <w:rPr>
                <w:rFonts w:ascii="Segoe UI" w:hAnsi="Segoe UI"/>
                <w:b w:val="0"/>
                <w:i w:val="0"/>
                <w:color w:val="1E293B"/>
                <w:sz w:val="20"/>
              </w:rPr>
              <w:t>Deep Navy</w:t>
            </w:r>
          </w:p>
        </w:tc>
        <w:tc>
          <w:tcPr>
            <w:tcW w:type="dxa" w:w="3120"/>
            <w:shd w:fill="F8FAFC"/>
            <w:tcMar>
              <w:top w:w="100" w:type="dxa"/>
              <w:bottom w:w="100" w:type="dxa"/>
              <w:left w:w="140" w:type="dxa"/>
              <w:right w:w="140" w:type="dxa"/>
            </w:tcMar>
          </w:tcPr>
          <w:p>
            <w:pPr>
              <w:spacing w:after="0"/>
            </w:pPr>
            <w:r>
              <w:rPr>
                <w:rFonts w:ascii="Segoe UI" w:hAnsi="Segoe UI"/>
                <w:b w:val="0"/>
                <w:i w:val="0"/>
                <w:color w:val="1E293B"/>
                <w:sz w:val="20"/>
              </w:rPr>
              <w:t>#0B1120</w:t>
            </w:r>
          </w:p>
        </w:tc>
        <w:tc>
          <w:tcPr>
            <w:tcW w:type="dxa" w:w="3120"/>
            <w:shd w:fill="F8FAFC"/>
            <w:tcMar>
              <w:top w:w="100" w:type="dxa"/>
              <w:bottom w:w="100" w:type="dxa"/>
              <w:left w:w="140" w:type="dxa"/>
              <w:right w:w="140" w:type="dxa"/>
            </w:tcMar>
          </w:tcPr>
          <w:p>
            <w:pPr>
              <w:spacing w:after="0"/>
            </w:pPr>
            <w:r>
              <w:rPr>
                <w:rFonts w:ascii="Segoe UI" w:hAnsi="Segoe UI"/>
                <w:b w:val="0"/>
                <w:i w:val="0"/>
                <w:color w:val="1E293B"/>
                <w:sz w:val="20"/>
              </w:rPr>
              <w:t>Dark mode canvas background; provides high contrast with zero glare, saving battery on modern OLED displays.</w:t>
            </w:r>
          </w:p>
        </w:tc>
      </w:tr>
      <w:tr>
        <w:tc>
          <w:tcPr>
            <w:tcW w:type="dxa" w:w="3120"/>
            <w:shd w:fill="FFFFFF"/>
            <w:tcMar>
              <w:top w:w="100" w:type="dxa"/>
              <w:bottom w:w="100" w:type="dxa"/>
              <w:left w:w="140" w:type="dxa"/>
              <w:right w:w="140" w:type="dxa"/>
            </w:tcMar>
          </w:tcPr>
          <w:p>
            <w:pPr>
              <w:spacing w:after="0"/>
            </w:pPr>
            <w:r>
              <w:rPr>
                <w:rFonts w:ascii="Segoe UI" w:hAnsi="Segoe UI"/>
                <w:b w:val="0"/>
                <w:i w:val="0"/>
                <w:color w:val="1E293B"/>
                <w:sz w:val="20"/>
              </w:rPr>
              <w:t>Amber / Gold</w:t>
            </w:r>
          </w:p>
        </w:tc>
        <w:tc>
          <w:tcPr>
            <w:tcW w:type="dxa" w:w="3120"/>
            <w:shd w:fill="FFFFFF"/>
            <w:tcMar>
              <w:top w:w="100" w:type="dxa"/>
              <w:bottom w:w="100" w:type="dxa"/>
              <w:left w:w="140" w:type="dxa"/>
              <w:right w:w="140" w:type="dxa"/>
            </w:tcMar>
          </w:tcPr>
          <w:p>
            <w:pPr>
              <w:spacing w:after="0"/>
            </w:pPr>
            <w:r>
              <w:rPr>
                <w:rFonts w:ascii="Segoe UI" w:hAnsi="Segoe UI"/>
                <w:b w:val="0"/>
                <w:i w:val="0"/>
                <w:color w:val="1E293B"/>
                <w:sz w:val="20"/>
              </w:rPr>
              <w:t>#F59E0B / #FBBF24</w:t>
            </w:r>
          </w:p>
        </w:tc>
        <w:tc>
          <w:tcPr>
            <w:tcW w:type="dxa" w:w="3120"/>
            <w:shd w:fill="FFFFFF"/>
            <w:tcMar>
              <w:top w:w="100" w:type="dxa"/>
              <w:bottom w:w="100" w:type="dxa"/>
              <w:left w:w="140" w:type="dxa"/>
              <w:right w:w="140" w:type="dxa"/>
            </w:tcMar>
          </w:tcPr>
          <w:p>
            <w:pPr>
              <w:spacing w:after="0"/>
            </w:pPr>
            <w:r>
              <w:rPr>
                <w:rFonts w:ascii="Segoe UI" w:hAnsi="Segoe UI"/>
                <w:b w:val="0"/>
                <w:i w:val="0"/>
                <w:color w:val="1E293B"/>
                <w:sz w:val="20"/>
              </w:rPr>
              <w:t>Streak badges, points counters, and milestone trophies; triggers gamified dopamine rewards.</w:t>
            </w:r>
          </w:p>
        </w:tc>
      </w:tr>
      <w:tr>
        <w:tc>
          <w:tcPr>
            <w:tcW w:type="dxa" w:w="3120"/>
            <w:shd w:fill="F8FAFC"/>
            <w:tcMar>
              <w:top w:w="100" w:type="dxa"/>
              <w:bottom w:w="100" w:type="dxa"/>
              <w:left w:w="140" w:type="dxa"/>
              <w:right w:w="140" w:type="dxa"/>
            </w:tcMar>
          </w:tcPr>
          <w:p>
            <w:pPr>
              <w:spacing w:after="0"/>
            </w:pPr>
            <w:r>
              <w:rPr>
                <w:rFonts w:ascii="Segoe UI" w:hAnsi="Segoe UI"/>
                <w:b w:val="0"/>
                <w:i w:val="0"/>
                <w:color w:val="1E293B"/>
                <w:sz w:val="20"/>
              </w:rPr>
              <w:t>Sky Blue</w:t>
            </w:r>
          </w:p>
        </w:tc>
        <w:tc>
          <w:tcPr>
            <w:tcW w:type="dxa" w:w="3120"/>
            <w:shd w:fill="F8FAFC"/>
            <w:tcMar>
              <w:top w:w="100" w:type="dxa"/>
              <w:bottom w:w="100" w:type="dxa"/>
              <w:left w:w="140" w:type="dxa"/>
              <w:right w:w="140" w:type="dxa"/>
            </w:tcMar>
          </w:tcPr>
          <w:p>
            <w:pPr>
              <w:spacing w:after="0"/>
            </w:pPr>
            <w:r>
              <w:rPr>
                <w:rFonts w:ascii="Segoe UI" w:hAnsi="Segoe UI"/>
                <w:b w:val="0"/>
                <w:i w:val="0"/>
                <w:color w:val="1E293B"/>
                <w:sz w:val="20"/>
              </w:rPr>
              <w:t>#3B82F6</w:t>
            </w:r>
          </w:p>
        </w:tc>
        <w:tc>
          <w:tcPr>
            <w:tcW w:type="dxa" w:w="3120"/>
            <w:shd w:fill="F8FAFC"/>
            <w:tcMar>
              <w:top w:w="100" w:type="dxa"/>
              <w:bottom w:w="100" w:type="dxa"/>
              <w:left w:w="140" w:type="dxa"/>
              <w:right w:w="140" w:type="dxa"/>
            </w:tcMar>
          </w:tcPr>
          <w:p>
            <w:pPr>
              <w:spacing w:after="0"/>
            </w:pPr>
            <w:r>
              <w:rPr>
                <w:rFonts w:ascii="Segoe UI" w:hAnsi="Segoe UI"/>
                <w:b w:val="0"/>
                <w:i w:val="0"/>
                <w:color w:val="1E293B"/>
                <w:sz w:val="20"/>
              </w:rPr>
              <w:t>Offset equivalencies (driving km offset) and survey widgets; evokes clean atmosphere and academic clarity.</w:t>
            </w:r>
          </w:p>
        </w:tc>
      </w:tr>
    </w:tbl>
    <w:p>
      <w:pPr>
        <w:spacing w:after="200"/>
      </w:pPr>
    </w:p>
    <w:p>
      <w:pPr>
        <w:pStyle w:val="Heading1"/>
      </w:pPr>
      <w:r>
        <w:rPr>
          <w:rFonts w:ascii="Segoe UI" w:hAnsi="Segoe UI"/>
          <w:b/>
          <w:i w:val="0"/>
          <w:color w:val="0A2E1F"/>
          <w:sz w:val="30"/>
        </w:rPr>
        <w:t>5. Information Architecture &amp; User Journey</w:t>
      </w:r>
    </w:p>
    <w:p>
      <w:pPr>
        <w:spacing w:after="160" w:line="276" w:lineRule="auto"/>
      </w:pPr>
      <w:r>
        <w:rPr>
          <w:rFonts w:ascii="Segoe UI" w:hAnsi="Segoe UI"/>
          <w:b w:val="0"/>
          <w:i w:val="0"/>
          <w:color w:val="1E293B"/>
          <w:sz w:val="22"/>
        </w:rPr>
        <w:t>The core interaction flow is optimized for sub-10-second completion times to ensure that returning a container is faster than discarding it in general waste:</w:t>
      </w:r>
    </w:p>
    <w:p>
      <w:pPr>
        <w:spacing w:before="80" w:after="40"/>
      </w:pPr>
      <w:r>
        <w:rPr>
          <w:rFonts w:ascii="Segoe UI" w:hAnsi="Segoe UI"/>
          <w:b/>
          <w:i w:val="0"/>
          <w:color w:val="0A2E1F"/>
          <w:sz w:val="21"/>
        </w:rPr>
        <w:t xml:space="preserve">✔ Step 1: Check Out / Borrow: </w:t>
      </w:r>
      <w:r>
        <w:rPr>
          <w:rFonts w:ascii="Segoe UI" w:hAnsi="Segoe UI"/>
          <w:b w:val="0"/>
          <w:i w:val="0"/>
          <w:color w:val="1E293B"/>
          <w:sz w:val="21"/>
        </w:rPr>
        <w:t>User taps 'Borrow' on Home or opens Scanner. Scans container barcode at food vendor. Container is added to Active Holds ledger with a 14-day return clock.</w:t>
      </w:r>
    </w:p>
    <w:p>
      <w:pPr>
        <w:spacing w:before="80" w:after="40"/>
      </w:pPr>
      <w:r>
        <w:rPr>
          <w:rFonts w:ascii="Segoe UI" w:hAnsi="Segoe UI"/>
          <w:b/>
          <w:i w:val="0"/>
          <w:color w:val="0A2E1F"/>
          <w:sz w:val="21"/>
        </w:rPr>
        <w:t xml:space="preserve">✔ Step 2: Drop-Off at Collection Bin: </w:t>
      </w:r>
      <w:r>
        <w:rPr>
          <w:rFonts w:ascii="Segoe UI" w:hAnsi="Segoe UI"/>
          <w:b w:val="0"/>
          <w:i w:val="0"/>
          <w:color w:val="1E293B"/>
          <w:sz w:val="21"/>
        </w:rPr>
        <w:t>User approaches a designated ReLoop collection bin and taps the elevated Center Scan Button [ - ]. The app reads the Base QR code (e.g., 'reloop://collection/green-market-hq').</w:t>
      </w:r>
    </w:p>
    <w:p>
      <w:pPr>
        <w:spacing w:before="80" w:after="40"/>
      </w:pPr>
      <w:r>
        <w:rPr>
          <w:rFonts w:ascii="Segoe UI" w:hAnsi="Segoe UI"/>
          <w:b/>
          <w:i w:val="0"/>
          <w:color w:val="0A2E1F"/>
          <w:sz w:val="21"/>
        </w:rPr>
        <w:t xml:space="preserve">✔ Step 3: Cleanliness Photo Verification: </w:t>
      </w:r>
      <w:r>
        <w:rPr>
          <w:rFonts w:ascii="Segoe UI" w:hAnsi="Segoe UI"/>
          <w:b w:val="0"/>
          <w:i w:val="0"/>
          <w:color w:val="1E293B"/>
          <w:sz w:val="21"/>
        </w:rPr>
        <w:t>The camera presents a clean framing reticle. The user takes a 1-second photo of the rinsed container to verify return quality.</w:t>
      </w:r>
    </w:p>
    <w:p>
      <w:pPr>
        <w:spacing w:before="80" w:after="40"/>
      </w:pPr>
      <w:r>
        <w:rPr>
          <w:rFonts w:ascii="Segoe UI" w:hAnsi="Segoe UI"/>
          <w:b/>
          <w:i w:val="0"/>
          <w:color w:val="0A2E1F"/>
          <w:sz w:val="21"/>
        </w:rPr>
        <w:t xml:space="preserve">✔ Step 4: Instant Points &amp; Impact Calculation: </w:t>
      </w:r>
      <w:r>
        <w:rPr>
          <w:rFonts w:ascii="Segoe UI" w:hAnsi="Segoe UI"/>
          <w:b w:val="0"/>
          <w:i w:val="0"/>
          <w:color w:val="1E293B"/>
          <w:sz w:val="21"/>
        </w:rPr>
        <w:t>The transaction is posted. Points are awarded (+18 pts), the streak advances (+1d), and the user's Impact Score recalculates instantly on the Home hero card.</w:t>
      </w:r>
    </w:p>
    <w:p>
      <w:pPr>
        <w:spacing w:after="200"/>
      </w:pPr>
    </w:p>
    <w:p>
      <w:pPr>
        <w:pStyle w:val="Heading1"/>
      </w:pPr>
      <w:r>
        <w:rPr>
          <w:rFonts w:ascii="Segoe UI" w:hAnsi="Segoe UI"/>
          <w:b/>
          <w:i w:val="0"/>
          <w:color w:val="0A2E1F"/>
          <w:sz w:val="30"/>
        </w:rPr>
        <w:t>6. Screenshot Layout &amp; Visual Evidence Plan</w:t>
      </w:r>
    </w:p>
    <w:p>
      <w:pPr>
        <w:spacing w:after="160" w:line="276" w:lineRule="auto"/>
      </w:pPr>
      <w:r>
        <w:rPr>
          <w:rFonts w:ascii="Segoe UI" w:hAnsi="Segoe UI"/>
          <w:b w:val="0"/>
          <w:i w:val="0"/>
          <w:color w:val="1E293B"/>
          <w:sz w:val="22"/>
        </w:rPr>
        <w:t>For final dissertation and project presentation submissions, capture and label your screen recordings and screenshots according to this structured figure catalog:</w:t>
      </w:r>
    </w:p>
    <w:tbl>
      <w:tblPr>
        <w:tblW w:type="auto" w:w="0"/>
        <w:jc w:val="center"/>
        <w:tblLook w:firstColumn="1" w:firstRow="1" w:lastColumn="0" w:lastRow="0" w:noHBand="0" w:noVBand="1" w:val="04A0"/>
      </w:tblPr>
      <w:tblGrid>
        <w:gridCol w:w="3120"/>
        <w:gridCol w:w="3120"/>
        <w:gridCol w:w="3120"/>
      </w:tblGrid>
      <w:tr>
        <w:tc>
          <w:tcPr>
            <w:tcW w:type="dxa" w:w="3120"/>
            <w:shd w:fill="0A2E1F"/>
            <w:tcMar>
              <w:top w:w="80" w:type="dxa"/>
              <w:bottom w:w="80" w:type="dxa"/>
              <w:left w:w="120" w:type="dxa"/>
              <w:right w:w="120" w:type="dxa"/>
            </w:tcMar>
          </w:tcPr>
          <w:p>
            <w:pPr>
              <w:spacing w:after="0"/>
            </w:pPr>
            <w:r>
              <w:rPr>
                <w:rFonts w:ascii="Segoe UI" w:hAnsi="Segoe UI"/>
                <w:b/>
                <w:i w:val="0"/>
                <w:color w:val="FFFFFF"/>
                <w:sz w:val="19"/>
              </w:rPr>
              <w:t>Figure ID</w:t>
            </w:r>
          </w:p>
        </w:tc>
        <w:tc>
          <w:tcPr>
            <w:tcW w:type="dxa" w:w="3120"/>
            <w:shd w:fill="0A2E1F"/>
            <w:tcMar>
              <w:top w:w="80" w:type="dxa"/>
              <w:bottom w:w="80" w:type="dxa"/>
              <w:left w:w="120" w:type="dxa"/>
              <w:right w:w="120" w:type="dxa"/>
            </w:tcMar>
          </w:tcPr>
          <w:p>
            <w:pPr>
              <w:spacing w:after="0"/>
            </w:pPr>
            <w:r>
              <w:rPr>
                <w:rFonts w:ascii="Segoe UI" w:hAnsi="Segoe UI"/>
                <w:b/>
                <w:i w:val="0"/>
                <w:color w:val="FFFFFF"/>
                <w:sz w:val="19"/>
              </w:rPr>
              <w:t>Screen Name</w:t>
            </w:r>
          </w:p>
        </w:tc>
        <w:tc>
          <w:tcPr>
            <w:tcW w:type="dxa" w:w="3120"/>
            <w:shd w:fill="0A2E1F"/>
            <w:tcMar>
              <w:top w:w="80" w:type="dxa"/>
              <w:bottom w:w="80" w:type="dxa"/>
              <w:left w:w="120" w:type="dxa"/>
              <w:right w:w="120" w:type="dxa"/>
            </w:tcMar>
          </w:tcPr>
          <w:p>
            <w:pPr>
              <w:spacing w:after="0"/>
            </w:pPr>
            <w:r>
              <w:rPr>
                <w:rFonts w:ascii="Segoe UI" w:hAnsi="Segoe UI"/>
                <w:b/>
                <w:i w:val="0"/>
                <w:color w:val="FFFFFF"/>
                <w:sz w:val="19"/>
              </w:rPr>
              <w:t>Key Design Feature to Highlight</w:t>
            </w:r>
          </w:p>
        </w:tc>
      </w:tr>
      <w:tr>
        <w:tc>
          <w:tcPr>
            <w:tcW w:type="dxa" w:w="3120"/>
            <w:shd w:fill="F8FAFC"/>
            <w:tcMar>
              <w:top w:w="80" w:type="dxa"/>
              <w:bottom w:w="80" w:type="dxa"/>
              <w:left w:w="120" w:type="dxa"/>
              <w:right w:w="120" w:type="dxa"/>
            </w:tcMar>
          </w:tcPr>
          <w:p>
            <w:pPr>
              <w:spacing w:after="0"/>
            </w:pPr>
            <w:r>
              <w:rPr>
                <w:rFonts w:ascii="Segoe UI" w:hAnsi="Segoe UI"/>
                <w:b w:val="0"/>
                <w:i w:val="0"/>
                <w:color w:val="1E293B"/>
                <w:sz w:val="19"/>
              </w:rPr>
              <w:t>Figure 4.1</w:t>
            </w:r>
          </w:p>
        </w:tc>
        <w:tc>
          <w:tcPr>
            <w:tcW w:type="dxa" w:w="3120"/>
            <w:shd w:fill="F8FAFC"/>
            <w:tcMar>
              <w:top w:w="80" w:type="dxa"/>
              <w:bottom w:w="80" w:type="dxa"/>
              <w:left w:w="120" w:type="dxa"/>
              <w:right w:w="120" w:type="dxa"/>
            </w:tcMar>
          </w:tcPr>
          <w:p>
            <w:pPr>
              <w:spacing w:after="0"/>
            </w:pPr>
            <w:r>
              <w:rPr>
                <w:rFonts w:ascii="Segoe UI" w:hAnsi="Segoe UI"/>
                <w:b w:val="0"/>
                <w:i w:val="0"/>
                <w:color w:val="1E293B"/>
                <w:sz w:val="19"/>
              </w:rPr>
              <w:t>Home Dashboard (Light &amp; Dark)</w:t>
            </w:r>
          </w:p>
        </w:tc>
        <w:tc>
          <w:tcPr>
            <w:tcW w:type="dxa" w:w="3120"/>
            <w:shd w:fill="F8FAFC"/>
            <w:tcMar>
              <w:top w:w="80" w:type="dxa"/>
              <w:bottom w:w="80" w:type="dxa"/>
              <w:left w:w="120" w:type="dxa"/>
              <w:right w:w="120" w:type="dxa"/>
            </w:tcMar>
          </w:tcPr>
          <w:p>
            <w:pPr>
              <w:spacing w:after="0"/>
            </w:pPr>
            <w:r>
              <w:rPr>
                <w:rFonts w:ascii="Segoe UI" w:hAnsi="Segoe UI"/>
                <w:b w:val="0"/>
                <w:i w:val="0"/>
                <w:color w:val="1E293B"/>
                <w:sz w:val="19"/>
              </w:rPr>
              <w:t>Pinned Forest Header (#0A2E1F), Impact Score card (270), Borrow/Return action pair.</w:t>
            </w:r>
          </w:p>
        </w:tc>
      </w:tr>
      <w:tr>
        <w:tc>
          <w:tcPr>
            <w:tcW w:type="dxa" w:w="3120"/>
            <w:shd w:fill="FFFFFF"/>
            <w:tcMar>
              <w:top w:w="80" w:type="dxa"/>
              <w:bottom w:w="80" w:type="dxa"/>
              <w:left w:w="120" w:type="dxa"/>
              <w:right w:w="120" w:type="dxa"/>
            </w:tcMar>
          </w:tcPr>
          <w:p>
            <w:pPr>
              <w:spacing w:after="0"/>
            </w:pPr>
            <w:r>
              <w:rPr>
                <w:rFonts w:ascii="Segoe UI" w:hAnsi="Segoe UI"/>
                <w:b w:val="0"/>
                <w:i w:val="0"/>
                <w:color w:val="1E293B"/>
                <w:sz w:val="19"/>
              </w:rPr>
              <w:t>Figure 4.2</w:t>
            </w:r>
          </w:p>
        </w:tc>
        <w:tc>
          <w:tcPr>
            <w:tcW w:type="dxa" w:w="3120"/>
            <w:shd w:fill="FFFFFF"/>
            <w:tcMar>
              <w:top w:w="80" w:type="dxa"/>
              <w:bottom w:w="80" w:type="dxa"/>
              <w:left w:w="120" w:type="dxa"/>
              <w:right w:w="120" w:type="dxa"/>
            </w:tcMar>
          </w:tcPr>
          <w:p>
            <w:pPr>
              <w:spacing w:after="0"/>
            </w:pPr>
            <w:r>
              <w:rPr>
                <w:rFonts w:ascii="Segoe UI" w:hAnsi="Segoe UI"/>
                <w:b w:val="0"/>
                <w:i w:val="0"/>
                <w:color w:val="1E293B"/>
                <w:sz w:val="19"/>
              </w:rPr>
              <w:t>QR Scanner Viewfinder</w:t>
            </w:r>
          </w:p>
        </w:tc>
        <w:tc>
          <w:tcPr>
            <w:tcW w:type="dxa" w:w="3120"/>
            <w:shd w:fill="FFFFFF"/>
            <w:tcMar>
              <w:top w:w="80" w:type="dxa"/>
              <w:bottom w:w="80" w:type="dxa"/>
              <w:left w:w="120" w:type="dxa"/>
              <w:right w:w="120" w:type="dxa"/>
            </w:tcMar>
          </w:tcPr>
          <w:p>
            <w:pPr>
              <w:spacing w:after="0"/>
            </w:pPr>
            <w:r>
              <w:rPr>
                <w:rFonts w:ascii="Segoe UI" w:hAnsi="Segoe UI"/>
                <w:b w:val="0"/>
                <w:i w:val="0"/>
                <w:color w:val="1E293B"/>
                <w:sz w:val="19"/>
              </w:rPr>
              <w:t>Center reticle, haptic feedback trigger, camera permission guard.</w:t>
            </w:r>
          </w:p>
        </w:tc>
      </w:tr>
      <w:tr>
        <w:tc>
          <w:tcPr>
            <w:tcW w:type="dxa" w:w="3120"/>
            <w:shd w:fill="F8FAFC"/>
            <w:tcMar>
              <w:top w:w="80" w:type="dxa"/>
              <w:bottom w:w="80" w:type="dxa"/>
              <w:left w:w="120" w:type="dxa"/>
              <w:right w:w="120" w:type="dxa"/>
            </w:tcMar>
          </w:tcPr>
          <w:p>
            <w:pPr>
              <w:spacing w:after="0"/>
            </w:pPr>
            <w:r>
              <w:rPr>
                <w:rFonts w:ascii="Segoe UI" w:hAnsi="Segoe UI"/>
                <w:b w:val="0"/>
                <w:i w:val="0"/>
                <w:color w:val="1E293B"/>
                <w:sz w:val="19"/>
              </w:rPr>
              <w:t>Figure 4.3</w:t>
            </w:r>
          </w:p>
        </w:tc>
        <w:tc>
          <w:tcPr>
            <w:tcW w:type="dxa" w:w="3120"/>
            <w:shd w:fill="F8FAFC"/>
            <w:tcMar>
              <w:top w:w="80" w:type="dxa"/>
              <w:bottom w:w="80" w:type="dxa"/>
              <w:left w:w="120" w:type="dxa"/>
              <w:right w:w="120" w:type="dxa"/>
            </w:tcMar>
          </w:tcPr>
          <w:p>
            <w:pPr>
              <w:spacing w:after="0"/>
            </w:pPr>
            <w:r>
              <w:rPr>
                <w:rFonts w:ascii="Segoe UI" w:hAnsi="Segoe UI"/>
                <w:b w:val="0"/>
                <w:i w:val="0"/>
                <w:color w:val="1E293B"/>
                <w:sz w:val="19"/>
              </w:rPr>
              <w:t>Collection Base Drop-Off</w:t>
            </w:r>
          </w:p>
        </w:tc>
        <w:tc>
          <w:tcPr>
            <w:tcW w:type="dxa" w:w="3120"/>
            <w:shd w:fill="F8FAFC"/>
            <w:tcMar>
              <w:top w:w="80" w:type="dxa"/>
              <w:bottom w:w="80" w:type="dxa"/>
              <w:left w:w="120" w:type="dxa"/>
              <w:right w:w="120" w:type="dxa"/>
            </w:tcMar>
          </w:tcPr>
          <w:p>
            <w:pPr>
              <w:spacing w:after="0"/>
            </w:pPr>
            <w:r>
              <w:rPr>
                <w:rFonts w:ascii="Segoe UI" w:hAnsi="Segoe UI"/>
                <w:b w:val="0"/>
                <w:i w:val="0"/>
                <w:color w:val="1E293B"/>
                <w:sz w:val="19"/>
              </w:rPr>
              <w:t>Location metadata, photo cleanliness upload, partner vendor group listing.</w:t>
            </w:r>
          </w:p>
        </w:tc>
      </w:tr>
      <w:tr>
        <w:tc>
          <w:tcPr>
            <w:tcW w:type="dxa" w:w="3120"/>
            <w:shd w:fill="FFFFFF"/>
            <w:tcMar>
              <w:top w:w="80" w:type="dxa"/>
              <w:bottom w:w="80" w:type="dxa"/>
              <w:left w:w="120" w:type="dxa"/>
              <w:right w:w="120" w:type="dxa"/>
            </w:tcMar>
          </w:tcPr>
          <w:p>
            <w:pPr>
              <w:spacing w:after="0"/>
            </w:pPr>
            <w:r>
              <w:rPr>
                <w:rFonts w:ascii="Segoe UI" w:hAnsi="Segoe UI"/>
                <w:b w:val="0"/>
                <w:i w:val="0"/>
                <w:color w:val="1E293B"/>
                <w:sz w:val="19"/>
              </w:rPr>
              <w:t>Figure 4.4</w:t>
            </w:r>
          </w:p>
        </w:tc>
        <w:tc>
          <w:tcPr>
            <w:tcW w:type="dxa" w:w="3120"/>
            <w:shd w:fill="FFFFFF"/>
            <w:tcMar>
              <w:top w:w="80" w:type="dxa"/>
              <w:bottom w:w="80" w:type="dxa"/>
              <w:left w:w="120" w:type="dxa"/>
              <w:right w:w="120" w:type="dxa"/>
            </w:tcMar>
          </w:tcPr>
          <w:p>
            <w:pPr>
              <w:spacing w:after="0"/>
            </w:pPr>
            <w:r>
              <w:rPr>
                <w:rFonts w:ascii="Segoe UI" w:hAnsi="Segoe UI"/>
                <w:b w:val="0"/>
                <w:i w:val="0"/>
                <w:color w:val="1E293B"/>
                <w:sz w:val="19"/>
              </w:rPr>
              <w:t>Activity Ledger</w:t>
            </w:r>
          </w:p>
        </w:tc>
        <w:tc>
          <w:tcPr>
            <w:tcW w:type="dxa" w:w="3120"/>
            <w:shd w:fill="FFFFFF"/>
            <w:tcMar>
              <w:top w:w="80" w:type="dxa"/>
              <w:bottom w:w="80" w:type="dxa"/>
              <w:left w:w="120" w:type="dxa"/>
              <w:right w:w="120" w:type="dxa"/>
            </w:tcMar>
          </w:tcPr>
          <w:p>
            <w:pPr>
              <w:spacing w:after="0"/>
            </w:pPr>
            <w:r>
              <w:rPr>
                <w:rFonts w:ascii="Segoe UI" w:hAnsi="Segoe UI"/>
                <w:b w:val="0"/>
                <w:i w:val="0"/>
                <w:color w:val="1E293B"/>
                <w:sz w:val="19"/>
              </w:rPr>
              <w:t>Active borrows with urgent countdown chips and timestamped transaction ledger.</w:t>
            </w:r>
          </w:p>
        </w:tc>
      </w:tr>
      <w:tr>
        <w:tc>
          <w:tcPr>
            <w:tcW w:type="dxa" w:w="3120"/>
            <w:shd w:fill="F8FAFC"/>
            <w:tcMar>
              <w:top w:w="80" w:type="dxa"/>
              <w:bottom w:w="80" w:type="dxa"/>
              <w:left w:w="120" w:type="dxa"/>
              <w:right w:w="120" w:type="dxa"/>
            </w:tcMar>
          </w:tcPr>
          <w:p>
            <w:pPr>
              <w:spacing w:after="0"/>
            </w:pPr>
            <w:r>
              <w:rPr>
                <w:rFonts w:ascii="Segoe UI" w:hAnsi="Segoe UI"/>
                <w:b w:val="0"/>
                <w:i w:val="0"/>
                <w:color w:val="1E293B"/>
                <w:sz w:val="19"/>
              </w:rPr>
              <w:t>Figure 4.5</w:t>
            </w:r>
          </w:p>
        </w:tc>
        <w:tc>
          <w:tcPr>
            <w:tcW w:type="dxa" w:w="3120"/>
            <w:shd w:fill="F8FAFC"/>
            <w:tcMar>
              <w:top w:w="80" w:type="dxa"/>
              <w:bottom w:w="80" w:type="dxa"/>
              <w:left w:w="120" w:type="dxa"/>
              <w:right w:w="120" w:type="dxa"/>
            </w:tcMar>
          </w:tcPr>
          <w:p>
            <w:pPr>
              <w:spacing w:after="0"/>
            </w:pPr>
            <w:r>
              <w:rPr>
                <w:rFonts w:ascii="Segoe UI" w:hAnsi="Segoe UI"/>
                <w:b w:val="0"/>
                <w:i w:val="0"/>
                <w:color w:val="1E293B"/>
                <w:sz w:val="19"/>
              </w:rPr>
              <w:t>Research Hub Overview</w:t>
            </w:r>
          </w:p>
        </w:tc>
        <w:tc>
          <w:tcPr>
            <w:tcW w:type="dxa" w:w="3120"/>
            <w:shd w:fill="F8FAFC"/>
            <w:tcMar>
              <w:top w:w="80" w:type="dxa"/>
              <w:bottom w:w="80" w:type="dxa"/>
              <w:left w:w="120" w:type="dxa"/>
              <w:right w:w="120" w:type="dxa"/>
            </w:tcMar>
          </w:tcPr>
          <w:p>
            <w:pPr>
              <w:spacing w:after="0"/>
            </w:pPr>
            <w:r>
              <w:rPr>
                <w:rFonts w:ascii="Segoe UI" w:hAnsi="Segoe UI"/>
                <w:b w:val="0"/>
                <w:i w:val="0"/>
                <w:color w:val="1E293B"/>
                <w:sz w:val="19"/>
              </w:rPr>
              <w:t>Research streak, evaluation statistics, and SDG 12 alignment rating.</w:t>
            </w:r>
          </w:p>
        </w:tc>
      </w:tr>
      <w:tr>
        <w:tc>
          <w:tcPr>
            <w:tcW w:type="dxa" w:w="3120"/>
            <w:shd w:fill="FFFFFF"/>
            <w:tcMar>
              <w:top w:w="80" w:type="dxa"/>
              <w:bottom w:w="80" w:type="dxa"/>
              <w:left w:w="120" w:type="dxa"/>
              <w:right w:w="120" w:type="dxa"/>
            </w:tcMar>
          </w:tcPr>
          <w:p>
            <w:pPr>
              <w:spacing w:after="0"/>
            </w:pPr>
            <w:r>
              <w:rPr>
                <w:rFonts w:ascii="Segoe UI" w:hAnsi="Segoe UI"/>
                <w:b w:val="0"/>
                <w:i w:val="0"/>
                <w:color w:val="1E293B"/>
                <w:sz w:val="19"/>
              </w:rPr>
              <w:t>Figure 4.6</w:t>
            </w:r>
          </w:p>
        </w:tc>
        <w:tc>
          <w:tcPr>
            <w:tcW w:type="dxa" w:w="3120"/>
            <w:shd w:fill="FFFFFF"/>
            <w:tcMar>
              <w:top w:w="80" w:type="dxa"/>
              <w:bottom w:w="80" w:type="dxa"/>
              <w:left w:w="120" w:type="dxa"/>
              <w:right w:w="120" w:type="dxa"/>
            </w:tcMar>
          </w:tcPr>
          <w:p>
            <w:pPr>
              <w:spacing w:after="0"/>
            </w:pPr>
            <w:r>
              <w:rPr>
                <w:rFonts w:ascii="Segoe UI" w:hAnsi="Segoe UI"/>
                <w:b w:val="0"/>
                <w:i w:val="0"/>
                <w:color w:val="1E293B"/>
                <w:sz w:val="19"/>
              </w:rPr>
              <w:t>Campaign Evaluation Form</w:t>
            </w:r>
          </w:p>
        </w:tc>
        <w:tc>
          <w:tcPr>
            <w:tcW w:type="dxa" w:w="3120"/>
            <w:shd w:fill="FFFFFF"/>
            <w:tcMar>
              <w:top w:w="80" w:type="dxa"/>
              <w:bottom w:w="80" w:type="dxa"/>
              <w:left w:w="120" w:type="dxa"/>
              <w:right w:w="120" w:type="dxa"/>
            </w:tcMar>
          </w:tcPr>
          <w:p>
            <w:pPr>
              <w:spacing w:after="0"/>
            </w:pPr>
            <w:r>
              <w:rPr>
                <w:rFonts w:ascii="Segoe UI" w:hAnsi="Segoe UI"/>
                <w:b w:val="0"/>
                <w:i w:val="0"/>
                <w:color w:val="1E293B"/>
                <w:sz w:val="19"/>
              </w:rPr>
              <w:t>5-criteria star scoring module for social media zero-waste campaigns.</w:t>
            </w:r>
          </w:p>
        </w:tc>
      </w:tr>
      <w:tr>
        <w:tc>
          <w:tcPr>
            <w:tcW w:type="dxa" w:w="3120"/>
            <w:shd w:fill="F8FAFC"/>
            <w:tcMar>
              <w:top w:w="80" w:type="dxa"/>
              <w:bottom w:w="80" w:type="dxa"/>
              <w:left w:w="120" w:type="dxa"/>
              <w:right w:w="120" w:type="dxa"/>
            </w:tcMar>
          </w:tcPr>
          <w:p>
            <w:pPr>
              <w:spacing w:after="0"/>
            </w:pPr>
            <w:r>
              <w:rPr>
                <w:rFonts w:ascii="Segoe UI" w:hAnsi="Segoe UI"/>
                <w:b w:val="0"/>
                <w:i w:val="0"/>
                <w:color w:val="1E293B"/>
                <w:sz w:val="19"/>
              </w:rPr>
              <w:t>Figure 4.7</w:t>
            </w:r>
          </w:p>
        </w:tc>
        <w:tc>
          <w:tcPr>
            <w:tcW w:type="dxa" w:w="3120"/>
            <w:shd w:fill="F8FAFC"/>
            <w:tcMar>
              <w:top w:w="80" w:type="dxa"/>
              <w:bottom w:w="80" w:type="dxa"/>
              <w:left w:w="120" w:type="dxa"/>
              <w:right w:w="120" w:type="dxa"/>
            </w:tcMar>
          </w:tcPr>
          <w:p>
            <w:pPr>
              <w:spacing w:after="0"/>
            </w:pPr>
            <w:r>
              <w:rPr>
                <w:rFonts w:ascii="Segoe UI" w:hAnsi="Segoe UI"/>
                <w:b w:val="0"/>
                <w:i w:val="0"/>
                <w:color w:val="1E293B"/>
                <w:sz w:val="19"/>
              </w:rPr>
              <w:t>Interactive Partner Map</w:t>
            </w:r>
          </w:p>
        </w:tc>
        <w:tc>
          <w:tcPr>
            <w:tcW w:type="dxa" w:w="3120"/>
            <w:shd w:fill="F8FAFC"/>
            <w:tcMar>
              <w:top w:w="80" w:type="dxa"/>
              <w:bottom w:w="80" w:type="dxa"/>
              <w:left w:w="120" w:type="dxa"/>
              <w:right w:w="120" w:type="dxa"/>
            </w:tcMar>
          </w:tcPr>
          <w:p>
            <w:pPr>
              <w:spacing w:after="0"/>
            </w:pPr>
            <w:r>
              <w:rPr>
                <w:rFonts w:ascii="Segoe UI" w:hAnsi="Segoe UI"/>
                <w:b w:val="0"/>
                <w:i w:val="0"/>
                <w:color w:val="1E293B"/>
                <w:sz w:val="19"/>
              </w:rPr>
              <w:t>Custom map pins, material filter chips (Plastic, Glass, Metal), and directions.</w:t>
            </w:r>
          </w:p>
        </w:tc>
      </w:tr>
      <w:tr>
        <w:tc>
          <w:tcPr>
            <w:tcW w:type="dxa" w:w="3120"/>
            <w:shd w:fill="FFFFFF"/>
            <w:tcMar>
              <w:top w:w="80" w:type="dxa"/>
              <w:bottom w:w="80" w:type="dxa"/>
              <w:left w:w="120" w:type="dxa"/>
              <w:right w:w="120" w:type="dxa"/>
            </w:tcMar>
          </w:tcPr>
          <w:p>
            <w:pPr>
              <w:spacing w:after="0"/>
            </w:pPr>
            <w:r>
              <w:rPr>
                <w:rFonts w:ascii="Segoe UI" w:hAnsi="Segoe UI"/>
                <w:b w:val="0"/>
                <w:i w:val="0"/>
                <w:color w:val="1E293B"/>
                <w:sz w:val="19"/>
              </w:rPr>
              <w:t>Figure 4.8</w:t>
            </w:r>
          </w:p>
        </w:tc>
        <w:tc>
          <w:tcPr>
            <w:tcW w:type="dxa" w:w="3120"/>
            <w:shd w:fill="FFFFFF"/>
            <w:tcMar>
              <w:top w:w="80" w:type="dxa"/>
              <w:bottom w:w="80" w:type="dxa"/>
              <w:left w:w="120" w:type="dxa"/>
              <w:right w:w="120" w:type="dxa"/>
            </w:tcMar>
          </w:tcPr>
          <w:p>
            <w:pPr>
              <w:spacing w:after="0"/>
            </w:pPr>
            <w:r>
              <w:rPr>
                <w:rFonts w:ascii="Segoe UI" w:hAnsi="Segoe UI"/>
                <w:b w:val="0"/>
                <w:i w:val="0"/>
                <w:color w:val="1E293B"/>
                <w:sz w:val="19"/>
              </w:rPr>
              <w:t>Profile &amp; Account Settings</w:t>
            </w:r>
          </w:p>
        </w:tc>
        <w:tc>
          <w:tcPr>
            <w:tcW w:type="dxa" w:w="3120"/>
            <w:shd w:fill="FFFFFF"/>
            <w:tcMar>
              <w:top w:w="80" w:type="dxa"/>
              <w:bottom w:w="80" w:type="dxa"/>
              <w:left w:w="120" w:type="dxa"/>
              <w:right w:w="120" w:type="dxa"/>
            </w:tcMar>
          </w:tcPr>
          <w:p>
            <w:pPr>
              <w:spacing w:after="0"/>
            </w:pPr>
            <w:r>
              <w:rPr>
                <w:rFonts w:ascii="Segoe UI" w:hAnsi="Segoe UI"/>
                <w:b w:val="0"/>
                <w:i w:val="0"/>
                <w:color w:val="1E293B"/>
                <w:sz w:val="19"/>
              </w:rPr>
              <w:t>Eco profile statistics, redeemable rewards list, and password security modal.</w:t>
            </w:r>
          </w:p>
        </w:tc>
      </w:tr>
    </w:tbl>
    <w:p>
      <w:pPr>
        <w:spacing w:after="240"/>
      </w:pPr>
    </w:p>
    <w:p>
      <w:pPr>
        <w:pStyle w:val="Heading1"/>
      </w:pPr>
      <w:r>
        <w:rPr>
          <w:rFonts w:ascii="Segoe UI" w:hAnsi="Segoe UI"/>
          <w:b/>
          <w:i w:val="0"/>
          <w:color w:val="0A2E1F"/>
          <w:sz w:val="30"/>
        </w:rPr>
        <w:t>7. SDG 12 Research Integration &amp; Behavioral Science</w:t>
      </w:r>
    </w:p>
    <w:p>
      <w:pPr>
        <w:spacing w:after="160" w:line="276" w:lineRule="auto"/>
      </w:pPr>
      <w:r>
        <w:rPr>
          <w:rFonts w:ascii="Segoe UI" w:hAnsi="Segoe UI"/>
          <w:b w:val="0"/>
          <w:i w:val="0"/>
          <w:color w:val="1E293B"/>
          <w:sz w:val="22"/>
        </w:rPr>
        <w:t>ReLoop directly operationalizes the United Nations 2030 Agenda for Sustainable Development through two key targets:</w:t>
        <w:br/>
        <w:br/>
        <w:t>1. Target 12.5 (Substantially reduce waste generation through prevention, reduction, recycling, and reuse): Quantified transparently in real-time through container circulation metrics and plastic diversion counters.</w:t>
        <w:br/>
        <w:br/>
        <w:t>2. Target 12.8 (Ensure that people everywhere have the relevant information and awareness for sustainable development): Delivered via the Daily Pulse survey rotation and the Campaign Evaluation engine, which collect empirical consumer sentiment data for academic evaluation.</w:t>
      </w:r>
    </w:p>
    <w:p>
      <w:pPr>
        <w:spacing w:before="320" w:after="80"/>
      </w:pPr>
      <w:r>
        <w:rPr>
          <w:rFonts w:ascii="Segoe UI" w:hAnsi="Segoe UI"/>
          <w:b/>
          <w:i w:val="0"/>
          <w:color w:val="0A2E1F"/>
          <w:sz w:val="21"/>
        </w:rPr>
        <w:t>Prepared &amp; Engineered by Gideon Dadey</w:t>
        <w:br/>
        <w:t>Lead Software Engineer &amp; Designer — ReLoop Project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