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</w:pPr>
    </w:p>
    <w:p>
      <w:pPr>
        <w:jc w:val="center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3D5C54"/>
          <w:sz w:val="22"/>
          <w:szCs w:val="22"/>
        </w:rPr>
        <w:t xml:space="preserve">《墨问岐黄》配套设定</w:t>
      </w:r>
    </w:p>
    <w:p>
      <w:pPr>
        <w:spacing w:after="20" w:before="0"/>
      </w:pPr>
    </w:p>
    <w:p>
      <w:pPr>
        <w:jc w:val="center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48"/>
          <w:szCs w:val="48"/>
        </w:rPr>
        <w:t xml:space="preserve">十问与问舟</w:t>
      </w:r>
    </w:p>
    <w:p>
      <w:pPr>
        <w:jc w:val="center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3D5C54"/>
          <w:sz w:val="20"/>
          <w:szCs w:val="20"/>
        </w:rPr>
        <w:t xml:space="preserve">补全十问  ·  旁白催问切  ·  养成四诊习惯</w:t>
      </w:r>
    </w:p>
    <w:p>
      <w:pPr>
        <w:spacing w:before="80"/>
        <w:jc w:val="center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C4A36A"/>
          <w:sz w:val="20"/>
          <w:szCs w:val="20"/>
        </w:rPr>
        <w:t xml:space="preserve">TEN QUESTIONS &amp; MENTOR CUES  v1.10</w:t>
      </w:r>
    </w:p>
    <w:p>
      <w:pPr>
        <w:spacing w:after="100" w:before="0"/>
      </w:pPr>
    </w:p>
    <w:p>
      <w:pPr>
        <w:spacing w:after="80" w:before="80" w:line="36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本册专补苏问舟。他不报方、不报证，只问你还没问到的那一问，或提醒你还没望、没闻、没切。十问按景岳《十问歌》铺进问诊模板与旁白库，让玩家在卷一到卷二把「望闻问切」做成手势，而不是做成打开的提示条。</w:t>
      </w:r>
    </w:p>
    <w:p>
      <w:r>
        <w:br w:type="page"/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一、原则</w:t>
      </w:r>
    </w:p>
    <w:p>
      <w:pPr>
        <w:pBdr>
          <w:left w:val="single" w:color="C4A36A" w:sz="16" w:space="8"/>
        </w:pBdr>
        <w:spacing w:after="120" w:before="120" w:line="360"/>
        <w:ind w:left="360" w:right="360"/>
      </w:pPr>
      <w:r>
        <w:rPr>
          <w:rFonts w:ascii="Noto Serif CJK SC" w:cs="Noto Serif CJK SC" w:eastAsia="Noto Serif CJK SC" w:hAnsi="Noto Serif CJK SC"/>
          <w:b w:val="false"/>
          <w:bCs w:val="false"/>
          <w:i/>
          <w:iCs/>
          <w:color w:val="5C574E"/>
          <w:sz w:val="20"/>
          <w:szCs w:val="20"/>
        </w:rPr>
        <w:t xml:space="preserve">他只问你没问的。你问全了，他就喝茶。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旁白是问题，不是答案。禁止出现「这是风寒，开桂枝」。禁止气机图已经标了「滞」他还把证型说破。同一诊最多插两句，避免碎嘴。刁难模式默认闭嘴，闭卷档同。启蒙与卷一强制更勤。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二、十问正文（问诊模板必须铺齐）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界面十个主按钮，顺序固定，与歌诀一致。妇人、小儿为附加槽，不是第十问的替代。点开后是短问句，可再自由输入。英日界面按钮写译文，括号留中文。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3800"/>
        <w:gridCol w:w="3746"/>
      </w:tblGrid>
      <w:tr>
        <w:trPr>
          <w:tblHeader/>
        </w:trPr>
        <w:tc>
          <w:tcPr>
            <w:tcW w:type="dxa" w:w="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问</w:t>
            </w:r>
          </w:p>
        </w:tc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歌诀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玩家可点的短问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这一问主要挡什么误诊</w:t>
            </w:r>
          </w:p>
        </w:tc>
      </w:tr>
      <w:tr>
        <w:tc>
          <w:tcPr>
            <w:tcW w:type="dxa" w:w="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一</w:t>
            </w:r>
          </w:p>
        </w:tc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寒热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怕冷还是怕热？发热多久？恶风吗？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表里寒热</w:t>
            </w:r>
          </w:p>
        </w:tc>
      </w:tr>
      <w:tr>
        <w:tc>
          <w:tcPr>
            <w:tcW w:type="dxa" w:w="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二</w:t>
            </w:r>
          </w:p>
        </w:tc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汗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有汗无汗？汗出在何时、何部位？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表虚表实、阴虚盗汗</w:t>
            </w:r>
          </w:p>
        </w:tc>
      </w:tr>
      <w:tr>
        <w:tc>
          <w:tcPr>
            <w:tcW w:type="dxa" w:w="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三</w:t>
            </w:r>
          </w:p>
        </w:tc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头身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头何处痛？身重还是身痛？腰腿如何？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部位、风湿</w:t>
            </w:r>
          </w:p>
        </w:tc>
      </w:tr>
      <w:tr>
        <w:tc>
          <w:tcPr>
            <w:tcW w:type="dxa" w:w="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四</w:t>
            </w:r>
          </w:p>
        </w:tc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便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大便干稀次数？小便色次？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里证、湿、津</w:t>
            </w:r>
          </w:p>
        </w:tc>
      </w:tr>
      <w:tr>
        <w:tc>
          <w:tcPr>
            <w:tcW w:type="dxa" w:w="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五</w:t>
            </w:r>
          </w:p>
        </w:tc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饮食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能吃吗？口淡油腻？饭后胀不胀？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脾胃、食积</w:t>
            </w:r>
          </w:p>
        </w:tc>
      </w:tr>
      <w:tr>
        <w:tc>
          <w:tcPr>
            <w:tcW w:type="dxa" w:w="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六</w:t>
            </w:r>
          </w:p>
        </w:tc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胸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胸胁胀痛吗？心悸喘咳？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肝郁、痰、胸痹轻</w:t>
            </w:r>
          </w:p>
        </w:tc>
      </w:tr>
      <w:tr>
        <w:tc>
          <w:tcPr>
            <w:tcW w:type="dxa" w:w="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七</w:t>
            </w:r>
          </w:p>
        </w:tc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聋（耳目）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耳鸣耳聋？目糊目赤？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肝肾、风热</w:t>
            </w:r>
          </w:p>
        </w:tc>
      </w:tr>
      <w:tr>
        <w:tc>
          <w:tcPr>
            <w:tcW w:type="dxa" w:w="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八</w:t>
            </w:r>
          </w:p>
        </w:tc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渴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口渴吗？想不想饮？喜热喜冷？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真热假热、痰湿</w:t>
            </w:r>
          </w:p>
        </w:tc>
      </w:tr>
      <w:tr>
        <w:tc>
          <w:tcPr>
            <w:tcW w:type="dxa" w:w="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九</w:t>
            </w:r>
          </w:p>
        </w:tc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旧病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以前得过什么？一直吃什么方？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守方与变证</w:t>
            </w:r>
          </w:p>
        </w:tc>
      </w:tr>
      <w:tr>
        <w:tc>
          <w:tcPr>
            <w:tcW w:type="dxa" w:w="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十</w:t>
            </w:r>
          </w:p>
        </w:tc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因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从什么时候、因什么起的？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病因、时令、情志</w:t>
            </w:r>
          </w:p>
        </w:tc>
      </w:tr>
      <w:tr>
        <w:tc>
          <w:tcPr>
            <w:tcW w:type="dxa" w:w="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附</w:t>
            </w:r>
          </w:p>
        </w:tc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经带（得体）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周期准不准？身上困重绵绵？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妇人路径，可在设置降细节</w:t>
            </w:r>
          </w:p>
        </w:tc>
      </w:tr>
      <w:tr>
        <w:tc>
          <w:tcPr>
            <w:tcW w:type="dxa" w:w="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附</w:t>
            </w:r>
          </w:p>
        </w:tc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小儿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问乳食、问睡、问是否受惊，问大人核实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不听孩童一句定案</w:t>
            </w:r>
          </w:p>
        </w:tc>
      </w:tr>
    </w:tbl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夜读解锁张景岳页后，按钮旁可显示原句。未解锁时只显示短问。十问用全一次，记入杏林谱张景岳「会」的条件之一（情缘谱与杏林谱已有此钩，此处落实）。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三、四诊缺哪一层，问舟催哪一层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系统每诊记四枚旗：望（神色舌）、闻（声息气味）、问（十问覆盖率）、切（三部至少一层）。提交辨证前若缺旗，才允许旁白。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946"/>
      </w:tblGrid>
      <w:tr>
        <w:trPr>
          <w:tblHeader/>
        </w:trP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缺什么</w:t>
            </w:r>
          </w:p>
        </w:tc>
        <w:tc>
          <w:tcPr>
            <w:tcW w:type="dxa" w:w="4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问舟怎么说（每次换一句）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他不说什么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未望神</w:t>
            </w:r>
          </w:p>
        </w:tc>
        <w:tc>
          <w:tcPr>
            <w:tcW w:type="dxa" w:w="4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「人还没进门，你倒先开柜了。」／「先看他眼睛愿不愿看你。」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「面色㿠白所以是血虚」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未看舌</w:t>
            </w:r>
          </w:p>
        </w:tc>
        <w:tc>
          <w:tcPr>
            <w:tcW w:type="dxa" w:w="4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「口张过没有。」／「舌上的苔，比他自己说的老实。」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苔色对应的标准证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未闻</w:t>
            </w:r>
          </w:p>
        </w:tc>
        <w:tc>
          <w:tcPr>
            <w:tcW w:type="dxa" w:w="4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「他进门那口气，你听了吗。」／「咳在喉还是在胸，隔着门也能辨。」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病名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未切</w:t>
            </w:r>
          </w:p>
        </w:tc>
        <w:tc>
          <w:tcPr>
            <w:tcW w:type="dxa" w:w="4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「脉枕还空着。」／「三指放下去，比猜有用。」／「浮中沉，你只按了哪一层？」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弦滑数的标准答案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气机开着却不问</w:t>
            </w:r>
          </w:p>
        </w:tc>
        <w:tc>
          <w:tcPr>
            <w:tcW w:type="dxa" w:w="4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「眼里看见的，嘴里问过没有？」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气机图的解读讲义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只问了一句就开方</w:t>
            </w:r>
          </w:p>
        </w:tc>
        <w:tc>
          <w:tcPr>
            <w:tcW w:type="dxa" w:w="4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「十问还剩九问在桌上。」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列出标准方</w:t>
            </w:r>
          </w:p>
        </w:tc>
      </w:tr>
    </w:tbl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四、十问旁白库（按缺问触发）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某问与当前主证锚点相关且玩家未点过，优先催这一问。不相关的问不催，免得十句全念。每句备至少三套说法，模型可在「问舟语气」下改写，但必须保持疑问句，禁止陈述诊断。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146"/>
      </w:tblGrid>
      <w:tr>
        <w:trPr>
          <w:tblHeader/>
        </w:trP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缺问</w:t>
            </w:r>
          </w:p>
        </w:tc>
        <w:tc>
          <w:tcPr>
            <w:tcW w:type="dxa" w:w="8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旁白例（三选一，可再改写）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寒热</w:t>
            </w:r>
          </w:p>
        </w:tc>
        <w:tc>
          <w:tcPr>
            <w:tcW w:type="dxa" w:w="8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「他添衣还是减衣，你问了？」／「热从什么时候起的。」／「怕风的人，和真正发热的人，不是一种坐姿。」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汗</w:t>
            </w:r>
          </w:p>
        </w:tc>
        <w:tc>
          <w:tcPr>
            <w:tcW w:type="dxa" w:w="8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「出汗了没有——这一句能挡掉一半胡开。」／「汗在头还是在身？」／「睡着才汗，还是动一下就汗？」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头身</w:t>
            </w:r>
          </w:p>
        </w:tc>
        <w:tc>
          <w:tcPr>
            <w:tcW w:type="dxa" w:w="8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「痛在额、在巅、还是在项？」／「身重和身痛，他用的不是同一个词。」／「腰像折了，还是像缠了布？」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便</w:t>
            </w:r>
          </w:p>
        </w:tc>
        <w:tc>
          <w:tcPr>
            <w:tcW w:type="dxa" w:w="8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「二便不问，方不要下。」／「今日几次，什么颜色，比『不大舒服』有用。」／「秘还是溏，别让他自己用『上火』带过。」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饮食</w:t>
            </w:r>
          </w:p>
        </w:tc>
        <w:tc>
          <w:tcPr>
            <w:tcW w:type="dxa" w:w="8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「早饭吃了什么。」／「不想吃，和吃了就胀，是两件事。」／「口淡还是口苦，先问到再谈肝与脾。」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胸</w:t>
            </w:r>
          </w:p>
        </w:tc>
        <w:tc>
          <w:tcPr>
            <w:tcW w:type="dxa" w:w="8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「手按胸口的人，不一定是心。你问过胁下没有。」／「喘是上不来气，还是咳着喘。」／「胀会不会随生气加重。」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耳目</w:t>
            </w:r>
          </w:p>
        </w:tc>
        <w:tc>
          <w:tcPr>
            <w:tcW w:type="dxa" w:w="8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「耳里响不响。」／「看灯觉得刺不刺。」／「这一问常被省，省了会把肝肾的事漏掉。」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渴</w:t>
            </w:r>
          </w:p>
        </w:tc>
        <w:tc>
          <w:tcPr>
            <w:tcW w:type="dxa" w:w="8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「渴不渴，想不想喝，喝热还是喝冷——三个字别并成一个。」／「口干和欲饮，不是同义词。」／「他若说上火，你仍要问渴。」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旧病</w:t>
            </w:r>
          </w:p>
        </w:tc>
        <w:tc>
          <w:tcPr>
            <w:tcW w:type="dxa" w:w="8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「旧方还在喝吗。」／「去年冬天那碗，还对得上今天吗。」／「他把邻人的病也讲进来了，先把旧事问清。」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因</w:t>
            </w:r>
          </w:p>
        </w:tc>
        <w:tc>
          <w:tcPr>
            <w:tcW w:type="dxa" w:w="8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「从哪一天开始的。」／「雨后、怒后、还是赶路之后。」／「起病的因，比他读来的病名值钱。」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经带</w:t>
            </w:r>
          </w:p>
        </w:tc>
        <w:tc>
          <w:tcPr>
            <w:tcW w:type="dxa" w:w="8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「若要问周期，先屏退左右。」／「困重绵绵四个字，够用。」／「不问也可以，但别用热药去赌。」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小儿</w:t>
            </w:r>
          </w:p>
        </w:tc>
        <w:tc>
          <w:tcPr>
            <w:tcW w:type="dxa" w:w="8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「问他，也要问抱他的人。」／「乳食和睡，比孩子自己的『痛』先问。」／「惊过没有，大人知道。」</w:t>
            </w:r>
          </w:p>
        </w:tc>
      </w:tr>
    </w:tbl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五、催的节奏（养成习惯，不养成依赖）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746"/>
      </w:tblGrid>
      <w:tr>
        <w:trPr>
          <w:tblHeader/>
        </w:trP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阶段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频率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卷一前七日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缺旗或缺关键问必催，每诊可两句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教学期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卷一后半至卷二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只催与锚点相关的那一问 + 缺的望闻切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开始放手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卷三起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连续两诊漏同一问才催；否则只在提交前轻咳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习惯应已成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画像显示『问诊过短』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临时回到卷二频率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脉案绘像挂钩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闭卷 / 刁难 / 锁闭嘴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零句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设置可永久关旁白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请先生接手的补救夜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改成示范：他亲自问完十问给你看一遍流程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仍不报方</w:t>
            </w:r>
          </w:p>
        </w:tc>
      </w:tr>
    </w:tbl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玩家若在提交前自己补上被催的那一问，问舟下一句改为极短的肯定：「这一问有了。」不夸奖过度。十问覆盖达到 8/10（妇儿按需），本诊「问」旗点亮，温微加。不是每问都要问——与本案无关的耳聋不必为凑数去点，乱点会让病人不耐烦。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六、界面：十问是手势，不是考卷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问诊页左侧十问 + 两附槽，已问过的印淡墨勾。右侧是自由输入。望、闻、切是诊室里的三个动作热键，不是十问里的按钮。提交辨证时若望闻切缺一，弹的不是失败，是问舟站在案后那一句。气机模式开着时，缺问仍催——落实「眼里看见的，嘴里问过没有」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夜读《十问歌》可听问舟逐句念一遍，每句跟一个玩家曾漏过的旧案（匿名）。这是反复学习，不耗白天时辰。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七、和已有系统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问诊模板与 01、09、11 的噪音规则兼容：问舟催你问，病人仍可绕着答。杏林谱张景岳页在十问用全后揭术业。小荷代诊不触发问舟旁白（她按馆规走）。情缘对象在场时，问舟不拿私事打趣。多语言：旁白三语各做一套疑问句，不把「二便」直译得失礼。</w:t>
      </w:r>
    </w:p>
    <w:p>
      <w:pPr>
        <w:pBdr>
          <w:left w:val="single" w:color="C4A36A" w:sz="16" w:space="8"/>
        </w:pBdr>
        <w:spacing w:after="120" w:before="120" w:line="360"/>
        <w:ind w:left="360" w:right="360"/>
      </w:pPr>
      <w:r>
        <w:rPr>
          <w:rFonts w:ascii="Noto Serif CJK SC" w:cs="Noto Serif CJK SC" w:eastAsia="Noto Serif CJK SC" w:hAnsi="Noto Serif CJK SC"/>
          <w:b w:val="false"/>
          <w:bCs w:val="false"/>
          <w:i/>
          <w:iCs/>
          <w:color w:val="5C574E"/>
          <w:sz w:val="20"/>
          <w:szCs w:val="20"/>
        </w:rPr>
        <w:t xml:space="preserve">十问是十扇门。你不必扇扇都踹开。但寒热和汗这两扇，学徒期我不许你走过。  ——苏问舟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erif CJK SC" w:cs="Noto Serif CJK SC" w:eastAsia="Noto Serif CJK SC" w:hAnsi="Noto Serif CJK SC"/>
        <w:b w:val="false"/>
        <w:bCs w:val="false"/>
        <w:i w:val="false"/>
        <w:iCs w:val="false"/>
        <w:color w:val="8A8070"/>
        <w:sz w:val="16"/>
        <w:szCs w:val="16"/>
      </w:rPr>
      <w:t xml:space="preserve">配套设定 v1.10  ·  </w:t>
    </w:r>
    <w:r>
      <w:rPr>
        <w:rFonts w:ascii="Noto Serif CJK SC" w:cs="Noto Serif CJK SC" w:eastAsia="Noto Serif CJK SC" w:hAnsi="Noto Serif CJK SC"/>
        <w:color w:val="8A80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erif CJK SC" w:cs="Noto Serif CJK SC" w:eastAsia="Noto Serif CJK SC" w:hAnsi="Noto Serif CJK SC"/>
        <w:b w:val="false"/>
        <w:bCs w:val="false"/>
        <w:i w:val="false"/>
        <w:iCs w:val="false"/>
        <w:color w:val="8A8070"/>
        <w:sz w:val="16"/>
        <w:szCs w:val="16"/>
      </w:rPr>
      <w:t xml:space="preserve">十问与问舟旁白  ·  《墨问岐黄》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erif CJK SC" w:cs="Noto Serif CJK SC" w:eastAsia="Noto Serif CJK SC" w:hAnsi="Noto Serif CJK SC"/>
        <w:color w:val="2C2A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Noto Sans CJK SC" w:cs="Noto Sans CJK SC" w:eastAsia="Noto Sans CJK SC" w:hAnsi="Noto Sans CJK SC"/>
      <w:b/>
      <w:bCs/>
      <w:color w:val="8B3A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Noto Sans CJK SC" w:cs="Noto Sans CJK SC" w:eastAsia="Noto Sans CJK SC" w:hAnsi="Noto Sans CJK SC"/>
      <w:b/>
      <w:bCs/>
      <w:color w:val="3D5C5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Noto Sans CJK SC" w:cs="Noto Sans CJK SC" w:eastAsia="Noto Sans CJK SC" w:hAnsi="Noto Sans CJK SC"/>
      <w:b/>
      <w:bCs/>
      <w:color w:val="5A463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2026-09-05T13:16:28.497Z</dcterms:created>
  <dcterms:modified xsi:type="dcterms:W3CDTF">2026-09-05T13:16:28.497Z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