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4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3D5C54"/>
          <w:sz w:val="22"/>
          <w:szCs w:val="22"/>
        </w:rPr>
        <w:t xml:space="preserve">《墨问岐黄》系统设计增补</w:t>
      </w:r>
    </w:p>
    <w:p>
      <w:pPr>
        <w:spacing w:after="20" w:before="0"/>
      </w:pPr>
    </w:p>
    <w:p>
      <w:pPr>
        <w:jc w:val="center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40"/>
          <w:szCs w:val="40"/>
        </w:rPr>
        <w:t xml:space="preserve">方药权重与内容扩容</w:t>
      </w:r>
    </w:p>
    <w:p>
      <w:pPr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3D5C54"/>
          <w:sz w:val="20"/>
          <w:szCs w:val="20"/>
        </w:rPr>
        <w:t xml:space="preserve">600 味 · 500 方 · 加减数字化 · 针灸同构</w:t>
      </w:r>
    </w:p>
    <w:p>
      <w:pPr>
        <w:spacing w:before="80"/>
        <w:jc w:val="center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C4A36A"/>
          <w:sz w:val="20"/>
          <w:szCs w:val="20"/>
        </w:rPr>
        <w:t xml:space="preserve">FORMULA WEIGHTS &amp; CORPUS  v1.11</w:t>
      </w:r>
    </w:p>
    <w:p>
      <w:pPr>
        <w:spacing w:after="90" w:before="0"/>
      </w:pPr>
    </w:p>
    <w:p>
      <w:pPr>
        <w:spacing w:after="80" w:before="80" w:line="36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本册替换 04 本草志里「初版 48 味 / 24 方」的体量，并落到可计算的加减分。药材按进程开到约 600 味，成方开到约 500 首，字段对齐《中国药典》的通用信息（正名、性味归经、炮制、毒性、功能与主治的游戏化摘要），不整篇抄录药典正文。病症、药、穴共用同一套「需求向量 ↔ 供给向量」计分。开放解仍在：对上主需求即可，不要求与某张标准方一字不差。</w:t>
      </w:r>
    </w:p>
    <w:p>
      <w:r>
        <w:br w:type="page"/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一、内容体量与解锁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400"/>
        <w:gridCol w:w="3546"/>
      </w:tblGrid>
      <w:tr>
        <w:trPr>
          <w:tblHeader/>
        </w:trP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阶段</w:t>
            </w:r>
          </w:p>
        </w:tc>
        <w:tc>
          <w:tcPr>
            <w:tcW w:type="dxa" w:w="1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药材（约）</w:t>
            </w:r>
          </w:p>
        </w:tc>
        <w:tc>
          <w:tcPr>
            <w:tcW w:type="dxa" w:w="1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成方（约）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穴</w:t>
            </w:r>
          </w:p>
        </w:tc>
        <w:tc>
          <w:tcPr>
            <w:tcW w:type="dxa" w:w="3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开法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卷一 学徒</w:t>
            </w:r>
          </w:p>
        </w:tc>
        <w:tc>
          <w:tcPr>
            <w:tcW w:type="dxa" w:w="1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80</w:t>
            </w:r>
          </w:p>
        </w:tc>
        <w:tc>
          <w:tcPr>
            <w:tcW w:type="dxa" w:w="1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2～6</w:t>
            </w:r>
          </w:p>
        </w:tc>
        <w:tc>
          <w:tcPr>
            <w:tcW w:type="dxa" w:w="3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柜中常用 + 认药课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卷二 青石</w:t>
            </w:r>
          </w:p>
        </w:tc>
        <w:tc>
          <w:tcPr>
            <w:tcW w:type="dxa" w:w="1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160</w:t>
            </w:r>
          </w:p>
        </w:tc>
        <w:tc>
          <w:tcPr>
            <w:tcW w:type="dxa" w:w="1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60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12</w:t>
            </w:r>
          </w:p>
        </w:tc>
        <w:tc>
          <w:tcPr>
            <w:tcW w:type="dxa" w:w="3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市集、十二证、书肆抄本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卷三 五方</w:t>
            </w:r>
          </w:p>
        </w:tc>
        <w:tc>
          <w:tcPr>
            <w:tcW w:type="dxa" w:w="1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320</w:t>
            </w:r>
          </w:p>
        </w:tc>
        <w:tc>
          <w:tcPr>
            <w:tcW w:type="dxa" w:w="1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180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24</w:t>
            </w:r>
          </w:p>
        </w:tc>
        <w:tc>
          <w:tcPr>
            <w:tcW w:type="dxa" w:w="3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五方采集 + 地域方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卷四 时疫</w:t>
            </w:r>
          </w:p>
        </w:tc>
        <w:tc>
          <w:tcPr>
            <w:tcW w:type="dxa" w:w="1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420</w:t>
            </w:r>
          </w:p>
        </w:tc>
        <w:tc>
          <w:tcPr>
            <w:tcW w:type="dxa" w:w="1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280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30</w:t>
            </w:r>
          </w:p>
        </w:tc>
        <w:tc>
          <w:tcPr>
            <w:tcW w:type="dxa" w:w="3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时疫方、温病入口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卷五 开馆</w:t>
            </w:r>
          </w:p>
        </w:tc>
        <w:tc>
          <w:tcPr>
            <w:tcW w:type="dxa" w:w="1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520</w:t>
            </w:r>
          </w:p>
        </w:tc>
        <w:tc>
          <w:tcPr>
            <w:tcW w:type="dxa" w:w="1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380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36</w:t>
            </w:r>
          </w:p>
        </w:tc>
        <w:tc>
          <w:tcPr>
            <w:tcW w:type="dxa" w:w="3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名录、外来药、访药</w:t>
            </w:r>
          </w:p>
        </w:tc>
      </w:tr>
      <w:tr>
        <w:tc>
          <w:tcPr>
            <w:tcW w:type="dxa" w:w="18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再诊 / 资料片</w:t>
            </w:r>
          </w:p>
        </w:tc>
        <w:tc>
          <w:tcPr>
            <w:tcW w:type="dxa" w:w="1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600</w:t>
            </w:r>
          </w:p>
        </w:tc>
        <w:tc>
          <w:tcPr>
            <w:tcW w:type="dxa" w:w="15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500</w:t>
            </w:r>
          </w:p>
        </w:tc>
        <w:tc>
          <w:tcPr>
            <w:tcW w:type="dxa" w:w="1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48</w:t>
            </w:r>
          </w:p>
        </w:tc>
        <w:tc>
          <w:tcPr>
            <w:tcW w:type="dxa" w:w="3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药典补页、穿越残方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600 与 500 是「常见可用」上限，不是开局砸在脸上。未解锁的味在柜中是空格或「未识」，采到可对照入典。成方未抄入方针卷前，仍允许自拟——自拟只走向量分，没有「成方贴合」那一项加分。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药典对齐的字段（每味一条，禁止整页复制药典）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746"/>
      </w:tblGrid>
      <w:tr>
        <w:trPr>
          <w:tblHeader/>
        </w:trP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字段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来源约定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游戏用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正名 / 拼音 / 拉丁（可选）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药典目录级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图鉴、三语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饮片来源（植物部位等）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摘要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认药、采集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性、味、归经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药典通则口径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向量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炮制态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常见几种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改向量与毒性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有毒等级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大毒/有毒/小毒/无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锁与稳扣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功能与主治摘要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压缩成标签，不作处方依据声明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文案、辅助层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用法用量游戏化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改为「份」0.5～6，不写克数当医嘱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剂量分</w:t>
            </w:r>
          </w:p>
        </w:tc>
      </w:tr>
      <w:tr>
        <w:tc>
          <w:tcPr>
            <w:tcW w:type="dxa" w:w="24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配伍注意</w:t>
            </w:r>
          </w:p>
        </w:tc>
        <w:tc>
          <w:tcPr>
            <w:tcW w:type="dxa" w:w="36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十八反十九畏等作成对表</w:t>
            </w:r>
          </w:p>
        </w:tc>
        <w:tc>
          <w:tcPr>
            <w:tcW w:type="dxa" w:w="37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禁配灯</w:t>
            </w:r>
          </w:p>
        </w:tc>
      </w:tr>
    </w:tbl>
    <w:p>
      <w:pPr>
        <w:shd w:fill="EFE6D4" w:val="clear"/>
        <w:spacing w:after="80" w:before="80" w:line="340"/>
        <w:ind w:left="200" w:right="200"/>
      </w:pPr>
      <w:r>
        <w:rPr>
          <w:rFonts w:ascii="Noto Serif CJK SC" w:cs="Noto Serif CJK SC" w:eastAsia="Noto Serif CJK SC" w:hAnsi="Noto Serif CJK SC"/>
          <w:b/>
          <w:bCs/>
          <w:i w:val="false"/>
          <w:iCs w:val="false"/>
          <w:color w:val="8B3A2A"/>
          <w:sz w:val="19"/>
          <w:szCs w:val="19"/>
        </w:rPr>
        <w:t xml:space="preserve">备忘  </w:t>
      </w: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5C574E"/>
          <w:sz w:val="19"/>
          <w:szCs w:val="19"/>
        </w:rPr>
        <w:t xml:space="preserve">数据表另做 CSV/JSON，本册只定结构。制作时以药典与通行教材交叉校验，争议品种（马兜铃酸类等）默认不进可玩池或只作文案禁用。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二、共同的数字化：需求与供给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病症需求分 R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每张病例卡生成后，本地算出需求向量 R。主证贡献 100 分的「主需求」，每个兼夹贡献 25～40 分的「兼需求」，每个明确存在的次症锚点贡献 8～15 分的「症需求」。玩家若问诊漏掉某锚点，该症需求仍存在，但辅助层不亮——问全了才看见症标签（可关）。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减少症状：若兼夹或次症在问诊中被排除（问过且病人否定），对应需求从 R 里拿掉，此时再在成方里保留专治那一症的药，会变成「多余药」扣分。这就是「减症则宜减药」。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供给分 S（方、药、穴通用）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每一味药、每一个穴、每一壮灸，都有供给向量 S_i（气、味、归经、功效标签如解表/清热/补气/活血/安神…）。成方是若干味的加权和：君 1.0、臣 0.6、佐 0.35、使 0.2。自拟无君臣时，按「份」归一化。针与灸：穴性为 S_i，针乘手法系数（泻 偏疏清，补 偏补温），灸再乘温补系数。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三、治疗效果怎么算</w:t>
      </w:r>
    </w:p>
    <w:p>
      <w:pPr>
        <w:pStyle w:val="Heading2"/>
        <w:spacing w:after="120" w:before="2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3D5C54"/>
          <w:sz w:val="26"/>
          <w:szCs w:val="26"/>
        </w:rPr>
        <w:t xml:space="preserve">▣  四笔分，合成「对证分」M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1 主需求覆盖：S 在主需求方向上的投影，满分 100。低于 40，本诊很难算治到主证。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2 成方贴合：若玩家从方针卷选了一首适应证与主证桶合法对应的成方，先给基准分 B（60～75，视该方与主证的经典对应强度）。这是「基本方对基本病」的权重。未选成方、纯自拟则 B=0，只靠向量。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3 加减分 A：在成方上每加一味，看它覆盖了哪条尚未满足的兼需求或症需求，命中则 +4～12；与已满足需求重复堆叠则 +0～2；与主需求反向（寒热撞车、伤正）则 −6～−18；触发反畏则本诊稳大扣且 A 封顶。每减一味：若该味对应的症需求已被排除或本案本无，+3～8（减得对）；若该味是君药或主需求核心，−10～−20（减坏了）。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4 过量与杂陈：总味数超过 14 或穴超过 6，每多 1 项 −2。剂量「份」偏离成方建议过大，稳扣。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对证分 M = 0.45×主覆盖 + 0.20×B + 0.25×A规范化 + 0.10×配伍结构（有君臣或对穴）。M 再映射到原四维里的「准」。快、稳、温算法不变：快看起效曲线，稳看伤正与反跳，温看问诊。</w:t>
      </w:r>
    </w:p>
    <w:p>
      <w:pPr>
        <w:pStyle w:val="Heading3"/>
        <w:spacing w:after="80" w:before="1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5A4632"/>
          <w:sz w:val="23"/>
          <w:szCs w:val="23"/>
        </w:rPr>
        <w:t xml:space="preserve">▸ 例子（肝郁血虚失眠，成方逍遥散）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基准 B 高（方证对应）。患者兼「难眠」且无脾虚湿甚：加酸枣仁，A 正；再堆厚朴燥湿，A 负或近零。患者未说头痛却把川芎加到很大，重复药。若问清没有食积，从某消导方里减去山楂莱菔，A 正。只开两味安神不选逍遥，B=0，但主覆盖若仍够，可中分通过——开放解。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四、针灸用同一套账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rPr>
          <w:tblHeader/>
        </w:trP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方药侧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针灸侧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成方基准 B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经典穴组基准 B（四关、回阳、脾胃组等）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加一味药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加一穴，覆盖未满足需求则 A 正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减一味（症已不在）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减去与本案无关的穴，A 正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减君药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减主穴或点出经则 A 负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针/灸分途系数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虚寒灸系数↑，实热针泻系数↑，反用降稳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味数过多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穴超过 6</w:t>
            </w:r>
          </w:p>
        </w:tc>
      </w:tr>
      <w:tr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十八反</w:t>
            </w:r>
          </w:p>
        </w:tc>
        <w:tc>
          <w:tcPr>
            <w:tcW w:type="dxa" w:w="4873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禁穴、热证大灸、孕禁</w:t>
            </w:r>
          </w:p>
        </w:tc>
      </w:tr>
    </w:tbl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针药并用：两路 S 相加前先各自算 M，再取 0.65×主路径 + 0.35×辅路径，避免两套各打 50 分却合成满分。气机图（14）是这套分的动画，不另开一套隐藏分。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五、界面：加减怎么操作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选成方后药盏列出君臣佐使。每味可「留 / 减 / 改份」。盏下有「加药」从已识药材拖入。右侧需求条只在辅助开启时显示已问出口的症标签及「已覆盖 / 未覆盖 / 反向」。关闭辅助则只剩药盏和病人，分在提交后才见。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书肆卖的加减口诀条：仅对已「会」的成方显示常见加减一句（如「逍遥加枣仁安神」），不自动进盏。</w:t>
      </w:r>
    </w:p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六、对各册的跟进修订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册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E8D9B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center"/>
            </w:pPr>
            <w:r>
              <w:rPr>
                <w:rFonts w:ascii="Noto Serif CJK SC" w:cs="Noto Serif CJK SC" w:eastAsia="Noto Serif CJK SC" w:hAnsi="Noto Serif CJK SC"/>
                <w:b/>
                <w:bCs/>
                <w:i w:val="false"/>
                <w:iCs w:val="false"/>
                <w:color w:val="2C2A26"/>
                <w:sz w:val="18"/>
                <w:szCs w:val="18"/>
              </w:rPr>
              <w:t xml:space="preserve">改什么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04 本草志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48/24 改为「卷一切片」；全量以本册上限与字段为准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01 向量评分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准的计算改用本册 M，开放解原则不改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02 经济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单方抄本按稀缺分层计价；600 味不可全部用钱买齐，采集与五方仍是主来源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06 杏林谱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经方家课与「会某方并做过一次正确加减」挂钩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07 代诊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小荷只许用你勾过的成方原方或「只减一味」，不许自加有毒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09 画像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记录加减次数、平均味数、针药比重，弱项可打「加减」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10 再诊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专出「需加减」的兼夹卡，原方照抄只能中分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11 噪音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病人可能塞来邻人的成方，诱你不加减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12 路人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兼夹合法表决定 R 的结构，禁止非法需求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13 针灸志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穴组 B 与加减 A 按本册四笔账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14 气机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BF7E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M 高则术后图更接近「平」</w:t>
            </w:r>
          </w:p>
        </w:tc>
      </w:tr>
      <w:tr>
        <w:tc>
          <w:tcPr>
            <w:tcW w:type="dxa" w:w="2200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15 十问</w:t>
            </w:r>
          </w:p>
        </w:tc>
        <w:tc>
          <w:tcPr>
            <w:tcW w:type="dxa" w:w="7546"/>
            <w:tcBorders>
              <w:top w:val="single" w:color="C9B99A" w:sz="4"/>
              <w:left w:val="single" w:color="C9B99A" w:sz="4"/>
              <w:bottom w:val="single" w:color="C9B99A" w:sz="4"/>
              <w:right w:val="single" w:color="C9B99A" w:sz="4"/>
            </w:tcBorders>
            <w:shd w:fill="F3EBD8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30" w:before="30" w:line="300"/>
              <w:jc w:val="left"/>
            </w:pPr>
            <w:r>
              <w:rPr>
                <w:rFonts w:ascii="Noto Serif CJK SC" w:cs="Noto Serif CJK SC" w:eastAsia="Noto Serif CJK SC" w:hAnsi="Noto Serif CJK SC"/>
                <w:b w:val="false"/>
                <w:bCs w:val="false"/>
                <w:i w:val="false"/>
                <w:iCs w:val="false"/>
                <w:color w:val="2C2A26"/>
                <w:sz w:val="18"/>
                <w:szCs w:val="18"/>
              </w:rPr>
              <w:t xml:space="preserve">问全才能点亮对应症需求的辅助条</w:t>
            </w:r>
          </w:p>
        </w:tc>
      </w:tr>
    </w:tbl>
    <w:p>
      <w:pPr>
        <w:pStyle w:val="Heading1"/>
        <w:pBdr>
          <w:bottom w:val="single" w:color="8B3A2A" w:sz="12" w:space="4"/>
        </w:pBdr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8B3A2A"/>
          <w:sz w:val="32"/>
          <w:szCs w:val="32"/>
        </w:rPr>
        <w:t xml:space="preserve">七、制作与合规</w:t>
      </w:r>
    </w:p>
    <w:p>
      <w:pPr>
        <w:spacing w:after="80" w:before="80" w:line="360"/>
        <w:ind w:firstLine="480"/>
        <w:jc w:val="both"/>
      </w:pPr>
      <w:r>
        <w:rPr>
          <w:rFonts w:ascii="Noto Serif CJK SC" w:cs="Noto Serif CJK SC" w:eastAsia="Noto Serif CJK SC" w:hAnsi="Noto Serif CJK SC"/>
          <w:b w:val="false"/>
          <w:bCs w:val="false"/>
          <w:i w:val="false"/>
          <w:iCs w:val="false"/>
          <w:color w:val="2C2A26"/>
          <w:sz w:val="21"/>
          <w:szCs w:val="21"/>
        </w:rPr>
        <w:t xml:space="preserve">药典只作结构与校验，不把「功能与主治」当现实处方。游戏每次诊疗仍有声明。500 方按「核心经方 / 常用时方 / 地域验方 / 资料片残方」四层录入，先保证前 180 首有完整君臣与合法加减示例，其余可后补。600 味先保证性味归经与毒性齐全，主治摘要允许后补。</w:t>
      </w:r>
    </w:p>
    <w:p>
      <w:pPr>
        <w:pBdr>
          <w:left w:val="single" w:color="C4A36A" w:sz="16" w:space="8"/>
        </w:pBdr>
        <w:spacing w:after="120" w:before="120" w:line="360"/>
        <w:ind w:left="360" w:right="360"/>
      </w:pPr>
      <w:r>
        <w:rPr>
          <w:rFonts w:ascii="Noto Serif CJK SC" w:cs="Noto Serif CJK SC" w:eastAsia="Noto Serif CJK SC" w:hAnsi="Noto Serif CJK SC"/>
          <w:b w:val="false"/>
          <w:bCs w:val="false"/>
          <w:i/>
          <w:iCs/>
          <w:color w:val="5C574E"/>
          <w:sz w:val="20"/>
          <w:szCs w:val="20"/>
        </w:rPr>
        <w:t xml:space="preserve">方是骨架。症是身上这件衣服的尺寸。加减，是把骨架改到合身。合身的那一刀，才叫准。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系统设计增补 v1.11  ·  </w:t>
    </w:r>
    <w:r>
      <w:rPr>
        <w:rFonts w:ascii="Noto Serif CJK SC" w:cs="Noto Serif CJK SC" w:eastAsia="Noto Serif CJK SC" w:hAnsi="Noto Serif CJK SC"/>
        <w:color w:val="8A80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erif CJK SC" w:cs="Noto Serif CJK SC" w:eastAsia="Noto Serif CJK SC" w:hAnsi="Noto Serif CJK SC"/>
        <w:b w:val="false"/>
        <w:bCs w:val="false"/>
        <w:i w:val="false"/>
        <w:iCs w:val="false"/>
        <w:color w:val="8A8070"/>
        <w:sz w:val="16"/>
        <w:szCs w:val="16"/>
      </w:rPr>
      <w:t xml:space="preserve">方药权重与内容扩容  ·  《墨问岐黄》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erif CJK SC" w:cs="Noto Serif CJK SC" w:eastAsia="Noto Serif CJK SC" w:hAnsi="Noto Serif CJK SC"/>
        <w:color w:val="2C2A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8B3A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Noto Sans CJK SC" w:cs="Noto Sans CJK SC" w:eastAsia="Noto Sans CJK SC" w:hAnsi="Noto Sans CJK SC"/>
      <w:b/>
      <w:bCs/>
      <w:color w:val="3D5C5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Noto Sans CJK SC" w:cs="Noto Sans CJK SC" w:eastAsia="Noto Sans CJK SC" w:hAnsi="Noto Sans CJK SC"/>
      <w:b/>
      <w:bCs/>
      <w:color w:val="5A46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2026-09-05T13:49:45.961Z</dcterms:created>
  <dcterms:modified xsi:type="dcterms:W3CDTF">2026-09-05T13:49:45.961Z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