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</w:pPr>
    </w:p>
    <w:p>
      <w:pPr>
        <w:jc w:val="center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3D5C54"/>
          <w:sz w:val="22"/>
          <w:szCs w:val="22"/>
        </w:rPr>
        <w:t xml:space="preserve">《墨问岐黄》剧本规则</w:t>
      </w:r>
    </w:p>
    <w:p>
      <w:pPr>
        <w:spacing w:after="12" w:before="0"/>
      </w:pPr>
    </w:p>
    <w:p>
      <w:pPr>
        <w:jc w:val="center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48"/>
          <w:szCs w:val="48"/>
        </w:rPr>
        <w:t xml:space="preserve">经典优先</w:t>
      </w:r>
    </w:p>
    <w:p>
      <w:pPr>
        <w:jc w:val="center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3D5C54"/>
          <w:sz w:val="20"/>
          <w:szCs w:val="20"/>
        </w:rPr>
        <w:t xml:space="preserve">采风与验方不得覆盖经方、经典单方</w:t>
      </w:r>
    </w:p>
    <w:p>
      <w:pPr>
        <w:spacing w:before="80"/>
        <w:jc w:val="center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C4A36A"/>
          <w:sz w:val="20"/>
          <w:szCs w:val="20"/>
        </w:rPr>
        <w:t xml:space="preserve">CLASSIC PRIORITY  v1.16</w:t>
      </w:r>
    </w:p>
    <w:p>
      <w:pPr>
        <w:spacing w:after="80" w:before="0"/>
      </w:pPr>
    </w:p>
    <w:p>
      <w:pPr>
        <w:spacing w:after="80" w:before="80" w:line="36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本册补在 1.15 之后。采风可以丰富方库，但只要与教材级经方或经典单方冲突，一律以经典为准。问舟、医典、计分的 B_ok 表、证桶主方，都不因献方而改写。</w:t>
      </w:r>
    </w:p>
    <w:p>
      <w:r>
        <w:br w:type="page"/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一、谁算经典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00"/>
        <w:gridCol w:w="2346"/>
      </w:tblGrid>
      <w:tr>
        <w:trPr>
          <w:tblHeader/>
        </w:trP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档</w:t>
            </w:r>
          </w:p>
        </w:tc>
        <w:tc>
          <w:tcPr>
            <w:tcW w:type="dxa" w:w="5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范围</w:t>
            </w:r>
          </w:p>
        </w:tc>
        <w:tc>
          <w:tcPr>
            <w:tcW w:type="dxa" w:w="2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权威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经方</w:t>
            </w:r>
          </w:p>
        </w:tc>
        <w:tc>
          <w:tcPr>
            <w:tcW w:type="dxa" w:w="5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伤寒、金匮及教材列为方证对应的骨架方</w:t>
            </w:r>
          </w:p>
        </w:tc>
        <w:tc>
          <w:tcPr>
            <w:tcW w:type="dxa" w:w="2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最高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经典单方 / 对药</w:t>
            </w:r>
          </w:p>
        </w:tc>
        <w:tc>
          <w:tcPr>
            <w:tcW w:type="dxa" w:w="5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教材与药典习惯成对、一味对一明确病机者（如麻黄对表实无汗）</w:t>
            </w:r>
          </w:p>
        </w:tc>
        <w:tc>
          <w:tcPr>
            <w:tcW w:type="dxa" w:w="2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与经方同级，用于窄谱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时方</w:t>
            </w:r>
          </w:p>
        </w:tc>
        <w:tc>
          <w:tcPr>
            <w:tcW w:type="dxa" w:w="5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后世常用、君臣清楚</w:t>
            </w:r>
          </w:p>
        </w:tc>
        <w:tc>
          <w:tcPr>
            <w:tcW w:type="dxa" w:w="2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次之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验方 / 采风 / 村口单方</w:t>
            </w:r>
          </w:p>
        </w:tc>
        <w:tc>
          <w:tcPr>
            <w:tcW w:type="dxa" w:w="5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献方、残页、邻人纸条</w:t>
            </w:r>
          </w:p>
        </w:tc>
        <w:tc>
          <w:tcPr>
            <w:tcW w:type="dxa" w:w="2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最低</w:t>
            </w:r>
          </w:p>
        </w:tc>
      </w:tr>
    </w:tbl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二、什么叫冲突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746"/>
      </w:tblGrid>
      <w:tr>
        <w:trPr>
          <w:tblHeader/>
        </w:trP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类型</w:t>
            </w:r>
          </w:p>
        </w:tc>
        <w:tc>
          <w:tcPr>
            <w:tcW w:type="dxa" w:w="4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例子（游戏口径）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处理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主方争夺</w:t>
            </w:r>
          </w:p>
        </w:tc>
        <w:tc>
          <w:tcPr>
            <w:tcW w:type="dxa" w:w="4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同一证桶两张方都想当 B_ok 主方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只保留经典；采风降为「可选用、B 按验方」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寒热相反</w:t>
            </w:r>
          </w:p>
        </w:tc>
        <w:tc>
          <w:tcPr>
            <w:tcW w:type="dxa" w:w="4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经典温里，采风大剂寒凉打同一证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采风不进该证 B_ok，作反例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配伍相反</w:t>
            </w:r>
          </w:p>
        </w:tc>
        <w:tc>
          <w:tcPr>
            <w:tcW w:type="dxa" w:w="4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采风把十八反、十九畏写进「验方」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滤网直接禁，经典锁表不动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窄谱抢宽谱</w:t>
            </w:r>
          </w:p>
        </w:tc>
        <w:tc>
          <w:tcPr>
            <w:tcW w:type="dxa" w:w="4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一张单方宣称包办经方才能覆盖的兼夹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单方只许挂自己的窄维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穴组抢经穴</w:t>
            </w:r>
          </w:p>
        </w:tc>
        <w:tc>
          <w:tcPr>
            <w:tcW w:type="dxa" w:w="4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便方用生僻穴取代四关、足三里组当主方案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便方可并存，B 不得高于经典穴组</w:t>
            </w:r>
          </w:p>
        </w:tc>
      </w:tr>
    </w:tbl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三、运行时规则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医典目录：每个证桶只标一个「主方」（经典）。采风方出现在「又法 / 备方」，旁注「不得覆盖主方」。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计分：B_ok 表只由经典与经教材审定的时方写入。采风命中该证，最多拿验方档 B（52～62），即使文案写着「专治某某」。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夜读入典：系统先对经典主方做差分。药性向量与主方点积为负、或触发反畏，则标记「与经典冲突」，不能勾「会」。可进禁页或「备忘」。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问舟口吻：「邻人那张纸可以试。主方还是柜子上那首。风让路。」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小荷代诊：只许用已「会」且未标冲突的方。经典主方始终在她的可用列表里。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四、玩家仍可选用采风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开放解不废。用采风方只要覆盖 C 够，仍可中分过关，只是没有经典贴合那一截 B。这是「能用，但不能当老师」。再诊若专考方证对应，标准答案仍是经典加减，采风只能当干扰项。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五、对各册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46"/>
      </w:tblGrid>
      <w:tr>
        <w:trPr>
          <w:tblHeader/>
        </w:trPr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册</w:t>
            </w:r>
          </w:p>
        </w:tc>
        <w:tc>
          <w:tcPr>
            <w:tcW w:type="dxa" w:w="6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改什么</w:t>
            </w:r>
          </w:p>
        </w:tc>
      </w:tr>
      <w:tr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1.12 计分 / 16 权重</w:t>
            </w:r>
          </w:p>
        </w:tc>
        <w:tc>
          <w:tcPr>
            <w:tcW w:type="dxa" w:w="6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B_ok 只收经典与审定时方</w:t>
            </w:r>
          </w:p>
        </w:tc>
      </w:tr>
      <w:tr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1.15 采风</w:t>
            </w:r>
          </w:p>
        </w:tc>
        <w:tc>
          <w:tcPr>
            <w:tcW w:type="dxa" w:w="6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入典增加「经典差分」一步</w:t>
            </w:r>
          </w:p>
        </w:tc>
      </w:tr>
      <w:tr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02 医典</w:t>
            </w:r>
          </w:p>
        </w:tc>
        <w:tc>
          <w:tcPr>
            <w:tcW w:type="dxa" w:w="6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主方 / 又法分栏</w:t>
            </w:r>
          </w:p>
        </w:tc>
      </w:tr>
      <w:tr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06 杏林谱</w:t>
            </w:r>
          </w:p>
        </w:tc>
        <w:tc>
          <w:tcPr>
            <w:tcW w:type="dxa" w:w="6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名医课以经典为课核，采风作附录</w:t>
            </w:r>
          </w:p>
        </w:tc>
      </w:tr>
      <w:tr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10 再诊</w:t>
            </w:r>
          </w:p>
        </w:tc>
        <w:tc>
          <w:tcPr>
            <w:tcW w:type="dxa" w:w="6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诱抄采风而弃经典，则准封顶中分</w:t>
            </w:r>
          </w:p>
        </w:tc>
      </w:tr>
      <w:tr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15 问舟</w:t>
            </w:r>
          </w:p>
        </w:tc>
        <w:tc>
          <w:tcPr>
            <w:tcW w:type="dxa" w:w="6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冲突时先护主方，再评采风</w:t>
            </w:r>
          </w:p>
        </w:tc>
      </w:tr>
    </w:tbl>
    <w:p>
      <w:pPr>
        <w:pBdr>
          <w:left w:val="single" w:color="C4A36A" w:sz="16" w:space="8"/>
        </w:pBdr>
        <w:spacing w:after="120" w:before="120" w:line="360"/>
        <w:ind w:left="360" w:right="360"/>
      </w:pPr>
      <w:r>
        <w:rPr>
          <w:rFonts w:ascii="Noto Serif CJK SC" w:cs="Noto Serif CJK SC" w:eastAsia="Noto Serif CJK SC" w:hAnsi="Noto Serif CJK SC"/>
          <w:b w:val="false"/>
          <w:bCs w:val="false"/>
          <w:i/>
          <w:iCs/>
          <w:color w:val="5C574E"/>
          <w:sz w:val="20"/>
          <w:szCs w:val="20"/>
        </w:rPr>
        <w:t xml:space="preserve">风可以进门。坐下的那把椅子，还是经方的。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erif CJK SC" w:cs="Noto Serif CJK SC" w:eastAsia="Noto Serif CJK SC" w:hAnsi="Noto Serif CJK SC"/>
        <w:b w:val="false"/>
        <w:bCs w:val="false"/>
        <w:i w:val="false"/>
        <w:iCs w:val="false"/>
        <w:color w:val="8A8070"/>
        <w:sz w:val="16"/>
        <w:szCs w:val="16"/>
      </w:rPr>
      <w:t xml:space="preserve">剧本规则 v1.16  ·  </w:t>
    </w:r>
    <w:r>
      <w:rPr>
        <w:rFonts w:ascii="Noto Serif CJK SC" w:cs="Noto Serif CJK SC" w:eastAsia="Noto Serif CJK SC" w:hAnsi="Noto Serif CJK SC"/>
        <w:color w:val="8A80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erif CJK SC" w:cs="Noto Serif CJK SC" w:eastAsia="Noto Serif CJK SC" w:hAnsi="Noto Serif CJK SC"/>
        <w:b w:val="false"/>
        <w:bCs w:val="false"/>
        <w:i w:val="false"/>
        <w:iCs w:val="false"/>
        <w:color w:val="8A8070"/>
        <w:sz w:val="16"/>
        <w:szCs w:val="16"/>
      </w:rPr>
      <w:t xml:space="preserve">经典优先  ·  《墨问岐黄》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erif CJK SC" w:cs="Noto Serif CJK SC" w:eastAsia="Noto Serif CJK SC" w:hAnsi="Noto Serif CJK SC"/>
        <w:color w:val="2C2A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Noto Sans CJK SC" w:cs="Noto Sans CJK SC" w:eastAsia="Noto Sans CJK SC" w:hAnsi="Noto Sans CJK SC"/>
      <w:b/>
      <w:bCs/>
      <w:color w:val="8B3A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Noto Sans CJK SC" w:cs="Noto Sans CJK SC" w:eastAsia="Noto Sans CJK SC" w:hAnsi="Noto Sans CJK SC"/>
      <w:b/>
      <w:bCs/>
      <w:color w:val="3D5C5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Noto Sans CJK SC" w:cs="Noto Sans CJK SC" w:eastAsia="Noto Sans CJK SC" w:hAnsi="Noto Sans CJK SC"/>
      <w:b/>
      <w:bCs/>
      <w:color w:val="5A463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2026-09-06T05:03:27.558Z</dcterms:created>
  <dcterms:modified xsi:type="dcterms:W3CDTF">2026-09-06T05:03:27.559Z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