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Microsoft YaHei" w:cs="Microsoft YaHei" w:eastAsia="Microsoft YaHei" w:hAnsi="Microsoft YaHei"/>
          <w:b/>
          <w:bCs/>
          <w:color w:val="C45C26"/>
          <w:sz w:val="22"/>
          <w:szCs w:val="22"/>
        </w:rPr>
        <w:t xml:space="preserve">产品规划方案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1B365D"/>
          <w:sz w:val="44"/>
          <w:szCs w:val="44"/>
        </w:rPr>
        <w:t xml:space="preserve">中国股票行情与动态智能推荐平台</w:t>
      </w:r>
    </w:p>
    <w:p>
      <w:pPr>
        <w:pBdr>
          <w:bottom w:val="single" w:color="C45C26" w:sz="18" w:space="1"/>
        </w:pBdr>
        <w:spacing w:after="400"/>
      </w:pPr>
      <w:r>
        <w:rPr>
          <w:rFonts w:ascii="Microsoft YaHei" w:cs="Microsoft YaHei" w:eastAsia="Microsoft YaHei" w:hAnsi="Microsoft YaHei"/>
          <w:color w:val="0F6B6B"/>
          <w:sz w:val="22"/>
          <w:szCs w:val="22"/>
        </w:rPr>
        <w:t xml:space="preserve">Website Product &amp; Technical Plan</w:t>
      </w:r>
    </w:p>
    <w:p>
      <w:pPr>
        <w:spacing w:after="8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版本：V1.0    日期：2026年8月    密级：内部使用</w:t>
      </w:r>
    </w:p>
    <w:p>
      <w:pPr>
        <w:spacing w:after="4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覆盖范围：A股行情展示 · 新闻与技术因子 · 每日动态权重训练 · 月度/年度成长空间推荐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本规划用于指导产品、数据、算法与工程团队协同建设一个「行情展示 + 多源研究评分 + 中长期动态推荐」的中国股票网站。核心不是简单复刻行情终端，而是把历史行情、实时新闻、技术参数与基本面成长阶段，每日重训成可解释的涨跌权重，并按月、按年输出成长空间排序。</w:t>
      </w:r>
    </w:p>
    <w:p>
      <w:pPr>
        <w:spacing w:after="280" w:before="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5C26"/>
          <w:sz w:val="21"/>
          <w:szCs w:val="21"/>
        </w:rPr>
        <w:t xml:space="preserve">重要定位：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在未取得中国证监会证券投资咨询业务资质前，本站对外必须定位为「数据与研究辅助工具」，不得以投资顾问名义向公众提供具体买卖建议，不得承诺收益，不得按荐股结果收费。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一、项目背景与目标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1.1 为什么做这个站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个人投资者面对的信息过载：行情、公告、研报、短视频观点相互冲突，缺少统一、可追溯的评分框架。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公开网站大多只做行情展示或静态排行，缺少「每日重训权重 + 成长阶段 + 中长期空间」的闭环。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新闻情绪与技术面短期有效，但单独使用容易追涨杀跌；需要与基本面成长质量和产业空间绑定。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月度、年度推荐适合中长期持有逻辑，避免把日频噪声包装成长线结论。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1.2 产品目标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做全市场可用的中国股票行情与个股档案中心（沪深京 A 股为主，预留港股通标的）。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把历史K线、财务、资金流、新闻情绪、技术指标统一成可解释的多因子评分。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每日收盘后自动训练/更新涨跌权重，输出当日市场状态与个股短中期评分。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按成长阶段识别公司所处生命周期，评估中长期成长空间，形成月度池与年度池。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全程可追溯：每条推荐能展开到因子贡献、新闻依据、财务依据与模型版本。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1.3 成功标准（上线后 6 个月）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8"/>
        <w:gridCol w:w="3200"/>
      </w:tblGrid>
      <w:tr>
        <w:trPr>
          <w:tblHeader/>
        </w:trP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日活覆盖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独立访问用户中查看行情/个股页的人数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稳定日活，核心页停留 &gt; 2 分钟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数据完整率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交易日全市场行情、财务、新闻入库成功率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≥ 99.5%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模型可运行率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交易日收盘后权重训练成功并发布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≥ 98%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解释完整率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月/年推荐个股可打开因子与新闻依据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回测披露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月度/年度池相对基准的历史回测公开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上线即发布，每月更新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合规零事故</w:t>
            </w:r>
          </w:p>
        </w:tc>
        <w:tc>
          <w:tcPr>
            <w:tcW w:type="dxa" w:w="42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无未授权投顾宣传、无收益承诺</w:t>
            </w:r>
          </w:p>
        </w:tc>
        <w:tc>
          <w:tcPr>
            <w:tcW w:type="dxa" w:w="3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 次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二、合规边界（必须先定）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是本项目能否公开上线的前提，而不是附录。中国《证券法》规定，从事证券投资咨询服务业务须经国务院证券监督管理机构核准。向公众提供涉及具体证券品种的投资分析、预测、选择建议、买卖时机建议，并直接或间接获取经济利益，通常被认定为证券投资顾问业务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2.1 对外话术与产品形态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允许：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行情展示、指标计算、历史回测、新闻聚合、因子得分、成长阶段标签、研究观察名单。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谨慎：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「推荐」「看好」「建议配置」等词必须同时出现免责声明，并改为「评分靠前 / 观察池 / 研究排序」。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禁止：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具体买卖价位、目标价保证、跟买协议、按荐股收费、私下微信荐股、收益承诺、内幕或传闻作为依据。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全站页脚、推荐页、分享卡片必须有统一风险提示：市场有风险，评分不构成投资建议；过往回测不代表未来表现。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如未来要做成真正的投顾/组合建议产品，需先取得证券投资咨询资质，或与持牌机构合作，由持牌人员出具意见。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2.2 数据与内容合规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行情与财务数据需有合法授权或可公开使用的接口协议，避免长期依赖不稳定爬虫作为生产主源。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新闻需保留来源链接与发布时间，不做 titlegates 式改写误导。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模型不得使用未公开重大信息；公告须以交易所/指定媒体为准。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用户自选、自建组合属于用户行为，平台只提供计算工具，不代客决策。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三、目标用户与使用场景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核心诉求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产品怎么服务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进阶个人投资者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看盘 + 找中长期标的，怕被短线噪声带跑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行情 + 成长阶段 + 月/年观察池 + 解释面板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基本面研究者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把财务、产业、新闻放在一张图里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个股档案、产业图谱、新闻情绪时间轴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量化/技术爱好者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要因子、回测、权重变化，不要黑箱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每日权重公告、因子贡献、模型版本日志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行业观察者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看板块轮动与政策冲击</w:t>
            </w:r>
          </w:p>
        </w:tc>
        <w:tc>
          <w:tcPr>
            <w:tcW w:type="dxa" w:w="37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板块热度、政策新闻映射、行业成长空间榜</w:t>
            </w:r>
          </w:p>
        </w:tc>
      </w:tr>
    </w:tbl>
    <w:p>
      <w:pPr>
        <w:spacing w:after="160"/>
      </w:pP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第一阶段不做高频交易终端，不做 Level-2 超低延迟盘口竞赛。实时体验以「秒级快照 + 分钟K」为主，研究体验以「日频模型 + 月年池」为主。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四、产品功能规划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4.1 行情中心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指数：上证综指、深证成指、创业板指、科创50、北证50、沪深300、中证500、中证1000、微盘等。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市场：沪市、深市、北交所；板块：申万一级/二级、概念题材、行业 ETF 对照。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列表字段：最新价、涨跌幅、成交额、换手、量比、市盈率(TTM)、市净率、总市值、流通市值、所属行业。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K线：分时、5/15/30/60分钟、日/周/月；前复权/后复权/不复权；叠加均线、成交量、MACD、KDJ、RSI、BOLL。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资金与情绪辅助：主力净流入（如数据源支持）、北向资金、涨跌停统计、涨跌家数、两市成交额。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交易日历、停复牌、涨跌停、退市风险警示（ST/*ST）、科创/创业板特殊机制提示。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4.2 个股档案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公司概览：主营、实控人、上市日期、所属赛道、成长阶段标签、中长期空间评级。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财务：营收/净利同比、毛利率、ROE、经营现金流、资产负债、季度趋势图。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估值：PE/PB/PS/PEG、历史分位点、相对行业分位。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技术面板：关键均线多空、趋势强度 ADX、波动率、换手拥挤度。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新闻与公告时间轴：交易所公告优先，媒体新闻次之，每条带情绪分与事件类型。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评分拆解：当日短线分、月度成长分、年度空间分，以及因子贡献条形图。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4.3 新闻与事件中心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来源分层：交易所公告 / 公司新闻 / 行业政策 / 宏观数据 / 市场评论。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自动抽取：涉及股票代码、事件类型（业绩、回购、减持、订单、处罚、政策）、情感极性。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去重与聚类：同一事件多源报道合并为一条事件卡片。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冲击标记：对「可能改变中长期空间假设」的新闻单独打标，触发个股权重临时衰减或增强。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4.4 智能观察与推荐（对外名称建议）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对内可叫「推荐引擎」，对外页面建议用「研究观察池 / 动态评分榜」，降低投顾问责风险。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19"/>
        <w:gridCol w:w="4819"/>
      </w:tblGrid>
      <w:tr>
        <w:trPr>
          <w:tblHeader/>
        </w:trP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产品模块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用户看到什么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市场状态仪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每个交易日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多空倾向、拥挤度、风格（大小盘/成长价值）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短线评分榜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每个交易日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技术+新闻驱动的涨跌权重排序，强调高噪声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月度观察池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每月第一个交易周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成长质量 + 趋势确认后的 20–50 只名单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年度观察池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每季度复核，年底重做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中长期空间为主的 15–30 只名单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我的对照</w:t>
            </w:r>
          </w:p>
        </w:tc>
        <w:tc>
          <w:tcPr>
            <w:tcW w:type="dxa" w:w="2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随时</w:t>
            </w:r>
          </w:p>
        </w:tc>
        <w:tc>
          <w:tcPr>
            <w:tcW w:type="dxa" w:w="48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自选股评分变化、是否仍在月/年池、权重漂移提醒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五、智能引擎：每日权重、成长阶段、月年计算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这是本站与普通行情站的差异点。建议把引擎拆成四层，避免一个大模型包打天下、无法解释。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5.1 四层评分结构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612"/>
        <w:gridCol w:w="2413"/>
      </w:tblGrid>
      <w:tr>
        <w:trPr>
          <w:tblHeader/>
        </w:trP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解决什么问题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主要输入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L1 技术与微观结构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短周期强弱与拥挤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价量、均线、动量、波动、换手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技术分 T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L2 新闻与事件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增量信息与情绪冲击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公告、新闻、政策、分析师修订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事件分 N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L3 基本面与成长阶段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公司处在哪一段生命周期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财务增速、质量、资本开支、份额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阶段标签 + 质量分 F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L4 中长期空间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未来 1–3 年能长多大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行业空间、渗透率、政策、估值约束</w:t>
            </w:r>
          </w:p>
        </w:tc>
        <w:tc>
          <w:tcPr>
            <w:tcW w:type="dxa" w:w="24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空间分 S</w:t>
            </w:r>
          </w:p>
        </w:tc>
      </w:tr>
    </w:tbl>
    <w:p>
      <w:pPr>
        <w:spacing w:after="160"/>
      </w:pP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合成不是简单相加。日频「涨跌权重」主要服务短中期排序；月度、年度名单必须提高 L3/L4 的权重，并限制 L1/L2 的决定权，防止把热点股直接送进年度池。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5.2 每日动态权重训练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每个交易日收盘后（建议 16:00–20:00 完成）执行一次「权重更新作业」，而不是盘中频繁改长期结论。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训练目标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短线目标：预测下一交易日 / 未来 5 日超额收益的方向与强度（用于 T、N 权重）。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中线目标：预测未来 20 个交易日相对行业的超额（用于月度池预筛选）。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约束目标：换手不要过高、避免过度暴露单一行业、对 ST 与财务造假风险一票否决。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权重更新方法（建议组合，而不是只上深度学习）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因子标准化：截面 z-score 或分位数，行业内中性化，减少板块暴涨暴跌对全体权重的污染。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有效性监控：滚动 60/120 日 IC、ICIR、多空分组收益。失效因子自动降权，不是人工偶尔调一次。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动态加权：用滚动回归、RankIC 加权或 LightGBM 特征重要性，生成当日因子权重向量 W_d。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市场状态调节：用市场级技术状态（趋势、波动、拥挤）把风格从「动量」切到「质量/低波」。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新闻冲击修正：高置信度重大事件对个股施加衰减系数或增强系数，有效期 1–10 个交易日。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版本固化：每天生成 model_version、W_d、样本区间、剔除规则，写入模型登记册，可供页面展示。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建议纳入的技术参数（L1）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19"/>
        <w:gridCol w:w="3619"/>
      </w:tblGrid>
      <w:tr>
        <w:trPr>
          <w:tblHeader/>
        </w:trP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参数示例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趋势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MA5/10/20/60 多空排列、ADX、均线斜率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判断趋势是否成立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动量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20日涨跌幅、价格乖离率、创新高天数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识别惯性与超买超卖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振荡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MACD、KDJ、RSI、BOLL 带宽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短线拐点与波动收缩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量价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换手乖离、量比、量价相关、缩量天数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识别放量真突破或顶部拥挤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20/60日波动率、最大回撤、涨跌停距离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控制追高与流动性风险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新闻如何进入权重（L2）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文本清洗 → 公司/行业实体识别 → 事件分类 → 情感与强度打分 → 映射到代码。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公告权重大于自媒体；监管处罚、业绩爆雷、实控人风险对中长期分直接降档。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政策利好作用于行业层，再按公司弹性（市值、产能、在手订单）分配到个股。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同一事件重复报道不叠加计分，只更新置信度与最新时间。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5.3 成长阶段识别（L3）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「成长段」不要只看今年净利润同比。建议用生命周期框架给每家公司打阶段，并允许一年内最多调整两次，避免财报季标签乱跳。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19"/>
        <w:gridCol w:w="3419"/>
      </w:tblGrid>
      <w:tr>
        <w:trPr>
          <w:tblHeader/>
        </w:trP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典型特征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对推荐的含义</w:t>
            </w:r>
          </w:p>
        </w:tc>
      </w:tr>
      <w:t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导入/培育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收入基数小、持续亏损或微利、研发/资本开支高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只进主题观察，不进年度核心池</w:t>
            </w:r>
          </w:p>
        </w:tc>
      </w:tr>
      <w:t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加速成长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收入与利润连续高增、份额提升、现金流改善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月度/年度池的主力候选</w:t>
            </w:r>
          </w:p>
        </w:tc>
      </w:tr>
      <w:t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稳健成长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增速回落但仍高于行业、盈利质量好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适合年度池的压舱标的</w:t>
            </w:r>
          </w:p>
        </w:tc>
      </w:tr>
      <w:t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成熟现金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低增速、高分红、资本开支下降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一般不作为成长空间推荐</w:t>
            </w:r>
          </w:p>
        </w:tc>
      </w:tr>
      <w:tr>
        <w:tc>
          <w:tcPr>
            <w:tcW w:type="dxa" w:w="20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衰退/出清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份额下滑、减值与商誉风险、主业萎缩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默认剔除，除非重组证据充分</w:t>
            </w:r>
          </w:p>
        </w:tc>
      </w:tr>
    </w:tbl>
    <w:p>
      <w:pPr>
        <w:spacing w:after="160"/>
      </w:pP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阶段判定输入建议：过去 8 个季度营收/扣非净利复合增速、ROE 与其趋势、经营现金流/净利润、资本开支占营收、毛利率稳定性、行业空间是否仍在扩张、以及分析师预期修正方向。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5.4 中长期成长空间（L4）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空间分回答的是：如果公司执行顺利，未来 12–36 个月的收入与利润天花板在哪里，现在的估值有没有透支。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行业层：政策方向、渗透率、进出口替代、资本开支周期、竞争格局（CR3/CR5）。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公司层：产品结构、客户集中度、产能爬坡、在手订单、海外扩张、治理与商誉。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估值约束：用 PEG、历史 PE 分位、相对行业溢价，避免「空间很大但价格已透支」。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质量约束：扣非质量、应收账款与存货异常、经营现金流持续为负则降低空间分。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空间分更新频率：常规每月，重大产业政策或公司战略变更时触发临时重算。不要每天改年度空间结论。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5.5 日、月、年三套名单如何计算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每日涨跌权重（短中期，不对外称「推荐」）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Score_day = wT(state) * T + wN(state) * N + wF * F_short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其中 wT、wN 随市场状态变化：趋势市提高技术与动量，震荡市提高质量与低拥挤。F_short 只用最近两季的基本面变化，避免把长线逻辑塞进日榜。日榜顶部应显示「高波动、高换手可能」，并默认过滤 ST、次新过热、财务异常。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月度观察池（核心对外产品之一）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股票池：剔除 ST、上市不足 6 个月（可配置）、日均成交过低、审计意见异常、数据缺失严重。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硬条件：成长阶段属于加速成长或稳健成长；L4 空间分不低于阈值；最近一期没有重大违法违规。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综合分：Score_month = 0.15*T_20d + 0.15*N_20d + 0.35*F + 0.35*S（系数由回测校准，页面展示当前版本）。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组合约束：单一申万一级行业不超过 25%；市值分层（大/中/小）都有上限，避免全是微盘主题。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容量：20–50 只。每月第一个完整交易周发布，月中只做「风险剔除」，不做大规模换血。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跟踪：公布月初名单、月末收益、相对沪深300与中证800的超额、最大回撤、换手。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B365D"/>
          <w:sz w:val="22"/>
          <w:szCs w:val="22"/>
        </w:rPr>
        <w:t xml:space="preserve">年度观察池（中长期主产品）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以 L3+L4 为主：Score_year = 0.10*趋势稳定性 + 0.40*F + 0.50*S。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要求连续成长证据：至少 2 年收入或利润质量可验证，或赛道渗透率仍处早期且公司已有份额。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估值纪律：空间分再高，若 PE 处于自身 10 年 90% 分位以上，只能进「高预期观察」子榜，不进核心池。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容量：15–30 只。每年 12 月重做，每季度复核一次，只剔除逻辑破坏项（造假、主业出售、政策反转）。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年度计算不是把 12 个月日榜平均，而是用年度基本面路径 + 空间假设的情景分析（基准/乐观/悲观）。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5.6 可解释性（必须做成产品，而不是技术附录）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每只入池个股提供「三句话结论 + 因子贡献图 + 关键新闻/财报条目」。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展示权重相对上月的变化：哪些因子升权、哪些降权、市场状态如何切换。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失败案例复盘区：上月观察池中亏损最多的标的，写清模型看错了什么。这能建立信任。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六、数据体系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6.1 数据分层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9"/>
        <w:gridCol w:w="4219"/>
      </w:tblGrid>
      <w:tr>
        <w:trPr>
          <w:tblHeader/>
        </w:trP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建议来源策略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主行情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日K、分钟K、分时快照、指数、停复牌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生产环境用稳定商业/正规 API；开发期可用 Tushare/AkShare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基本面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财报、指标、股本、分红、公告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Tushare Pro / 商业财务库 + 交易所披露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资金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北向、两融、大单资金流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正规数据商，免费源仅作对照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新闻事件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公告、财经新闻、政策稿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交易所、央企媒体、持牌财经媒体 RSS/API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衍生</w:t>
            </w:r>
          </w:p>
        </w:tc>
        <w:tc>
          <w:tcPr>
            <w:tcW w:type="dxa" w:w="36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技术指标、情绪分、阶段标签、空间分</w:t>
            </w:r>
          </w:p>
        </w:tc>
        <w:tc>
          <w:tcPr>
            <w:tcW w:type="dxa" w:w="4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自建计算层，结果落库可复现</w:t>
            </w:r>
          </w:p>
        </w:tc>
      </w:tr>
    </w:tbl>
    <w:p>
      <w:pPr>
        <w:spacing w:after="160"/>
      </w:pP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工程原则：开发与演示可用 AkShare、Tushare、Baostock、新浪/腾讯公共接口；正式生产不要把网页爬虫当唯一主源。东方财富等站点反爬趋严，免费源适合研究，不适合对用户承诺的实时服务。实时行情以秒级快照即可，真正的 Level-2 成本高且牌照要求更复杂。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6.2 核心数据表（逻辑模型）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sec_master：代码、名称、市场、行业、上市日、状态、是否 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md_daily / md_min：OHLCV、复权因子、换手、量比。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fin_period：报告期财务与质量指标。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news_raw / news_event：原文、来源、实体、情绪、事件类型。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factor_daily：标准化后的全部因子值。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weight_daily：当日因子权重向量与市场状态。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score_daily / pool_month / pool_year：对外展示用的固化结果。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model_registry：版本、样本、特征、回测摘要、上线人。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6.3 数据质量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复权正确、分红送转日校验、停牌日不参与训练。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财务用最新公告更正后的数据，追溯调整要保留版本。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新闻延迟监控：公告入库超过 15 分钟告警。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交叉校验：同一标的两家数据源价格偏差超阈值则冻结该标的评分。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七、网站信息架构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7.1 页面结构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首页：指数条、市场状态仪、成交与涨跌统计、今日评分变化最大个股、月度池摘要、风险提示。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行情：市场列表、板块、指数、排行（涨跌幅/成交额/换手/评分）。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个股页：报价 + K线 + 四层评分 + 财务 + 新闻时间轴 + 是否在月/年池。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观察池：月度池、年度池、历史期次、回测曲线、调入调出记录。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方法说明：因子定义、权重更新规则、回测假设、免责声明。这是信任页，不能藏。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新闻：按股票/行业/事件类型筛选。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用户中心：自选、对比、评分订阅（邮件/站内），不做代客下单。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7.2 交互原则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先给结论，再给拆解。个股页顶部 3 秒内能看懂：阶段、月分、年分、主要风险。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红色绿色遵循内地习惯，但无障碍模式提供图案区分。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移动端优先个股与观察池；复杂回测放在桌面端。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所有「池」页面默认展开免责声明折叠条，分享卡片自带同样声明。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八、技术架构建议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8.1 总体分层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接入层：行情/财务/新闻采集 Worker，按源隔离，失败可降级。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存储层：关系库（元数据、财务、评分）+ 时序库（K线）+ 对象存储（公告原文）+ 缓存。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计算层：指标计算、NLP、日终训练、回测。建议与 Web 服务隔离，用任务队列。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服务层：行情 API、个股 API、评分 API、用户 API。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展示层：Web（Next.js 或同等 SSR）+ 可选小程序后期再做。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8.2 技术选型参考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9"/>
        <w:gridCol w:w="4419"/>
      </w:tblGrid>
      <w:tr>
        <w:trPr>
          <w:tblHeader/>
        </w:trP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前端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Next.js + ECharts/TradingView轻量图表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SSR 利于个股 SEO 与分享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后端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Python FastAPI + Node BFF（可选）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研究与训练以 Python 为主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任务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Airflow 或 Prefect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日终训练、月年换仓必须可编排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数据库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PostgreSQL + Timescale/ClickHouse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点查用 PG，海量K线可用分析库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缓存/推送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Redis + WebSocket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首页指数与自选快照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模型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先线性/树模型，后深度学习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可解释优先于刷分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NLP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中文金融领域模型 + 规则词典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公告分类先做准，再做情感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部署</w:t>
            </w:r>
          </w:p>
        </w:tc>
        <w:tc>
          <w:tcPr>
            <w:tcW w:type="dxa" w:w="3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容器 + 对象存储 + 国内云</w:t>
            </w:r>
          </w:p>
        </w:tc>
        <w:tc>
          <w:tcPr>
            <w:tcW w:type="dxa" w:w="4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行情作业与 Web 分集群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0F6B6B"/>
          <w:sz w:val="26"/>
          <w:szCs w:val="26"/>
        </w:rPr>
        <w:t xml:space="preserve">8.3 日终作业时间表（交易日）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作业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15:05–15:30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收盘行情与停复牌核对入库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15:30–16:30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计算技术因子、资金因子，生成市场状态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16:30–18:00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新闻/公告增量处理，更新事件分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18:00–19:30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滚动训练日权重，生成 Score_day 与解释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19:30–20:30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质量检查、回测快照、发布到生产缓存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20:30 后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推送自选异动与模型版本日志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每月首周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重算月度池，生成调仓说明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每季末月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复核年度池，只做逻辑破坏项剔除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九、模型治理与回测规范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所有对外名单必须能复现：同一版本号 + 同一数据切片 = 同一结果。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回测要扣除近似交易成本（印花税、佣金、冲击成本简化假设），并写明假设。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避免未来函数：财务用实际披露日对齐，不能用报告期结束后立刻知道的终值。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样本外验证：至少留出最近 1 年不参与调参，作为发布前检验。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失效熔断：月度池相对基准连续 3 个月显著落后且回撤超阈值，自动降为「研究观察」，并在首页提示。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人工覆盖：允许研究同事否决某只入池，但必须写原因并留下审计日志。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十、非功能需求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性能：首页首屏 &lt; 2s；个股行情接口 P95 &lt; 300ms；K线切换流畅。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可用：交易日采集成功率 ≥ 99.5%；模型发布失败自动沿用上一有效版本并告警。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安全：接口鉴权、防爬、用户数据加密、操作审计。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合规展示：任何评分接口返回都带 disclaimer 字段，前端强制渲染。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可观测：采集延迟、因子空值率、IC 漂移、新闻实体识别准确率看板。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十一、实施路线图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38"/>
      </w:tblGrid>
      <w:tr>
        <w:trPr>
          <w:tblHeader/>
        </w:trP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 骨架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4–6 周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行情列表、个股K线、基础财务、用户自选、免责声明体系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 研究层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6–8 周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技术因子、新闻入库与情绪、个股四层评分雏形、方法说明页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 日权重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4–6 周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日终训练流水线、权重公告、短线评分榜、模型版本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P3 月年池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 周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成长阶段、空间分、月度/年度观察池、回测与调入调出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P4 打磨</w:t>
            </w:r>
          </w:p>
        </w:tc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持续</w:t>
            </w:r>
          </w:p>
        </w:tc>
        <w:tc>
          <w:tcPr>
            <w:tcW w:type="dxa" w:w="60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解释卡片、失败复盘、移动端、告警、数据源升级为生产级</w:t>
            </w:r>
          </w:p>
        </w:tc>
      </w:tr>
    </w:tbl>
    <w:p>
      <w:pPr>
        <w:spacing w:after="160"/>
      </w:pP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建议先上「可解释的研究站」，再上「自动名单」。没有方法说明和回测披露的推荐页，不要公开发布。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十二、团队与分工（最小配置）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产品/合规各 1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信息架构、话术、免责、观察池规则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数据工程 1–2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采集、清洗、复权、任务调度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量化研究 1–2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因子、权重、成长阶段、回测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NLP 0.5–1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公告新闻事件抽取（前期可兼职）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全栈 2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网站、个股页、图表、账户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运维/值班（兼）</w:t>
            </w:r>
          </w:p>
        </w:tc>
        <w:tc>
          <w:tcPr>
            <w:tcW w:type="dxa" w:w="68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交易日作业监控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十三、商业模式建议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在无投顾牌照前，变现必须与「具体荐股收费」隔离。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免费：行情、基础K线、延迟评分、方法说明。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会员：完整因子拆解、历史观察池、回测下载、自选预警、年度空间报告。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B 端：把数据 API 与评分 API 卖给研究团队，合同写明不构成投资建议。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不要做：跟单、模拟盘升级实盘导流到地下工作室、按收益分成。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十四、主要风险与对策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9"/>
        <w:gridCol w:w="6419"/>
      </w:tblGrid>
      <w:tr>
        <w:trPr>
          <w:tblHeader/>
        </w:trP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对策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无资质被认定为非法荐股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对外命名去投顾化；不按个股建议收费；显著免责；必要时与持牌机构合作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免费数据源被封导致停摆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主备双源；生产切到授权 API；缓存上一份有效行情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模型过拟合热点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行业/市值约束；样本外检验；月年池限制短线因子权重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新闻误判导致错误加减分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公告优先；多源交叉；低置信度不入权；人工抽检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用户把观察池当成保本名单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展示历史回撤与失败案例；禁止收益承诺话术</w:t>
            </w:r>
          </w:p>
        </w:tc>
      </w:tr>
      <w:tr>
        <w:tc>
          <w:tcPr>
            <w:tcW w:type="dxa" w:w="32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财务未来函数</w:t>
            </w:r>
          </w:p>
        </w:tc>
        <w:tc>
          <w:tcPr>
            <w:tcW w:type="dxa" w:w="641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按披露日对齐；财报更正保留版本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十五、上线清单（发布门禁）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全站免责声明、观察池页声明、分享卡片声明三处一致。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方法说明页上线，包含因子、权重、回测假设。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至少一个完整交易月的日终作业演练成功。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月度池有历史回测图，不是只有当前名单。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ST、停牌、数据缺失个股不会进入对外名单。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模型版本号可在页面查到。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投诉与内容纠错入口可用。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十六、建议的对外文案框架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首页主标题示例：中国股票数据与中长期研究评分工具。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副标题示例：把行情、财务、新闻与技术指标，变成可拆解的每日权重和月年观察池。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观察池按钮示例：查看本月研究观察池（不构成投资建议）。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避免使用：稳赚、必涨、内幕、跟庄、老师带单、今日买入。</w:t>
      </w: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附录 A  日 / 月 / 年 计算对照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3"/>
        <w:gridCol w:w="2613"/>
        <w:gridCol w:w="2612"/>
      </w:tblGrid>
      <w:tr>
        <w:trPr>
          <w:tblHeader/>
        </w:trP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日评分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月度观察池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年度观察池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目的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描述短中期相对强弱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 个月研究关注名单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12 个月成长空间名单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主驱动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技术 + 新闻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成长质量 + 空间 + 趋势确认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空间 + 成长阶段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更新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每个交易日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每月一次，月中只剔除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每年重做，季度复核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容量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全市场排序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20–50 只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15–30 只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短线因子权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高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低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W w:type="dxa" w:w="1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对外称呼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动态评分</w:t>
            </w:r>
          </w:p>
        </w:tc>
        <w:tc>
          <w:tcPr>
            <w:tcW w:type="dxa" w:w="26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月度观察池</w:t>
            </w:r>
          </w:p>
        </w:tc>
        <w:tc>
          <w:tcPr>
            <w:tcW w:type="dxa" w:w="26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EF3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年度观察池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B365D" w:sz="12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附录 B  成长空间评分的简化口径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可先用可计算代理，再逐步引入人工产业研究：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行业空间代理：过去 3 年行业收入复合增速 + 政策方向分 + 竞争格局分。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公司弹性代理：份额变化、资本开支增速、研发占收比、海外收入占比变化。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兑现能力代理：经营现金流、应收账款周转、存货周转、扣非净利质量。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估值约束：PE/PB 历史分位、PEG、相对行业溢价。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一票否决：财务造假线索、实控人重大风险、主业丧失、连续审计问题。</w:t>
      </w:r>
    </w:p>
    <w:p>
      <w:pPr>
        <w:spacing w:after="200"/>
      </w:pPr>
    </w:p>
    <w:p>
      <w:pPr>
        <w:spacing w:after="120" w:before="20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A5568"/>
          <w:sz w:val="21"/>
          <w:szCs w:val="21"/>
        </w:rPr>
        <w:t xml:space="preserve">—— 文档结束 ——</w:t>
      </w:r>
    </w:p>
    <w:p>
      <w:pPr>
        <w:spacing w:after="12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A5568"/>
          <w:sz w:val="19"/>
          <w:szCs w:val="19"/>
        </w:rPr>
        <w:t xml:space="preserve">下一步可将本规划拆成：产品原型图、数据字典、因子说明书、日终任务 DAG 四份执行文档。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6" w:space="6"/>
      </w:pBdr>
      <w:spacing w:before="80"/>
      <w:jc w:val="right"/>
    </w:pPr>
    <w:r>
      <w:rPr>
        <w:rFonts w:ascii="Microsoft YaHei" w:cs="Microsoft YaHei" w:eastAsia="Microsoft YaHei" w:hAnsi="Microsoft YaHei"/>
        <w:color w:val="4A5568"/>
        <w:sz w:val="16"/>
        <w:szCs w:val="16"/>
      </w:rPr>
      <w:t xml:space="preserve">内部规划文档  |  第 </w:t>
    </w:r>
    <w:r>
      <w:rPr>
        <w:rFonts w:ascii="Microsoft YaHei" w:cs="Microsoft YaHei" w:eastAsia="Microsoft YaHei" w:hAnsi="Microsoft YaHe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4A556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  <w:spacing w:after="80"/>
    </w:pPr>
    <w:r>
      <w:rPr>
        <w:rFonts w:ascii="Microsoft YaHei" w:cs="Microsoft YaHei" w:eastAsia="Microsoft YaHei" w:hAnsi="Microsoft YaHei"/>
        <w:color w:val="1B365D"/>
        <w:sz w:val="16"/>
        <w:szCs w:val="16"/>
      </w:rPr>
      <w:t xml:space="preserve">中国股票行情与动态智能推荐平台  ·  网站规划方案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0F6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2026-08-26T07:19:30.246Z</dcterms:created>
  <dcterms:modified xsi:type="dcterms:W3CDTF">2026-08-26T07:19:30.246Z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