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DSEasy — Project Overview</w:t>
      </w:r>
    </w:p>
    <w:p>
      <w:pPr>
        <w:jc w:val="center"/>
      </w:pPr>
      <w:r>
        <w:rPr>
          <w:i/>
          <w:sz w:val="22"/>
        </w:rPr>
        <w:t>Making visualisation of DSE-listed companies' performance easy.</w:t>
      </w:r>
    </w:p>
    <w:p>
      <w:pPr>
        <w:spacing w:before="120" w:after="40"/>
      </w:pPr>
      <w:r>
        <w:rPr>
          <w:b/>
          <w:color w:val="1F4E79"/>
          <w:sz w:val="24"/>
        </w:rPr>
        <w:t>Objective</w:t>
      </w:r>
    </w:p>
    <w:p>
      <w:pPr>
        <w:spacing w:after="40"/>
      </w:pPr>
      <w:r>
        <w:t>DSEasy is a modern web dashboard that transforms raw Dar es Salaam Stock Exchange (DSE) market data into an interactive, investor-friendly interface — surfacing trends, liquidity, and momentum at a glance for individual investors and analysts.</w:t>
      </w:r>
    </w:p>
    <w:p>
      <w:pPr>
        <w:spacing w:before="120" w:after="40"/>
      </w:pPr>
      <w:r>
        <w:rPr>
          <w:b/>
          <w:color w:val="1F4E79"/>
          <w:sz w:val="24"/>
        </w:rPr>
        <w:t>Stack</w:t>
      </w:r>
    </w:p>
    <w:p>
      <w:pPr>
        <w:pStyle w:val="ListBullet"/>
        <w:spacing w:after="20"/>
      </w:pPr>
      <w:r>
        <w:rPr>
          <w:b/>
        </w:rPr>
        <w:t xml:space="preserve">Frontend &amp; Data: </w:t>
      </w:r>
      <w:r>
        <w:t>React + TypeScript (strict), Vite, Chart.js via react-chartjs-2, Firebase Firestore.</w:t>
      </w:r>
    </w:p>
    <w:p>
      <w:pPr>
        <w:pStyle w:val="ListBullet"/>
        <w:spacing w:after="20"/>
      </w:pPr>
      <w:r>
        <w:rPr>
          <w:b/>
        </w:rPr>
        <w:t xml:space="preserve">Ingestion: </w:t>
      </w:r>
      <w:r>
        <w:t>Google Apps Script + Google Sheets pipeline feeding Firestore (trends/{symbol}/dailyClosingHistory).</w:t>
      </w:r>
    </w:p>
    <w:p>
      <w:pPr>
        <w:pStyle w:val="ListBullet"/>
        <w:spacing w:after="20"/>
      </w:pPr>
      <w:r>
        <w:rPr>
          <w:b/>
        </w:rPr>
        <w:t xml:space="preserve">Hosting: </w:t>
      </w:r>
      <w:r>
        <w:t>Vercel.</w:t>
      </w:r>
    </w:p>
    <w:p>
      <w:pPr>
        <w:spacing w:before="120" w:after="40"/>
      </w:pPr>
      <w:r>
        <w:rPr>
          <w:b/>
          <w:color w:val="1F4E79"/>
          <w:sz w:val="24"/>
        </w:rPr>
        <w:t>Core Features</w:t>
      </w:r>
    </w:p>
    <w:p>
      <w:pPr>
        <w:pStyle w:val="ListBullet"/>
        <w:spacing w:after="20"/>
      </w:pPr>
      <w:r>
        <w:t>Market overview: gainers/losers, total volume, turnover, market cap.</w:t>
      </w:r>
    </w:p>
    <w:p>
      <w:pPr>
        <w:pStyle w:val="ListBullet"/>
        <w:spacing w:after="20"/>
      </w:pPr>
      <w:r>
        <w:t>Ticker Trends: historical close prices, indicators, and toggleable overlays.</w:t>
      </w:r>
    </w:p>
    <w:p>
      <w:pPr>
        <w:pStyle w:val="ListBullet"/>
        <w:spacing w:after="20"/>
      </w:pPr>
      <w:r>
        <w:t>Daily Glance Intel: at-a-glance market summary per scrape cycle.</w:t>
      </w:r>
    </w:p>
    <w:p>
      <w:pPr>
        <w:pStyle w:val="ListBullet"/>
        <w:spacing w:after="20"/>
      </w:pPr>
      <w:r>
        <w:t>Sortable, detailed table view for granular company inspection.</w:t>
      </w:r>
    </w:p>
    <w:p>
      <w:pPr>
        <w:spacing w:before="120" w:after="40"/>
      </w:pPr>
      <w:r>
        <w:rPr>
          <w:b/>
          <w:color w:val="1F4E79"/>
          <w:sz w:val="24"/>
        </w:rPr>
        <w:t>Roadmap</w:t>
      </w:r>
    </w:p>
    <w:p>
      <w:pPr>
        <w:spacing w:after="0"/>
      </w:pPr>
      <w:r>
        <w:rPr>
          <w:b/>
          <w:sz w:val="20"/>
        </w:rPr>
        <w:t>Now — Financial Logic</w:t>
      </w:r>
    </w:p>
    <w:p>
      <w:pPr>
        <w:pStyle w:val="ListBullet"/>
        <w:spacing w:after="20"/>
      </w:pPr>
      <w:r>
        <w:t>Moving Averages (SMA/EMA 20/50) overlay on Price Action.</w:t>
      </w:r>
    </w:p>
    <w:p>
      <w:pPr>
        <w:pStyle w:val="ListBullet"/>
        <w:spacing w:after="20"/>
      </w:pPr>
      <w:r>
        <w:t>RSI (14-day) indicator chart on Ticker Trends.</w:t>
      </w:r>
    </w:p>
    <w:p>
      <w:pPr>
        <w:pStyle w:val="ListBullet"/>
        <w:spacing w:after="20"/>
      </w:pPr>
      <w:r>
        <w:t>VWAP calculation and display.</w:t>
      </w:r>
    </w:p>
    <w:p>
      <w:pPr>
        <w:pStyle w:val="ListBullet"/>
        <w:spacing w:after="20"/>
      </w:pPr>
      <w:r>
        <w:t>Comparative performance: multi-symbol normalised % chart.</w:t>
      </w:r>
    </w:p>
    <w:p>
      <w:pPr>
        <w:spacing w:after="0"/>
      </w:pPr>
      <w:r>
        <w:rPr>
          <w:b/>
          <w:sz w:val="20"/>
        </w:rPr>
        <w:t>Next — UX &amp; Platform</w:t>
      </w:r>
    </w:p>
    <w:p>
      <w:pPr>
        <w:pStyle w:val="ListBullet"/>
        <w:spacing w:after="20"/>
      </w:pPr>
      <w:r>
        <w:t>Improved loading states &amp; transitions.</w:t>
      </w:r>
    </w:p>
    <w:p>
      <w:pPr>
        <w:pStyle w:val="ListBullet"/>
        <w:spacing w:after="20"/>
      </w:pPr>
      <w:r>
        <w:t>Real user authentication (retire placeholder profile).</w:t>
      </w:r>
    </w:p>
    <w:p>
      <w:pPr>
        <w:pStyle w:val="ListBullet"/>
        <w:spacing w:after="20"/>
      </w:pPr>
      <w:r>
        <w:t>PWA + push notifications; functional settings menu.</w:t>
      </w:r>
    </w:p>
    <w:p>
      <w:pPr>
        <w:pStyle w:val="ListBullet"/>
        <w:spacing w:after="20"/>
      </w:pPr>
      <w:r>
        <w:t>Consistent footer; dark-mode polish on Trends dropdown.</w:t>
      </w:r>
    </w:p>
    <w:p>
      <w:pPr>
        <w:spacing w:after="0"/>
      </w:pPr>
      <w:r>
        <w:rPr>
          <w:b/>
          <w:sz w:val="20"/>
        </w:rPr>
        <w:t>Later — Intel &amp; Infrastructure</w:t>
      </w:r>
    </w:p>
    <w:p>
      <w:pPr>
        <w:pStyle w:val="ListBullet"/>
        <w:spacing w:after="20"/>
      </w:pPr>
      <w:r>
        <w:t>Anomaly flags &amp; Market Momentum Score (-100 → +100) with sparkline.</w:t>
      </w:r>
    </w:p>
    <w:p>
      <w:pPr>
        <w:pStyle w:val="ListBullet"/>
        <w:spacing w:after="20"/>
      </w:pPr>
      <w:r>
        <w:t>Watchlist-aware personalised intel paragraphs.</w:t>
      </w:r>
    </w:p>
    <w:p>
      <w:pPr>
        <w:pStyle w:val="ListBullet"/>
        <w:spacing w:after="20"/>
      </w:pPr>
      <w:r>
        <w:t>DSE &amp; CMSA announcement scraping; AI-summarised overnight news.</w:t>
      </w:r>
    </w:p>
    <w:p>
      <w:pPr>
        <w:pStyle w:val="ListBullet"/>
        <w:spacing w:after="20"/>
      </w:pPr>
      <w:r>
        <w:t>Service-layer refactor; unit tests for financial calculations; Level 2 insights.</w:t>
      </w:r>
    </w:p>
    <w:p>
      <w:pPr>
        <w:spacing w:before="120" w:after="40"/>
      </w:pPr>
      <w:r>
        <w:rPr>
          <w:b/>
          <w:color w:val="1F4E79"/>
          <w:sz w:val="24"/>
        </w:rPr>
        <w:t>Working Principles</w:t>
      </w:r>
    </w:p>
    <w:p>
      <w:pPr>
        <w:pStyle w:val="ListBullet"/>
        <w:spacing w:after="20"/>
      </w:pPr>
      <w:r>
        <w:t>Branch off latest master: feat/issue-N-..., fix/issue-N-..., chore/issue-N-...</w:t>
      </w:r>
    </w:p>
    <w:p>
      <w:pPr>
        <w:pStyle w:val="ListBullet"/>
        <w:spacing w:after="20"/>
      </w:pPr>
      <w:r>
        <w:t>Never push to master. Ask before squash-merging.</w:t>
      </w:r>
    </w:p>
    <w:p>
      <w:pPr>
        <w:pStyle w:val="ListBullet"/>
        <w:spacing w:after="20"/>
      </w:pPr>
      <w:r>
        <w:t>StockData field names are canonical; raw Firestore names live only in RawStockDoc.</w:t>
      </w:r>
    </w:p>
    <w:p>
      <w:pPr>
        <w:pStyle w:val="ListBullet"/>
        <w:spacing w:after="20"/>
      </w:pPr>
      <w:r>
        <w:t>One mapping point: toStockData() in useMarketQuery.ts.</w:t>
      </w:r>
    </w:p>
    <w:p>
      <w:pPr>
        <w:jc w:val="center"/>
      </w:pPr>
      <w:r>
        <w:rPr>
          <w:i/>
          <w:color w:val="808080"/>
          <w:sz w:val="18"/>
        </w:rPr>
        <w:t>ds-easy.vercel.app   •   Stay focused. Ship small. Measure the market.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