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2BF19F08" w14:textId="77777777" w:rsidR="00042C3D" w:rsidRPr="00042C3D" w:rsidRDefault="00042C3D" w:rsidP="00042C3D">
      <w:p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>The predictive model developed in Task 2 identifies clear indicators of customer delinquency that can support targeted collections actions.</w:t>
      </w:r>
    </w:p>
    <w:p w14:paraId="6F6EC58D" w14:textId="77777777" w:rsidR="00042C3D" w:rsidRPr="00042C3D" w:rsidRDefault="00042C3D" w:rsidP="00042C3D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 xml:space="preserve">Customers with </w:t>
      </w:r>
      <w:r w:rsidRPr="00042C3D">
        <w:rPr>
          <w:rFonts w:ascii="Arial" w:hAnsi="Arial" w:cs="Arial"/>
          <w:b/>
          <w:bCs/>
          <w:color w:val="000000" w:themeColor="text1"/>
          <w:lang w:val="en-IN"/>
        </w:rPr>
        <w:t>high credit utilization</w:t>
      </w:r>
      <w:r w:rsidRPr="00042C3D">
        <w:rPr>
          <w:rFonts w:ascii="Arial" w:hAnsi="Arial" w:cs="Arial"/>
          <w:color w:val="000000" w:themeColor="text1"/>
          <w:lang w:val="en-IN"/>
        </w:rPr>
        <w:t xml:space="preserve"> are significantly more likely to become delinquent, indicating financial strain.</w:t>
      </w:r>
    </w:p>
    <w:p w14:paraId="079DB5A7" w14:textId="77777777" w:rsidR="00042C3D" w:rsidRPr="00042C3D" w:rsidRDefault="00042C3D" w:rsidP="00042C3D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 xml:space="preserve">Customers with a </w:t>
      </w:r>
      <w:r w:rsidRPr="00042C3D">
        <w:rPr>
          <w:rFonts w:ascii="Arial" w:hAnsi="Arial" w:cs="Arial"/>
          <w:b/>
          <w:bCs/>
          <w:color w:val="000000" w:themeColor="text1"/>
          <w:lang w:val="en-IN"/>
        </w:rPr>
        <w:t>history of missed or late payments</w:t>
      </w:r>
      <w:r w:rsidRPr="00042C3D">
        <w:rPr>
          <w:rFonts w:ascii="Arial" w:hAnsi="Arial" w:cs="Arial"/>
          <w:color w:val="000000" w:themeColor="text1"/>
          <w:lang w:val="en-IN"/>
        </w:rPr>
        <w:t xml:space="preserve"> show a strong tendency toward repeat delinquency.</w:t>
      </w:r>
    </w:p>
    <w:p w14:paraId="484E6BDC" w14:textId="77777777" w:rsidR="00042C3D" w:rsidRPr="00042C3D" w:rsidRDefault="00042C3D" w:rsidP="00042C3D">
      <w:pPr>
        <w:numPr>
          <w:ilvl w:val="0"/>
          <w:numId w:val="10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 xml:space="preserve">Customers with </w:t>
      </w:r>
      <w:r w:rsidRPr="00042C3D">
        <w:rPr>
          <w:rFonts w:ascii="Arial" w:hAnsi="Arial" w:cs="Arial"/>
          <w:b/>
          <w:bCs/>
          <w:color w:val="000000" w:themeColor="text1"/>
          <w:lang w:val="en-IN"/>
        </w:rPr>
        <w:t>lower income or higher debt burden</w:t>
      </w:r>
      <w:r w:rsidRPr="00042C3D">
        <w:rPr>
          <w:rFonts w:ascii="Arial" w:hAnsi="Arial" w:cs="Arial"/>
          <w:color w:val="000000" w:themeColor="text1"/>
          <w:lang w:val="en-IN"/>
        </w:rPr>
        <w:t xml:space="preserve"> face increased repayment risk due to limited financial flexibility.</w:t>
      </w:r>
    </w:p>
    <w:p w14:paraId="038CA680" w14:textId="77777777" w:rsidR="00042C3D" w:rsidRPr="00042C3D" w:rsidRDefault="00042C3D" w:rsidP="00042C3D">
      <w:p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>These patterns were observed across key dataset fields such as credit utilization ratios, payment history indicators, and income-related variables.</w:t>
      </w:r>
    </w:p>
    <w:tbl>
      <w:tblPr>
        <w:tblW w:w="5006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31"/>
        <w:gridCol w:w="1484"/>
        <w:gridCol w:w="3881"/>
        <w:gridCol w:w="2214"/>
      </w:tblGrid>
      <w:tr w:rsidR="00A537D1" w:rsidRPr="00A537D1" w14:paraId="36311A05" w14:textId="77777777" w:rsidTr="00042C3D">
        <w:trPr>
          <w:trHeight w:val="306"/>
        </w:trPr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22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A537D1" w:rsidRPr="00A537D1" w14:paraId="4217145F" w14:textId="77777777" w:rsidTr="00042C3D">
        <w:trPr>
          <w:trHeight w:val="722"/>
        </w:trPr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FF5A1" w14:textId="4EA4D94E" w:rsidR="00A537D1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High credit utilization increases delinquency risk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EE3BA" w14:textId="06346C02" w:rsidR="00A537D1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using a high percentage of their available credit limit</w:t>
            </w:r>
          </w:p>
        </w:tc>
        <w:tc>
          <w:tcPr>
            <w:tcW w:w="22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31FED" w14:textId="7CCCC8E9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[</w:t>
            </w:r>
            <w:r w:rsidR="00042C3D"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Credit utilization ratio, outstanding balance</w:t>
            </w:r>
          </w:p>
        </w:tc>
        <w:tc>
          <w:tcPr>
            <w:tcW w:w="12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C9A44" w14:textId="5C1B8823" w:rsidR="00A537D1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Enables early identification and proactive outreach before missed payments</w:t>
            </w:r>
          </w:p>
        </w:tc>
      </w:tr>
      <w:tr w:rsidR="00042C3D" w:rsidRPr="00A537D1" w14:paraId="05B2E74C" w14:textId="77777777" w:rsidTr="00042C3D">
        <w:trPr>
          <w:trHeight w:val="722"/>
        </w:trPr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9CFF" w14:textId="59F1F7B6" w:rsidR="00042C3D" w:rsidRPr="00042C3D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Prior delinquency predicts future default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69210" w14:textId="3012AA34" w:rsidR="00042C3D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with previous missed or late payments</w:t>
            </w:r>
          </w:p>
        </w:tc>
        <w:tc>
          <w:tcPr>
            <w:tcW w:w="22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E6F30" w14:textId="4A8938BD" w:rsidR="00042C3D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Payment history, delinquency flags</w:t>
            </w:r>
          </w:p>
        </w:tc>
        <w:tc>
          <w:tcPr>
            <w:tcW w:w="12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C7C8C" w14:textId="145D3501" w:rsidR="00042C3D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Helps prioritize high-risk accounts for collections focus</w:t>
            </w:r>
          </w:p>
        </w:tc>
      </w:tr>
      <w:tr w:rsidR="00042C3D" w:rsidRPr="00A537D1" w14:paraId="0465B310" w14:textId="77777777" w:rsidTr="00042C3D">
        <w:trPr>
          <w:trHeight w:val="722"/>
        </w:trPr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F08EC" w14:textId="77274991" w:rsidR="00042C3D" w:rsidRPr="00042C3D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Lower income correlates with higher delinquency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5FCA8" w14:textId="4C0B422A" w:rsidR="00042C3D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with low or unstable income</w:t>
            </w:r>
          </w:p>
        </w:tc>
        <w:tc>
          <w:tcPr>
            <w:tcW w:w="22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A9856" w14:textId="4A9B7255" w:rsidR="00042C3D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Income level, debt-to-income ratio</w:t>
            </w:r>
          </w:p>
        </w:tc>
        <w:tc>
          <w:tcPr>
            <w:tcW w:w="12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31D3E" w14:textId="2BAAFA7B" w:rsidR="00042C3D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042C3D">
              <w:rPr>
                <w:rFonts w:ascii="Arial" w:hAnsi="Arial" w:cs="Arial"/>
                <w:color w:val="000000" w:themeColor="text1"/>
                <w:sz w:val="20"/>
                <w:szCs w:val="20"/>
              </w:rPr>
              <w:t>Supports tailored repayment plans and preventive interventions</w:t>
            </w:r>
          </w:p>
        </w:tc>
      </w:tr>
      <w:tr w:rsidR="00042C3D" w:rsidRPr="00A537D1" w14:paraId="349AD83D" w14:textId="77777777" w:rsidTr="00042C3D">
        <w:trPr>
          <w:trHeight w:val="48"/>
        </w:trPr>
        <w:tc>
          <w:tcPr>
            <w:tcW w:w="6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FED68" w14:textId="77777777" w:rsidR="00042C3D" w:rsidRPr="00042C3D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38C25" w14:textId="77777777" w:rsidR="00042C3D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2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4275C" w14:textId="77777777" w:rsidR="00042C3D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12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6A593" w14:textId="77777777" w:rsidR="00042C3D" w:rsidRPr="00A537D1" w:rsidRDefault="00042C3D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</w:tr>
    </w:tbl>
    <w:p w14:paraId="50978634" w14:textId="77777777" w:rsidR="00A537D1" w:rsidRPr="00A537D1" w:rsidRDefault="00A537D1">
      <w:pPr>
        <w:rPr>
          <w:rFonts w:ascii="Arial" w:hAnsi="Arial" w:cs="Arial"/>
          <w:color w:val="000000" w:themeColor="text1"/>
        </w:rPr>
      </w:pPr>
    </w:p>
    <w:p w14:paraId="72833B3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lastRenderedPageBreak/>
        <w:t>2. Recommendation Framework</w:t>
      </w:r>
    </w:p>
    <w:p w14:paraId="744EC09F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Customers with high credit utilization are significantly more likely to become delinquent compared to customers using lower proportions of their available credit.</w:t>
      </w:r>
    </w:p>
    <w:p w14:paraId="0C4099A9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pict w14:anchorId="62050083">
          <v:rect id="_x0000_i1037" style="width:0;height:1.5pt" o:hralign="center" o:hrstd="t" o:hr="t" fillcolor="#a0a0a0" stroked="f"/>
        </w:pict>
      </w:r>
    </w:p>
    <w:p w14:paraId="2553B2A7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Proposed Recommendation:</w:t>
      </w:r>
    </w:p>
    <w:p w14:paraId="16F9645F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Implement a proactive early-intervention program targeting customers whose credit utilization exceeds a defined risk threshold.</w:t>
      </w:r>
    </w:p>
    <w:p w14:paraId="788C50B9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Specific:</w:t>
      </w:r>
    </w:p>
    <w:p w14:paraId="3A01BC99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Identify customers with credit utilization above the high-risk threshold and initiate early engagement through reminders, repayment options, or temporary support measures.</w:t>
      </w:r>
    </w:p>
    <w:p w14:paraId="6FAD08EE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Measurable:</w:t>
      </w:r>
    </w:p>
    <w:p w14:paraId="5C3C7A03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Achieve a 10% reduction in delinquency rates within the targeted customer segment.</w:t>
      </w:r>
    </w:p>
    <w:p w14:paraId="1721A021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Actionable:</w:t>
      </w:r>
    </w:p>
    <w:p w14:paraId="0008E011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Use existing customer data and model outputs to flag high-risk accounts and trigger predefined collections actions.</w:t>
      </w:r>
    </w:p>
    <w:p w14:paraId="6F88A9FD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Relevant:</w:t>
      </w:r>
    </w:p>
    <w:p w14:paraId="5A4C1CDC" w14:textId="77777777" w:rsid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 xml:space="preserve">This directly supports </w:t>
      </w:r>
      <w:proofErr w:type="spellStart"/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Geldium’s</w:t>
      </w:r>
      <w:proofErr w:type="spellEnd"/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 xml:space="preserve"> goal of reducing delinquency, improving recovery rates, and lowering collection costs.</w:t>
      </w:r>
    </w:p>
    <w:p w14:paraId="7F8C8797" w14:textId="6037DDFD" w:rsid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Time-bound:</w:t>
      </w:r>
    </w:p>
    <w:p w14:paraId="746BF60B" w14:textId="3BD899AE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Implement the program within 6 months, with monthly performance monitoring.</w:t>
      </w:r>
    </w:p>
    <w:p w14:paraId="6CCB0BD7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pict w14:anchorId="74F19E31">
          <v:rect id="_x0000_i1038" style="width:0;height:1.5pt" o:hralign="center" o:hrstd="t" o:hr="t" fillcolor="#a0a0a0" stroked="f"/>
        </w:pict>
      </w:r>
    </w:p>
    <w:p w14:paraId="44921D15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lastRenderedPageBreak/>
        <w:t>Justification and Business Rationale:</w:t>
      </w:r>
    </w:p>
    <w:p w14:paraId="347290B6" w14:textId="77777777" w:rsidR="00042C3D" w:rsidRPr="00042C3D" w:rsidRDefault="00042C3D" w:rsidP="00042C3D">
      <w:pPr>
        <w:pStyle w:val="Heading1"/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</w:pPr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 xml:space="preserve">This recommendation is practical and data-driven, using information </w:t>
      </w:r>
      <w:proofErr w:type="spellStart"/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>Geldium</w:t>
      </w:r>
      <w:proofErr w:type="spellEnd"/>
      <w:r w:rsidRPr="00042C3D">
        <w:rPr>
          <w:rFonts w:ascii="Arial" w:hAnsi="Arial" w:cs="Arial"/>
          <w:b w:val="0"/>
          <w:bCs w:val="0"/>
          <w:color w:val="000000" w:themeColor="text1"/>
          <w:sz w:val="20"/>
          <w:szCs w:val="20"/>
          <w:lang w:val="en-IN"/>
        </w:rPr>
        <w:t xml:space="preserve"> already collects. By intervening before customers miss payments, the collections team can reduce defaults, improve customer outcomes, and shift from reactive recovery to preventive risk management.</w:t>
      </w:r>
    </w:p>
    <w:p w14:paraId="08E6A272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4943215B" w14:textId="77777777" w:rsidR="00042C3D" w:rsidRPr="00042C3D" w:rsidRDefault="00042C3D" w:rsidP="00042C3D">
      <w:p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b/>
          <w:bCs/>
          <w:color w:val="000000" w:themeColor="text1"/>
          <w:lang w:val="en-IN"/>
        </w:rPr>
        <w:t>Fairness and Bias Risks:</w:t>
      </w:r>
    </w:p>
    <w:p w14:paraId="2F637541" w14:textId="77777777" w:rsidR="00042C3D" w:rsidRPr="00042C3D" w:rsidRDefault="00042C3D" w:rsidP="00042C3D">
      <w:pPr>
        <w:numPr>
          <w:ilvl w:val="0"/>
          <w:numId w:val="11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>Income-related variables may unintentionally disadvantage lower-income customers if not carefully monitored.</w:t>
      </w:r>
    </w:p>
    <w:p w14:paraId="1596063F" w14:textId="77777777" w:rsidR="00042C3D" w:rsidRPr="00042C3D" w:rsidRDefault="00042C3D" w:rsidP="00042C3D">
      <w:pPr>
        <w:numPr>
          <w:ilvl w:val="0"/>
          <w:numId w:val="11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 xml:space="preserve">Customers with historical delinquency may be persistently classified as high-risk, even if recent </w:t>
      </w:r>
      <w:proofErr w:type="spellStart"/>
      <w:r w:rsidRPr="00042C3D">
        <w:rPr>
          <w:rFonts w:ascii="Arial" w:hAnsi="Arial" w:cs="Arial"/>
          <w:color w:val="000000" w:themeColor="text1"/>
          <w:lang w:val="en-IN"/>
        </w:rPr>
        <w:t>behavior</w:t>
      </w:r>
      <w:proofErr w:type="spellEnd"/>
      <w:r w:rsidRPr="00042C3D">
        <w:rPr>
          <w:rFonts w:ascii="Arial" w:hAnsi="Arial" w:cs="Arial"/>
          <w:color w:val="000000" w:themeColor="text1"/>
          <w:lang w:val="en-IN"/>
        </w:rPr>
        <w:t xml:space="preserve"> improves.</w:t>
      </w:r>
    </w:p>
    <w:p w14:paraId="377A6B3D" w14:textId="77777777" w:rsidR="00042C3D" w:rsidRPr="00042C3D" w:rsidRDefault="00042C3D" w:rsidP="00042C3D">
      <w:p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b/>
          <w:bCs/>
          <w:color w:val="000000" w:themeColor="text1"/>
          <w:lang w:val="en-IN"/>
        </w:rPr>
        <w:t>Mitigation Strategies:</w:t>
      </w:r>
    </w:p>
    <w:p w14:paraId="6E70E085" w14:textId="77777777" w:rsidR="00042C3D" w:rsidRPr="00042C3D" w:rsidRDefault="00042C3D" w:rsidP="00042C3D">
      <w:pPr>
        <w:numPr>
          <w:ilvl w:val="0"/>
          <w:numId w:val="12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>Regularly review model performance across customer groups to detect disproportionate impact.</w:t>
      </w:r>
    </w:p>
    <w:p w14:paraId="7B623497" w14:textId="77777777" w:rsidR="00042C3D" w:rsidRPr="00042C3D" w:rsidRDefault="00042C3D" w:rsidP="00042C3D">
      <w:pPr>
        <w:numPr>
          <w:ilvl w:val="0"/>
          <w:numId w:val="12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 xml:space="preserve">Incorporate recent </w:t>
      </w:r>
      <w:proofErr w:type="spellStart"/>
      <w:r w:rsidRPr="00042C3D">
        <w:rPr>
          <w:rFonts w:ascii="Arial" w:hAnsi="Arial" w:cs="Arial"/>
          <w:color w:val="000000" w:themeColor="text1"/>
          <w:lang w:val="en-IN"/>
        </w:rPr>
        <w:t>behavior</w:t>
      </w:r>
      <w:proofErr w:type="spellEnd"/>
      <w:r w:rsidRPr="00042C3D">
        <w:rPr>
          <w:rFonts w:ascii="Arial" w:hAnsi="Arial" w:cs="Arial"/>
          <w:color w:val="000000" w:themeColor="text1"/>
          <w:lang w:val="en-IN"/>
        </w:rPr>
        <w:t xml:space="preserve"> trends and allow for periodic reassessment of risk scores.</w:t>
      </w:r>
    </w:p>
    <w:p w14:paraId="018882D0" w14:textId="77777777" w:rsidR="00042C3D" w:rsidRPr="00042C3D" w:rsidRDefault="00042C3D" w:rsidP="00042C3D">
      <w:p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b/>
          <w:bCs/>
          <w:color w:val="000000" w:themeColor="text1"/>
          <w:lang w:val="en-IN"/>
        </w:rPr>
        <w:t>Explainability:</w:t>
      </w:r>
      <w:r w:rsidRPr="00042C3D">
        <w:rPr>
          <w:rFonts w:ascii="Arial" w:hAnsi="Arial" w:cs="Arial"/>
          <w:color w:val="000000" w:themeColor="text1"/>
          <w:lang w:val="en-IN"/>
        </w:rPr>
        <w:br/>
        <w:t>The model uses transparent, explainable variables such as credit usage and payment history, making it easier to explain predictions in plain language to non-technical stakeholders.</w:t>
      </w:r>
    </w:p>
    <w:p w14:paraId="6D0F2613" w14:textId="77777777" w:rsidR="00042C3D" w:rsidRPr="00042C3D" w:rsidRDefault="00042C3D" w:rsidP="00042C3D">
      <w:p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b/>
          <w:bCs/>
          <w:color w:val="000000" w:themeColor="text1"/>
          <w:lang w:val="en-IN"/>
        </w:rPr>
        <w:t>Responsible Financial Decision-Making:</w:t>
      </w:r>
      <w:r w:rsidRPr="00042C3D">
        <w:rPr>
          <w:rFonts w:ascii="Arial" w:hAnsi="Arial" w:cs="Arial"/>
          <w:color w:val="000000" w:themeColor="text1"/>
          <w:lang w:val="en-IN"/>
        </w:rPr>
        <w:br/>
        <w:t>The recommendation promotes early support and engagement rather than punitive action, supporting responsible, ethical, and customer-focused collections practices.</w:t>
      </w:r>
    </w:p>
    <w:p w14:paraId="79348FCD" w14:textId="77777777" w:rsidR="00042C3D" w:rsidRPr="00042C3D" w:rsidRDefault="00042C3D" w:rsidP="00042C3D">
      <w:p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b/>
          <w:bCs/>
          <w:color w:val="000000" w:themeColor="text1"/>
          <w:lang w:val="en-IN"/>
        </w:rPr>
        <w:t>Additional Ethical Principles:</w:t>
      </w:r>
    </w:p>
    <w:p w14:paraId="707D9C3D" w14:textId="77777777" w:rsidR="00042C3D" w:rsidRPr="00042C3D" w:rsidRDefault="00042C3D" w:rsidP="00042C3D">
      <w:pPr>
        <w:numPr>
          <w:ilvl w:val="0"/>
          <w:numId w:val="13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>Transparency in how predictions are generated</w:t>
      </w:r>
    </w:p>
    <w:p w14:paraId="1DDFB83D" w14:textId="77777777" w:rsidR="00042C3D" w:rsidRPr="00042C3D" w:rsidRDefault="00042C3D" w:rsidP="00042C3D">
      <w:pPr>
        <w:numPr>
          <w:ilvl w:val="0"/>
          <w:numId w:val="13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>Accountability through human oversight</w:t>
      </w:r>
    </w:p>
    <w:p w14:paraId="2AABBB2D" w14:textId="77777777" w:rsidR="00042C3D" w:rsidRPr="00042C3D" w:rsidRDefault="00042C3D" w:rsidP="00042C3D">
      <w:pPr>
        <w:numPr>
          <w:ilvl w:val="0"/>
          <w:numId w:val="13"/>
        </w:numPr>
        <w:rPr>
          <w:rFonts w:ascii="Arial" w:hAnsi="Arial" w:cs="Arial"/>
          <w:color w:val="000000" w:themeColor="text1"/>
          <w:lang w:val="en-IN"/>
        </w:rPr>
      </w:pPr>
      <w:r w:rsidRPr="00042C3D">
        <w:rPr>
          <w:rFonts w:ascii="Arial" w:hAnsi="Arial" w:cs="Arial"/>
          <w:color w:val="000000" w:themeColor="text1"/>
          <w:lang w:val="en-IN"/>
        </w:rPr>
        <w:t>Respect for data privacy by using only approved customer data</w:t>
      </w:r>
    </w:p>
    <w:p w14:paraId="33EC1793" w14:textId="3166A134" w:rsidR="007D72C2" w:rsidRPr="00A537D1" w:rsidRDefault="007D72C2" w:rsidP="00042C3D">
      <w:pPr>
        <w:rPr>
          <w:rFonts w:ascii="Arial" w:hAnsi="Arial" w:cs="Arial"/>
          <w:color w:val="000000" w:themeColor="text1"/>
        </w:rPr>
      </w:pPr>
    </w:p>
    <w:sectPr w:rsidR="007D72C2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567D7"/>
    <w:multiLevelType w:val="multilevel"/>
    <w:tmpl w:val="E77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12016"/>
    <w:multiLevelType w:val="multilevel"/>
    <w:tmpl w:val="228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4212E"/>
    <w:multiLevelType w:val="multilevel"/>
    <w:tmpl w:val="227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652A2"/>
    <w:multiLevelType w:val="multilevel"/>
    <w:tmpl w:val="8E9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10" w16cid:durableId="1310818044">
    <w:abstractNumId w:val="10"/>
  </w:num>
  <w:num w:numId="11" w16cid:durableId="2045209734">
    <w:abstractNumId w:val="12"/>
  </w:num>
  <w:num w:numId="12" w16cid:durableId="768089780">
    <w:abstractNumId w:val="11"/>
  </w:num>
  <w:num w:numId="13" w16cid:durableId="20707609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3D"/>
    <w:rsid w:val="0006063C"/>
    <w:rsid w:val="0015074B"/>
    <w:rsid w:val="0029639D"/>
    <w:rsid w:val="00326F90"/>
    <w:rsid w:val="007D72C2"/>
    <w:rsid w:val="008237CA"/>
    <w:rsid w:val="00A537D1"/>
    <w:rsid w:val="00AA1D8D"/>
    <w:rsid w:val="00B47730"/>
    <w:rsid w:val="00CB0664"/>
    <w:rsid w:val="00E006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dakkumalla gideon</cp:lastModifiedBy>
  <cp:revision>3</cp:revision>
  <dcterms:created xsi:type="dcterms:W3CDTF">2013-12-23T23:15:00Z</dcterms:created>
  <dcterms:modified xsi:type="dcterms:W3CDTF">2026-02-08T06:15:00Z</dcterms:modified>
  <cp:category/>
</cp:coreProperties>
</file>