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 to Reviewers</w:t>
      </w:r>
    </w:p>
    <w:p>
      <w:pPr>
        <w:pStyle w:val="Author"/>
      </w:pPr>
      <w:r>
        <w:t xml:space="preserve">Jane Doe</w:t>
      </w:r>
    </w:p>
    <w:p>
      <w:pPr>
        <w:pStyle w:val="Author"/>
      </w:pPr>
      <w:r>
        <w:t xml:space="preserve">John Smith</w:t>
      </w:r>
    </w:p>
    <w:p>
      <w:pPr>
        <w:pStyle w:val="Date"/>
      </w:pPr>
      <w:r>
        <w:t xml:space="preserve">2026-06-12</w:t>
      </w:r>
    </w:p>
    <w:p>
      <w:pPr>
        <w:pStyle w:val="FirstParagraph"/>
      </w:pPr>
      <w:r>
        <w:rPr>
          <w:b/>
          <w:bCs/>
        </w:rPr>
        <w:t xml:space="preserve">Re: Manuscript JBS-2026-0147 — </w:t>
      </w:r>
      <w:r>
        <w:rPr>
          <w:b/>
          <w:bCs/>
        </w:rPr>
        <w:t xml:space="preserve">“Effects of Spaced Practice on Long-Term Retention”</w:t>
      </w:r>
    </w:p>
    <w:p>
      <w:pPr>
        <w:pStyle w:val="BodyText"/>
      </w:pPr>
      <w:r>
        <w:rPr>
          <w:i/>
          <w:iCs/>
        </w:rPr>
        <w:t xml:space="preserve">Journal of Behavioral Science</w:t>
      </w:r>
      <w:r>
        <w:t xml:space="preserve"> · Revision 1</w:t>
      </w:r>
    </w:p>
    <w:p>
      <w:pPr>
        <w:pStyle w:val="BodyText"/>
      </w:pPr>
      <w:r>
        <w:t xml:space="preserve">Dr. Maria Keller, Action Editor</w:t>
      </w:r>
    </w:p>
    <w:p>
      <w:pPr>
        <w:pStyle w:val="BodyText"/>
      </w:pPr>
      <w:r>
        <w:t xml:space="preserve">Dear Dr. Maria Keller,</w:t>
      </w:r>
    </w:p>
    <w:p>
      <w:pPr>
        <w:pStyle w:val="BodyText"/>
      </w:pPr>
      <w:r>
        <w:t xml:space="preserve">Thank you for the opportunity to revise our manuscript. We have addressed every</w:t>
      </w:r>
      <w:r>
        <w:t xml:space="preserve"> </w:t>
      </w:r>
      <w:r>
        <w:t xml:space="preserve">comment from you and both reviewers point-by-point below. Reviewer comments</w:t>
      </w:r>
      <w:r>
        <w:t xml:space="preserve"> </w:t>
      </w:r>
      <w:r>
        <w:t xml:space="preserve">appear in red boxes, our replies in blue boxes, verbatim text from the revised</w:t>
      </w:r>
      <w:r>
        <w:t xml:space="preserve"> </w:t>
      </w:r>
      <w:r>
        <w:t xml:space="preserve">manuscript in grey boxes, and the resulting changes in green boxes. All page</w:t>
      </w:r>
      <w:r>
        <w:t xml:space="preserve"> </w:t>
      </w:r>
      <w:r>
        <w:t xml:space="preserve">numbers refer to the revised manuscript with tracked changes.</w:t>
      </w:r>
    </w:p>
    <w:p>
      <w:pPr>
        <w:pStyle w:val="BodyText"/>
      </w:pPr>
      <w:r>
        <w:rPr>
          <w:b/>
          <w:bCs/>
        </w:rPr>
        <w:t xml:space="preserve">Summary of Changes</w:t>
      </w:r>
    </w:p>
    <w:p>
      <w:pPr>
        <w:pStyle w:val="Compact"/>
        <w:numPr>
          <w:ilvl w:val="0"/>
          <w:numId w:val="1001"/>
        </w:numPr>
      </w:pPr>
      <w:hyperlink w:anchor="cmt-E-1">
        <w:r>
          <w:rPr>
            <w:rStyle w:val="Hyperlink"/>
          </w:rPr>
          <w:t xml:space="preserve">Comment E.1</w:t>
        </w:r>
      </w:hyperlink>
      <w:r>
        <w:t xml:space="preserve"> </w:t>
      </w:r>
      <w:r>
        <w:t xml:space="preserve">✓ — data and analysis scripts made openly available</w:t>
      </w:r>
    </w:p>
    <w:p>
      <w:pPr>
        <w:pStyle w:val="Compact"/>
        <w:numPr>
          <w:ilvl w:val="0"/>
          <w:numId w:val="1001"/>
        </w:numPr>
      </w:pPr>
      <w:hyperlink w:anchor="cmt-1-1">
        <w:r>
          <w:rPr>
            <w:rStyle w:val="Hyperlink"/>
          </w:rPr>
          <w:t xml:space="preserve">Comment 1.1</w:t>
        </w:r>
      </w:hyperlink>
      <w:r>
        <w:t xml:space="preserve"> </w:t>
      </w:r>
      <w:r>
        <w:t xml:space="preserve">✓ — sample size justified by an a priori power analysis</w:t>
      </w:r>
    </w:p>
    <w:p>
      <w:pPr>
        <w:pStyle w:val="Compact"/>
        <w:numPr>
          <w:ilvl w:val="0"/>
          <w:numId w:val="1001"/>
        </w:numPr>
      </w:pPr>
      <w:hyperlink w:anchor="cmt-1-2">
        <w:r>
          <w:rPr>
            <w:rStyle w:val="Hyperlink"/>
          </w:rPr>
          <w:t xml:space="preserve">Comment 1.2</w:t>
        </w:r>
      </w:hyperlink>
      <w:r>
        <w:t xml:space="preserve"> </w:t>
      </w:r>
      <w:r>
        <w:t xml:space="preserve">(partially addressed) — central effect holds across three analytic choices</w:t>
      </w:r>
    </w:p>
    <w:p>
      <w:pPr>
        <w:pStyle w:val="Compact"/>
        <w:numPr>
          <w:ilvl w:val="0"/>
          <w:numId w:val="1001"/>
        </w:numPr>
      </w:pPr>
      <w:hyperlink w:anchor="cmt-2-1">
        <w:r>
          <w:rPr>
            <w:rStyle w:val="Hyperlink"/>
          </w:rPr>
          <w:t xml:space="preserve">Comment 2.1</w:t>
        </w:r>
      </w:hyperlink>
      <w:r>
        <w:t xml:space="preserve"> </w:t>
      </w:r>
      <w:r>
        <w:t xml:space="preserve">✓ — effect situated relative to prior estimates</w:t>
      </w:r>
    </w:p>
    <w:bookmarkStart w:id="21" w:name="editor"/>
    <w:p>
      <w:pPr>
        <w:pStyle w:val="Heading1"/>
      </w:pPr>
      <w:r>
        <w:t xml:space="preserve">Editor</w:t>
      </w:r>
    </w:p>
    <w:p>
      <w:pPr>
        <w:pStyle w:val="ResponseLabel"/>
      </w:pPr>
      <w:r>
        <w:rPr>
          <w:b/>
          <w:bCs/>
        </w:rPr>
        <w:t xml:space="preserve">Comment:</w:t>
      </w:r>
    </w:p>
    <w:p>
      <w:pPr>
        <w:pStyle w:val="ResponseComment"/>
      </w:pPr>
      <w:r>
        <w:t xml:space="preserve">Both reviewers find the question timely and the design sound. They converge,</w:t>
      </w:r>
      <w:r>
        <w:t xml:space="preserve"> </w:t>
      </w:r>
      <w:r>
        <w:t xml:space="preserve">however, on the analysis: the sample-size justification and the robustness of</w:t>
      </w:r>
      <w:r>
        <w:t xml:space="preserve"> </w:t>
      </w:r>
      <w:r>
        <w:t xml:space="preserve">the central effect both need strengthening before the paper can be accepted.</w:t>
      </w:r>
    </w:p>
    <w:p>
      <w:pPr>
        <w:pStyle w:val="ResponseLabel"/>
      </w:pPr>
      <w:r>
        <w:rPr>
          <w:b/>
          <w:bCs/>
        </w:rPr>
        <w:t xml:space="preserve">Reply:</w:t>
      </w:r>
    </w:p>
    <w:p>
      <w:pPr>
        <w:pStyle w:val="ResponseReply"/>
      </w:pPr>
      <w:r>
        <w:t xml:space="preserve">We thank the editor for handling our manuscript and for the concise synthesis</w:t>
      </w:r>
      <w:r>
        <w:t xml:space="preserve"> </w:t>
      </w:r>
      <w:r>
        <w:t xml:space="preserve">of the reviews. We have strengthened both points the reviewers raise: the</w:t>
      </w:r>
      <w:r>
        <w:t xml:space="preserve"> </w:t>
      </w:r>
      <w:r>
        <w:t xml:space="preserve">sample size is now justified by an a priori power analysis (see</w:t>
      </w:r>
      <w:r>
        <w:t xml:space="preserve"> </w:t>
      </w:r>
      <w:hyperlink w:anchor="cmt-1-1">
        <w:r>
          <w:rPr>
            <w:rStyle w:val="Hyperlink"/>
          </w:rPr>
          <w:t xml:space="preserve">Comment 1.1</w:t>
        </w:r>
      </w:hyperlink>
      <w:r>
        <w:t xml:space="preserve">), and the central effect is reported under three</w:t>
      </w:r>
      <w:r>
        <w:t xml:space="preserve"> </w:t>
      </w:r>
      <w:r>
        <w:t xml:space="preserve">analytic choices (see</w:t>
      </w:r>
      <w:r>
        <w:t xml:space="preserve"> </w:t>
      </w:r>
      <w:hyperlink w:anchor="cmt-1-2">
        <w:r>
          <w:rPr>
            <w:rStyle w:val="Hyperlink"/>
          </w:rPr>
          <w:t xml:space="preserve">Comment 1.2</w:t>
        </w:r>
      </w:hyperlink>
      <w:r>
        <w:t xml:space="preserve">).</w:t>
      </w:r>
    </w:p>
    <w:bookmarkStart w:id="20" w:name="cmt-E-1"/>
    <w:p>
      <w:pPr>
        <w:pStyle w:val="ResponseLabel"/>
      </w:pPr>
      <w:r>
        <w:rPr>
          <w:b/>
          <w:bCs/>
        </w:rPr>
        <w:t xml:space="preserve">Comment E.1</w:t>
      </w:r>
    </w:p>
    <w:p>
      <w:pPr>
        <w:pStyle w:val="ResponseComment"/>
      </w:pPr>
      <w:r>
        <w:t xml:space="preserve">Please confirm that the data and analysis scripts are available, and state</w:t>
      </w:r>
      <w:r>
        <w:t xml:space="preserve"> </w:t>
      </w:r>
      <w:r>
        <w:t xml:space="preserve">where, in line with the journal’s open-science policy.</w:t>
      </w:r>
    </w:p>
    <w:bookmarkEnd w:id="20"/>
    <w:p>
      <w:pPr>
        <w:pStyle w:val="ResponseLabel"/>
      </w:pPr>
      <w:r>
        <w:rPr>
          <w:b/>
          <w:bCs/>
        </w:rPr>
        <w:t xml:space="preserve">Reply ✓:</w:t>
      </w:r>
    </w:p>
    <w:p>
      <w:pPr>
        <w:pStyle w:val="ResponseReply"/>
      </w:pPr>
      <w:r>
        <w:t xml:space="preserve">The data and analysis scripts are openly available on the OSF (link in the</w:t>
      </w:r>
      <w:r>
        <w:t xml:space="preserve"> </w:t>
      </w:r>
      <w:r>
        <w:t xml:space="preserve">manuscript). We now state this in a Data Availability statement (p. 18).</w:t>
      </w:r>
    </w:p>
    <w:p>
      <w:r>
        <w:br w:type="page"/>
      </w:r>
    </w:p>
    <w:bookmarkEnd w:id="21"/>
    <w:bookmarkStart w:id="25" w:name="reviewer-1"/>
    <w:p>
      <w:pPr>
        <w:pStyle w:val="Heading1"/>
      </w:pPr>
      <w:r>
        <w:t xml:space="preserve">Reviewer 1</w:t>
      </w:r>
    </w:p>
    <w:bookmarkStart w:id="22" w:name="cmt-1-1"/>
    <w:p>
      <w:pPr>
        <w:pStyle w:val="ResponseLabel"/>
      </w:pPr>
      <w:r>
        <w:rPr>
          <w:b/>
          <w:bCs/>
        </w:rPr>
        <w:t xml:space="preserve">Comment 1.1</w:t>
      </w:r>
    </w:p>
    <w:p>
      <w:pPr>
        <w:pStyle w:val="ResponseComment"/>
      </w:pPr>
      <w:r>
        <w:t xml:space="preserve">The study may be underpowered. The authors report a sample of 96 participants</w:t>
      </w:r>
      <w:r>
        <w:t xml:space="preserve"> </w:t>
      </w:r>
      <w:r>
        <w:t xml:space="preserve">but give no justification for this number. Please report a power analysis or</w:t>
      </w:r>
      <w:r>
        <w:t xml:space="preserve"> </w:t>
      </w:r>
      <w:r>
        <w:t xml:space="preserve">otherwise justify the sample size.</w:t>
      </w:r>
    </w:p>
    <w:bookmarkEnd w:id="22"/>
    <w:p>
      <w:pPr>
        <w:pStyle w:val="ResponseLabel"/>
      </w:pPr>
      <w:r>
        <w:rPr>
          <w:b/>
          <w:bCs/>
        </w:rPr>
        <w:t xml:space="preserve">Reply ✓:</w:t>
      </w:r>
    </w:p>
    <w:p>
      <w:pPr>
        <w:pStyle w:val="ResponseReply"/>
      </w:pPr>
      <w:r>
        <w:t xml:space="preserve">The reviewer is right that the original submission did not justify the sample</w:t>
      </w:r>
      <w:r>
        <w:t xml:space="preserve"> </w:t>
      </w:r>
      <w:r>
        <w:t xml:space="preserve">size. We set the target sample a priori from a power analysis, which we now</w:t>
      </w:r>
      <w:r>
        <w:t xml:space="preserve"> </w:t>
      </w:r>
      <w:r>
        <w:t xml:space="preserve">report in the Method:</w:t>
      </w:r>
    </w:p>
    <w:p>
      <w:pPr>
        <w:pStyle w:val="ResponseLabel"/>
      </w:pPr>
      <w:r>
        <w:rPr>
          <w:b/>
          <w:bCs/>
        </w:rPr>
        <w:t xml:space="preserve">Manuscript (Method, p. 6):</w:t>
      </w:r>
    </w:p>
    <w:p>
      <w:pPr>
        <w:pStyle w:val="ResponseQuote"/>
      </w:pPr>
      <w:r>
        <w:t xml:space="preserve">A power analysis for the within-subjects comparison (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.05</m:t>
        </m:r>
      </m:oMath>
      <w:r>
        <w:t xml:space="preserve">, power</w:t>
      </w:r>
      <w:r>
        <w:t xml:space="preserve"> </w:t>
      </w:r>
      <m:oMath>
        <m:r>
          <m:rPr>
            <m:sty m:val="p"/>
          </m:rPr>
          <m:t>=</m:t>
        </m:r>
        <m:r>
          <m:t>.90</m:t>
        </m:r>
      </m:oMath>
      <w:r>
        <w:t xml:space="preserve">) indicated a required sample of 90 participants;</w:t>
      </w:r>
      <w:r>
        <w:t xml:space="preserve"> </w:t>
      </w:r>
      <w:r>
        <w:t xml:space="preserve">we recruited 96 to allow for exclusions.</w:t>
      </w:r>
    </w:p>
    <w:p>
      <w:pPr>
        <w:pStyle w:val="ResponseLabel"/>
      </w:pPr>
      <w:r>
        <w:rPr>
          <w:b/>
          <w:bCs/>
        </w:rPr>
        <w:t xml:space="preserve">Changes:</w:t>
      </w:r>
    </w:p>
    <w:p>
      <w:pPr>
        <w:pStyle w:val="ResponseChangesList"/>
      </w:pPr>
      <w:r>
        <w:t xml:space="preserve">• </w:t>
      </w:r>
      <w:r>
        <w:rPr>
          <w:b/>
          <w:bCs/>
        </w:rPr>
        <w:t xml:space="preserve">Method &gt; Participants</w:t>
      </w:r>
      <w:r>
        <w:t xml:space="preserve">: a priori power analysis added (p. 6)</w:t>
      </w:r>
    </w:p>
    <w:bookmarkStart w:id="23" w:name="cmt-1-2"/>
    <w:p>
      <w:pPr>
        <w:pStyle w:val="ResponseLabel"/>
      </w:pPr>
      <w:r>
        <w:rPr>
          <w:b/>
          <w:bCs/>
        </w:rPr>
        <w:t xml:space="preserve">Comment 1.2</w:t>
      </w:r>
    </w:p>
    <w:p>
      <w:pPr>
        <w:pStyle w:val="ResponseComment"/>
      </w:pPr>
      <w:r>
        <w:t xml:space="preserve">The spacing effect in Table 2 might depend on how trials are aggregated. Please</w:t>
      </w:r>
      <w:r>
        <w:t xml:space="preserve"> </w:t>
      </w:r>
      <w:r>
        <w:t xml:space="preserve">show that the effect is robust to reasonable alternative analyses.</w:t>
      </w:r>
    </w:p>
    <w:bookmarkEnd w:id="23"/>
    <w:p>
      <w:pPr>
        <w:pStyle w:val="ResponseLabel"/>
      </w:pPr>
      <w:r>
        <w:rPr>
          <w:b/>
          <w:bCs/>
        </w:rPr>
        <w:t xml:space="preserve">Reply (partially addressed):</w:t>
      </w:r>
    </w:p>
    <w:p>
      <w:pPr>
        <w:pStyle w:val="ResponseReply"/>
      </w:pPr>
      <w:r>
        <w:t xml:space="preserve">The aggregation choice deserves a check, and we agree. The spacing effect holds</w:t>
      </w:r>
      <w:r>
        <w:t xml:space="preserve"> </w:t>
      </w:r>
      <w:r>
        <w:t xml:space="preserve">across the three analytic choices we considered, summarized in</w:t>
      </w:r>
      <w:r>
        <w:t xml:space="preserve"> </w:t>
      </w:r>
      <w:hyperlink w:anchor="tbl-robustness">
        <w:r>
          <w:rPr>
            <w:rStyle w:val="Hyperlink"/>
          </w:rPr>
          <w:t xml:space="preserve">Response Table 1</w:t>
        </w:r>
      </w:hyperlink>
      <w:r>
        <w:t xml:space="preserve">.</w:t>
      </w:r>
      <w:r>
        <w:t xml:space="preserve"> </w:t>
      </w:r>
      <w:r>
        <w:t xml:space="preserve">A fully nonparametric reanalysis of the trial-level data is still running; we</w:t>
      </w:r>
      <w:r>
        <w:t xml:space="preserve"> </w:t>
      </w:r>
      <w:r>
        <w:t xml:space="preserve">will add it if the editor considers it necessary, but the three analyses below</w:t>
      </w:r>
      <w:r>
        <w:t xml:space="preserve"> </w:t>
      </w:r>
      <w:r>
        <w:t xml:space="preserve">already span the alternatives the reviewer raises. The same robustness bears on</w:t>
      </w:r>
      <w:r>
        <w:t xml:space="preserve"> </w:t>
      </w:r>
      <w:hyperlink w:anchor="cmt-2-1">
        <w:r>
          <w:rPr>
            <w:rStyle w:val="Hyperlink"/>
          </w:rPr>
          <w:t xml:space="preserve">Comment 2.1</w:t>
        </w:r>
      </w:hyperlink>
      <w:r>
        <w:t xml:space="preserve">, where Reviewer 2 asks how our estimate compares with</w:t>
      </w:r>
      <w:r>
        <w:t xml:space="preserve"> </w:t>
      </w:r>
      <w:r>
        <w:t xml:space="preserve">prior work.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obustness"/>
          <w:p>
            <w:pPr>
              <w:pStyle w:val="ResponseReply"/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Response Table 1: The spacing effect under three analytic choices.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Effect (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Primary (mean per condition)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[0.20, 0.62]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Trimmed means (10%)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[0.17, 0.59]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Mixed-effects (trial-level)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[0.24, 0.61]</w:t>
                  </w:r>
                </w:p>
              </w:tc>
            </w:tr>
          </w:tbl>
          <w:bookmarkEnd w:id="24"/>
          <w:p/>
        </w:tc>
      </w:tr>
    </w:tbl>
    <w:p>
      <w:pPr>
        <w:pStyle w:val="ResponseLabel"/>
      </w:pPr>
      <w:r>
        <w:rPr>
          <w:b/>
          <w:bCs/>
        </w:rPr>
        <w:t xml:space="preserve">Changes:</w:t>
      </w:r>
    </w:p>
    <w:p>
      <w:pPr>
        <w:pStyle w:val="ResponseChangesList"/>
      </w:pPr>
      <w:r>
        <w:t xml:space="preserve">• </w:t>
      </w:r>
      <w:r>
        <w:rPr>
          <w:b/>
          <w:bCs/>
        </w:rPr>
        <w:t xml:space="preserve">Results</w:t>
      </w:r>
      <w:r>
        <w:t xml:space="preserve">: robustness analyses added (p. 11)</w:t>
      </w:r>
    </w:p>
    <w:p>
      <w:pPr>
        <w:pStyle w:val="ResponseChangesList"/>
      </w:pPr>
      <w:r>
        <w:t xml:space="preserve">• </w:t>
      </w:r>
      <w:r>
        <w:rPr>
          <w:b/>
          <w:bCs/>
        </w:rPr>
        <w:t xml:space="preserve">Supplement S2</w:t>
      </w:r>
      <w:r>
        <w:t xml:space="preserve">: full analytic details and code</w:t>
      </w:r>
    </w:p>
    <w:p>
      <w:r>
        <w:br w:type="page"/>
      </w:r>
    </w:p>
    <w:bookmarkEnd w:id="25"/>
    <w:bookmarkStart w:id="28" w:name="reviewer-2"/>
    <w:p>
      <w:pPr>
        <w:pStyle w:val="Heading1"/>
      </w:pPr>
      <w:r>
        <w:t xml:space="preserve">Reviewer 2</w:t>
      </w:r>
    </w:p>
    <w:bookmarkStart w:id="26" w:name="cmt-2-1"/>
    <w:p>
      <w:pPr>
        <w:pStyle w:val="ResponseLabel"/>
      </w:pPr>
      <w:r>
        <w:rPr>
          <w:b/>
          <w:bCs/>
        </w:rPr>
        <w:t xml:space="preserve">Comment 2.1</w:t>
      </w:r>
    </w:p>
    <w:p>
      <w:pPr>
        <w:pStyle w:val="ResponseComment"/>
      </w:pPr>
      <w:r>
        <w:t xml:space="preserve">How does the size of the spacing effect here compare with previous estimates in</w:t>
      </w:r>
      <w:r>
        <w:t xml:space="preserve"> </w:t>
      </w:r>
      <w:r>
        <w:t xml:space="preserve">the literature? The Discussion treats it as novel without situating it.</w:t>
      </w:r>
    </w:p>
    <w:bookmarkEnd w:id="26"/>
    <w:p>
      <w:pPr>
        <w:pStyle w:val="ResponseLabel"/>
      </w:pPr>
      <w:r>
        <w:rPr>
          <w:b/>
          <w:bCs/>
        </w:rPr>
        <w:t xml:space="preserve">Reply ✓:</w:t>
      </w:r>
    </w:p>
    <w:p>
      <w:pPr>
        <w:pStyle w:val="ResponseReply"/>
      </w:pPr>
      <w:r>
        <w:t xml:space="preserve">We have added a paragraph situating our estimate against prior work. The effect</w:t>
      </w:r>
      <w:r>
        <w:t xml:space="preserve"> </w:t>
      </w:r>
      <w:r>
        <w:t xml:space="preserve">we observe (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0.41</m:t>
        </m:r>
      </m:oMath>
      <w:r>
        <w:t xml:space="preserve">) sits within the range reported in earlier studies, and</w:t>
      </w:r>
      <w:r>
        <w:t xml:space="preserve"> </w:t>
      </w:r>
      <w:r>
        <w:t xml:space="preserve">the robustness analysis in</w:t>
      </w:r>
      <w:r>
        <w:t xml:space="preserve"> </w:t>
      </w:r>
      <w:hyperlink w:anchor="cmt-1-2">
        <w:r>
          <w:rPr>
            <w:rStyle w:val="Hyperlink"/>
          </w:rPr>
          <w:t xml:space="preserve">Comment 1.2</w:t>
        </w:r>
      </w:hyperlink>
      <w:r>
        <w:t xml:space="preserve"> </w:t>
      </w:r>
      <w:r>
        <w:t xml:space="preserve">shows the estimate is stable</w:t>
      </w:r>
      <w:r>
        <w:t xml:space="preserve"> </w:t>
      </w:r>
      <w:r>
        <w:t xml:space="preserve">across analytic choices. We have toned down the</w:t>
      </w:r>
      <w:r>
        <w:t xml:space="preserve"> </w:t>
      </w:r>
      <w:r>
        <w:t xml:space="preserve">“novel”</w:t>
      </w:r>
      <w:r>
        <w:t xml:space="preserve"> </w:t>
      </w:r>
      <w:r>
        <w:t xml:space="preserve">framing accordingly.</w:t>
      </w:r>
    </w:p>
    <w:p>
      <w:pPr>
        <w:pStyle w:val="ResponseLabel"/>
      </w:pPr>
      <w:r>
        <w:rPr>
          <w:b/>
          <w:bCs/>
        </w:rPr>
        <w:t xml:space="preserve">Changes:</w:t>
      </w:r>
    </w:p>
    <w:p>
      <w:pPr>
        <w:pStyle w:val="ResponseChangesList"/>
      </w:pPr>
      <w:r>
        <w:t xml:space="preserve">• </w:t>
      </w:r>
      <w:r>
        <w:rPr>
          <w:b/>
          <w:bCs/>
        </w:rPr>
        <w:t xml:space="preserve">Discussion</w:t>
      </w:r>
      <w:r>
        <w:t xml:space="preserve">: paragraph relating the effect to prior estimates added (p. 14)</w:t>
      </w:r>
    </w:p>
    <w:bookmarkStart w:id="27" w:name="cmt-2-2"/>
    <w:p>
      <w:pPr>
        <w:pStyle w:val="ResponseLabel"/>
      </w:pPr>
      <w:r>
        <w:rPr>
          <w:b/>
          <w:bCs/>
        </w:rPr>
        <w:t xml:space="preserve">Comment 2.2</w:t>
      </w:r>
    </w:p>
    <w:p>
      <w:pPr>
        <w:pStyle w:val="ResponseComment"/>
      </w:pPr>
      <w:r>
        <w:t xml:space="preserve">A six-month follow-up would considerably strengthen the claims about long-term</w:t>
      </w:r>
      <w:r>
        <w:t xml:space="preserve"> </w:t>
      </w:r>
      <w:r>
        <w:t xml:space="preserve">retention. I recommend collecting one.</w:t>
      </w:r>
    </w:p>
    <w:bookmarkEnd w:id="27"/>
    <w:p>
      <w:pPr>
        <w:pStyle w:val="ResponseLabel"/>
      </w:pPr>
      <w:r>
        <w:rPr>
          <w:b/>
          <w:bCs/>
        </w:rPr>
        <w:t xml:space="preserve">Reply (respectfully declined):</w:t>
      </w:r>
    </w:p>
    <w:p>
      <w:pPr>
        <w:pStyle w:val="ResponseReply"/>
      </w:pPr>
      <w:r>
        <w:t xml:space="preserve">We see the value of a six-month follow-up and considered it seriously. For this</w:t>
      </w:r>
      <w:r>
        <w:t xml:space="preserve"> </w:t>
      </w:r>
      <w:r>
        <w:t xml:space="preserve">revision we respectfully decline to collect new data: our claims concern the</w:t>
      </w:r>
      <w:r>
        <w:t xml:space="preserve"> </w:t>
      </w:r>
      <w:r>
        <w:t xml:space="preserve">one-week interval we tested, which we now state explicitly, and a six-month</w:t>
      </w:r>
      <w:r>
        <w:t xml:space="preserve"> </w:t>
      </w:r>
      <w:r>
        <w:t xml:space="preserve">follow-up would pose a different question rather than strengthen the present one.</w:t>
      </w:r>
      <w:r>
        <w:t xml:space="preserve"> </w:t>
      </w:r>
      <w:r>
        <w:t xml:space="preserve">We name it as the natural next step in the Discussion.</w:t>
      </w:r>
    </w:p>
    <w:p>
      <w:pPr>
        <w:pStyle w:val="ResponseLabel"/>
      </w:pPr>
      <w:r>
        <w:rPr>
          <w:b/>
          <w:bCs/>
        </w:rPr>
        <w:t xml:space="preserve">Changes:</w:t>
      </w:r>
    </w:p>
    <w:p>
      <w:pPr>
        <w:pStyle w:val="ResponseChangesList"/>
      </w:pPr>
      <w:r>
        <w:t xml:space="preserve">• </w:t>
      </w:r>
      <w:r>
        <w:rPr>
          <w:b/>
          <w:bCs/>
        </w:rPr>
        <w:t xml:space="preserve">Discussion</w:t>
      </w:r>
      <w:r>
        <w:t xml:space="preserve">: retention claim scoped to the tested interval; six-month</w:t>
      </w:r>
      <w:r>
        <w:t xml:space="preserve"> </w:t>
      </w:r>
      <w:r>
        <w:t xml:space="preserve">follow-up named as future work (p. 15)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Jane Doe</w:t>
      </w:r>
      <w:r>
        <w:br/>
      </w:r>
      <w:r>
        <w:t xml:space="preserve">on behalf of all authors</w:t>
      </w:r>
    </w:p>
    <w:bookmarkEnd w:id="28"/>
    <w:sectPr>
      <w:headerReference r:id="rId9" w:type="default"/>
      <w:headerReference r:id="rId10" w:type="first"/>
      <w:footerReference r:id="rId11" w:type="default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fldSimple w:instr=" PAGE \* MERGEFORMAT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fldSimple w:instr=" TITLE \* MERGEFORMAT ">
      <w:r>
        <w:rPr>
          <w:i/>
        </w:rPr>
        <w:t>Response to Reviewers</w:t>
      </w:r>
    </w:fldSimple>
    <w:r>
      <w:tab/>
      <w:tab/>
    </w:r>
    <w:fldSimple w:instr=" STYLEREF &quot;Heading 1&quot; \* MERGEFORMAT ">
      <w:r>
        <w:t>Reviewer 1</w:t>
      </w:r>
    </w:fldSimple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sponseLabel" w:type="paragraph">
    <w:name w:val="Response Label"/>
    <w:basedOn w:val="BodyText"/>
    <w:qFormat/>
    <w:pPr>
      <w:keepNext/>
      <w:spacing w:after="20" w:before="200"/>
    </w:pPr>
    <w:rPr>
      <w:b/>
    </w:rPr>
  </w:style>
  <w:style w:customStyle="1" w:styleId="ResponseComment" w:type="paragraph">
    <w:name w:val="Response Comment"/>
    <w:basedOn w:val="BodyText"/>
    <w:qFormat/>
    <w:pPr>
      <w:pBdr>
        <w:left w:color="B22222" w:space="4" w:sz="18" w:val="single"/>
      </w:pBdr>
      <w:shd w:color="auto" w:fill="FBF4F4" w:val="clear"/>
      <w:spacing w:after="120" w:before="40"/>
      <w:ind w:left="170" w:right="113"/>
    </w:pPr>
    <w:rPr>
      <w:i/>
    </w:rPr>
  </w:style>
  <w:style w:customStyle="1" w:styleId="ResponseCommentList" w:type="paragraph">
    <w:name w:val="Response Comment List"/>
    <w:basedOn w:val="ResponseComment"/>
    <w:qFormat/>
    <w:pPr>
      <w:spacing w:after="40" w:before="20"/>
      <w:ind w:hanging="255" w:left="425" w:right="113"/>
    </w:pPr>
  </w:style>
  <w:style w:customStyle="1" w:styleId="ResponseReply" w:type="paragraph">
    <w:name w:val="Response Reply"/>
    <w:basedOn w:val="BodyText"/>
    <w:qFormat/>
    <w:pPr>
      <w:pBdr>
        <w:left w:color="1E90FF" w:space="4" w:sz="18" w:val="single"/>
      </w:pBdr>
      <w:shd w:color="auto" w:fill="F6FBFF" w:val="clear"/>
      <w:spacing w:after="120" w:before="40"/>
      <w:ind w:left="170" w:right="113"/>
    </w:pPr>
  </w:style>
  <w:style w:customStyle="1" w:styleId="ResponseReplyList" w:type="paragraph">
    <w:name w:val="Response Reply List"/>
    <w:basedOn w:val="ResponseReply"/>
    <w:qFormat/>
    <w:pPr>
      <w:spacing w:after="40" w:before="20"/>
      <w:ind w:hanging="255" w:left="425" w:right="113"/>
    </w:pPr>
  </w:style>
  <w:style w:customStyle="1" w:styleId="ResponseChanges" w:type="paragraph">
    <w:name w:val="Response Changes"/>
    <w:basedOn w:val="BodyText"/>
    <w:qFormat/>
    <w:pPr>
      <w:pBdr>
        <w:left w:color="8FBC8F" w:space="4" w:sz="18" w:val="single"/>
      </w:pBdr>
      <w:shd w:color="auto" w:fill="F2F7F2" w:val="clear"/>
      <w:spacing w:after="120" w:before="40"/>
      <w:ind w:left="170" w:right="113"/>
    </w:pPr>
  </w:style>
  <w:style w:customStyle="1" w:styleId="ResponseChangesList" w:type="paragraph">
    <w:name w:val="Response Changes List"/>
    <w:basedOn w:val="ResponseChanges"/>
    <w:qFormat/>
    <w:pPr>
      <w:spacing w:after="40" w:before="20"/>
      <w:ind w:hanging="255" w:left="425" w:right="113"/>
    </w:pPr>
  </w:style>
  <w:style w:customStyle="1" w:styleId="ResponseQuote" w:type="paragraph">
    <w:name w:val="Response Quote"/>
    <w:basedOn w:val="BodyText"/>
    <w:qFormat/>
    <w:pPr>
      <w:pBdr>
        <w:left w:color="696969" w:space="4" w:sz="24" w:val="single"/>
      </w:pBdr>
      <w:shd w:color="auto" w:fill="F4F4F4" w:val="clear"/>
      <w:spacing w:after="120" w:before="40"/>
      <w:ind w:left="170" w:right="113"/>
    </w:pPr>
  </w:style>
  <w:style w:customStyle="1" w:styleId="ResponseQuoteList" w:type="paragraph">
    <w:name w:val="Response Quote List"/>
    <w:basedOn w:val="ResponseQuote"/>
    <w:qFormat/>
    <w:pPr>
      <w:spacing w:after="40" w:before="20"/>
      <w:ind w:hanging="255" w:left="425" w:right="113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Reviewers</dc:title>
  <dc:creator>Jane Doe; John Smith</dc:creator>
  <cp:keywords/>
  <dcterms:created xsi:type="dcterms:W3CDTF">2026-06-12T20:05:22Z</dcterms:created>
  <dcterms:modified xsi:type="dcterms:W3CDTF">2026-06-12T20:05:22Z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2026-06-12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nk-citations">
    <vt:lpwstr>True</vt:lpwstr>
  </property>
  <property fmtid="{D5CDD505-2E9C-101B-9397-08002B2CF9AE}" pid="12" name="response-letter">
    <vt:lpwstr/>
  </property>
  <property fmtid="{D5CDD505-2E9C-101B-9397-08002B2CF9AE}" pid="13" name="revealjs-plugins">
    <vt:lpwstr/>
  </property>
  <property fmtid="{D5CDD505-2E9C-101B-9397-08002B2CF9AE}" pid="14" name="shorttitle">
    <vt:lpwstr>Response: Spaced Practice and Retention</vt:lpwstr>
  </property>
  <property fmtid="{D5CDD505-2E9C-101B-9397-08002B2CF9AE}" pid="15" name="toc-title">
    <vt:lpwstr>Table of contents</vt:lpwstr>
  </property>
</Properties>
</file>