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Response to Reviewers</w:t>
      </w:r>
    </w:p>
    <w:p>
      <w:pPr>
        <w:pStyle w:val="Subtitle"/>
      </w:pPr>
      <w:r>
        <w:t xml:space="preserve">Manuscript ID 2026-0123: A Tutorial on Things</w:t>
      </w:r>
    </w:p>
    <w:p>
      <w:pPr>
        <w:pStyle w:val="Author"/>
      </w:pPr>
      <w:r>
        <w:t xml:space="preserve">Jane Doe</w:t>
      </w:r>
    </w:p>
    <w:p>
      <w:pPr>
        <w:pStyle w:val="Author"/>
      </w:pPr>
      <w:r>
        <w:t xml:space="preserve">John Smith</w:t>
      </w:r>
    </w:p>
    <w:p>
      <w:pPr>
        <w:pStyle w:val="Date"/>
      </w:pPr>
      <w:r>
        <w:t xml:space="preserve">2026-06-12</w:t>
      </w:r>
    </w:p>
    <w:p>
      <w:pPr>
        <w:pStyle w:val="FirstParagraph"/>
      </w:pPr>
      <w:r>
        <w:t xml:space="preserve">We thank the editor and both reviewers for their constructive feedback.</w:t>
      </w:r>
      <w:r>
        <w:t xml:space="preserve"> </w:t>
      </w:r>
      <w:r>
        <w:t xml:space="preserve">Below we address each comment in turn: the reviewer’s comment appears in a</w:t>
      </w:r>
      <w:r>
        <w:t xml:space="preserve"> </w:t>
      </w:r>
      <w:r>
        <w:t xml:space="preserve">red box, our reply in a blue box, verbatim quotes from the revised</w:t>
      </w:r>
      <w:r>
        <w:t xml:space="preserve"> </w:t>
      </w:r>
      <w:r>
        <w:t xml:space="preserve">manuscript in grey boxes, and the resulting changes in green boxes.</w:t>
      </w:r>
    </w:p>
    <w:bookmarkStart w:id="22" w:name="reviewer-1"/>
    <w:p>
      <w:pPr>
        <w:pStyle w:val="Heading1"/>
      </w:pPr>
      <w:r>
        <w:t xml:space="preserve">Reviewer 1</w:t>
      </w:r>
    </w:p>
    <w:bookmarkStart w:id="20" w:name="cmt-1-1"/>
    <w:p>
      <w:pPr>
        <w:pStyle w:val="ResponseLabel"/>
      </w:pPr>
      <w:r>
        <w:rPr>
          <w:b/>
          <w:bCs/>
        </w:rPr>
        <w:t xml:space="preserve">Comment 1.1</w:t>
      </w:r>
    </w:p>
    <w:p>
      <w:pPr>
        <w:pStyle w:val="ResponseComment"/>
      </w:pPr>
      <w:r>
        <w:t xml:space="preserve">The authors state that the default priors are weakly informative, but they</w:t>
      </w:r>
      <w:r>
        <w:t xml:space="preserve"> </w:t>
      </w:r>
      <w:r>
        <w:t xml:space="preserve">neither show nor discuss the appropriateness of these priors for their</w:t>
      </w:r>
      <w:r>
        <w:t xml:space="preserve"> </w:t>
      </w:r>
      <w:r>
        <w:t xml:space="preserve">model comparisons.</w:t>
      </w:r>
    </w:p>
    <w:bookmarkEnd w:id="20"/>
    <w:p>
      <w:pPr>
        <w:pStyle w:val="ResponseLabel"/>
      </w:pPr>
      <w:r>
        <w:rPr>
          <w:b/>
          <w:bCs/>
        </w:rPr>
        <w:t xml:space="preserve">Reply:</w:t>
      </w:r>
    </w:p>
    <w:p>
      <w:pPr>
        <w:pStyle w:val="ResponseReply"/>
      </w:pPr>
      <w:r>
        <w:t xml:space="preserve">The concern is well-founded. We now state the default priors numerically in</w:t>
      </w:r>
      <w:r>
        <w:t xml:space="preserve"> </w:t>
      </w:r>
      <w:r>
        <w:t xml:space="preserve">the main text:</w:t>
      </w:r>
    </w:p>
    <w:p>
      <w:pPr>
        <w:pStyle w:val="ResponseLabel"/>
      </w:pPr>
      <w:r>
        <w:rPr>
          <w:b/>
          <w:bCs/>
        </w:rPr>
        <w:t xml:space="preserve">Manuscript (Tutorial 1, Model Specification):</w:t>
      </w:r>
    </w:p>
    <w:p>
      <w:pPr>
        <w:pStyle w:val="ResponseQuote"/>
      </w:pPr>
      <w:r>
        <w:t xml:space="preserve">The package sets weakly informative default priors based on known parameter</w:t>
      </w:r>
      <w:r>
        <w:t xml:space="preserve"> </w:t>
      </w:r>
      <w:r>
        <w:t xml:space="preserve">ranges: with cell means coding, each condition intercept receives a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0.5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prior.</w:t>
      </w:r>
    </w:p>
    <w:p>
      <w:pPr>
        <w:pStyle w:val="ResponseReply"/>
      </w:pPr>
      <w:r>
        <w:t xml:space="preserve">We also added a prior sensitivity analysis. Markdown works natively inside</w:t>
      </w:r>
      <w:r>
        <w:t xml:space="preserve"> </w:t>
      </w:r>
      <w:r>
        <w:t xml:space="preserve">replies, including tables: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 predictive</w:t>
            </w:r>
          </w:p>
        </w:tc>
        <w:tc>
          <w:tcPr/>
          <w:p>
            <w:pPr>
              <w:pStyle w:val="Compact"/>
            </w:pPr>
            <m:oMath>
              <m:r>
                <m:t>B</m:t>
              </m:r>
              <m:sSub>
                <m:e>
                  <m:r>
                    <m:t>F</m:t>
                  </m:r>
                </m:e>
                <m:sub>
                  <m:r>
                    <m:t>10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Favored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Model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</w:t>
            </w:r>
          </w:p>
        </w:tc>
        <w:tc>
          <w:tcPr/>
          <w:p>
            <w:pPr>
              <w:pStyle w:val="Compact"/>
            </w:pPr>
            <m:oMath>
              <m:r>
                <m:t>576</m:t>
              </m:r>
            </m:oMath>
          </w:p>
        </w:tc>
        <w:tc>
          <w:tcPr/>
          <w:p>
            <w:pPr>
              <w:pStyle w:val="Compact"/>
            </w:pPr>
            <w:r>
              <w:t xml:space="preserve">Model A</w:t>
            </w:r>
          </w:p>
        </w:tc>
      </w:tr>
    </w:tbl>
    <w:p>
      <w:pPr>
        <w:pStyle w:val="ResponseLabel"/>
      </w:pPr>
      <w:r>
        <w:rPr>
          <w:b/>
          <w:bCs/>
        </w:rPr>
        <w:t xml:space="preserve">Changes: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Tutorial 1 &gt; Model Specification</w:t>
      </w:r>
      <w:r>
        <w:t xml:space="preserve">: default priors stated numerically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 1, Section 1</w:t>
      </w:r>
      <w:r>
        <w:t xml:space="preserve">: full prior sensitivity analysis added</w:t>
      </w:r>
    </w:p>
    <w:bookmarkStart w:id="21" w:name="cmt-1-2"/>
    <w:p>
      <w:pPr>
        <w:pStyle w:val="ResponseLabel"/>
      </w:pPr>
      <w:r>
        <w:rPr>
          <w:b/>
          <w:bCs/>
        </w:rPr>
        <w:t xml:space="preserve">Comment 1.2</w:t>
      </w:r>
    </w:p>
    <w:p>
      <w:pPr>
        <w:pStyle w:val="ResponseComment"/>
      </w:pPr>
      <w:r>
        <w:t xml:space="preserve">The estimates in Table 2 appear unstable; please report their variability.</w:t>
      </w:r>
    </w:p>
    <w:bookmarkEnd w:id="21"/>
    <w:p>
      <w:pPr>
        <w:pStyle w:val="ResponseLabel"/>
      </w:pPr>
      <w:r>
        <w:rPr>
          <w:b/>
          <w:bCs/>
        </w:rPr>
        <w:t xml:space="preserve">Reply:</w:t>
      </w:r>
    </w:p>
    <w:p>
      <w:pPr>
        <w:pStyle w:val="ResponseReply"/>
      </w:pPr>
      <w:r>
        <w:t xml:space="preserve">We agree and now report the median and range across 10 repetitions. This</w:t>
      </w:r>
      <w:r>
        <w:t xml:space="preserve"> </w:t>
      </w:r>
      <w:r>
        <w:t xml:space="preserve">also addresses the related point raised in</w:t>
      </w:r>
      <w:r>
        <w:t xml:space="preserve"> </w:t>
      </w:r>
      <w:hyperlink w:anchor="cmt-2-1">
        <w:r>
          <w:rPr>
            <w:rStyle w:val="Hyperlink"/>
          </w:rPr>
          <w:t xml:space="preserve">Comment 2.1</w:t>
        </w:r>
      </w:hyperlink>
      <w:r>
        <w:t xml:space="preserve"> </w:t>
      </w:r>
      <w:r>
        <w:t xml:space="preserve">below.</w:t>
      </w:r>
      <w:r>
        <w:t xml:space="preserve"> </w:t>
      </w:r>
      <w:r>
        <w:t xml:space="preserve">A deliberately long reply can be used to check that boxes break across</w:t>
      </w:r>
      <w:r>
        <w:t xml:space="preserve"> </w:t>
      </w:r>
      <w:r>
        <w:t xml:space="preserve">pages in the PDF output. Lorem ipsum dolor sit amet, consectetur</w:t>
      </w:r>
      <w:r>
        <w:t xml:space="preserve"> </w:t>
      </w:r>
      <w:r>
        <w:t xml:space="preserve">adipiscing elit, sed do eiusmod tempor incididunt ut labore et dolore</w:t>
      </w:r>
      <w:r>
        <w:t xml:space="preserve"> </w:t>
      </w:r>
      <w:r>
        <w:t xml:space="preserve">magna aliqua. Ut enim ad minim veniam, quis nostrud exercitation ullamco</w:t>
      </w:r>
      <w:r>
        <w:t xml:space="preserve"> </w:t>
      </w:r>
      <w:r>
        <w:t xml:space="preserve">laboris nisi ut aliquip ex ea commodo consequat.</w:t>
      </w:r>
    </w:p>
    <w:p>
      <w:pPr>
        <w:pStyle w:val="ResponseLabel"/>
      </w:pPr>
      <w:r>
        <w:rPr>
          <w:b/>
          <w:bCs/>
        </w:rPr>
        <w:t xml:space="preserve">Changes: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all estimates reported as median with min–max range</w:t>
      </w:r>
    </w:p>
    <w:p>
      <w:r>
        <w:br w:type="page"/>
      </w:r>
    </w:p>
    <w:bookmarkEnd w:id="22"/>
    <w:bookmarkStart w:id="24" w:name="reviewer-2"/>
    <w:p>
      <w:pPr>
        <w:pStyle w:val="Heading1"/>
      </w:pPr>
      <w:r>
        <w:t xml:space="preserve">Reviewer 2</w:t>
      </w:r>
    </w:p>
    <w:bookmarkStart w:id="23" w:name="cmt-2-1"/>
    <w:p>
      <w:pPr>
        <w:pStyle w:val="ResponseLabel"/>
      </w:pPr>
      <w:r>
        <w:rPr>
          <w:b/>
          <w:bCs/>
        </w:rPr>
        <w:t xml:space="preserve">Comment 2.1</w:t>
      </w:r>
    </w:p>
    <w:p>
      <w:pPr>
        <w:pStyle w:val="ResponseComment"/>
      </w:pPr>
      <w:r>
        <w:t xml:space="preserve">Please clarify how the proposed approach relates to the broader literature.</w:t>
      </w:r>
    </w:p>
    <w:bookmarkEnd w:id="23"/>
    <w:p>
      <w:pPr>
        <w:pStyle w:val="ResponseLabel"/>
      </w:pPr>
      <w:r>
        <w:rPr>
          <w:b/>
          <w:bCs/>
        </w:rPr>
        <w:t xml:space="preserve">Reply:</w:t>
      </w:r>
    </w:p>
    <w:p>
      <w:pPr>
        <w:pStyle w:val="ResponseReply"/>
      </w:pPr>
      <w:r>
        <w:t xml:space="preserve">We added a paragraph relating the approach to prior work; see also our</w:t>
      </w:r>
      <w:r>
        <w:t xml:space="preserve"> </w:t>
      </w:r>
      <w:r>
        <w:t xml:space="preserve">reply to</w:t>
      </w:r>
      <w:r>
        <w:t xml:space="preserve"> </w:t>
      </w:r>
      <w:hyperlink w:anchor="cmt-1-2">
        <w:r>
          <w:rPr>
            <w:rStyle w:val="Hyperlink"/>
          </w:rPr>
          <w:t xml:space="preserve">Comment 1.2</w:t>
        </w:r>
      </w:hyperlink>
      <w:r>
        <w:t xml:space="preserve">, which reports the new stability analysis.</w:t>
      </w:r>
    </w:p>
    <w:p>
      <w:pPr>
        <w:pStyle w:val="ResponseLabel"/>
      </w:pPr>
      <w:r>
        <w:rPr>
          <w:b/>
          <w:bCs/>
        </w:rPr>
        <w:t xml:space="preserve">Changes: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Introduction</w:t>
      </w:r>
      <w:r>
        <w:t xml:space="preserve">: added paragraph relating the approach to prior work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esponseLabel" w:type="paragraph">
    <w:name w:val="Response Label"/>
    <w:basedOn w:val="BodyText"/>
    <w:qFormat/>
    <w:pPr>
      <w:keepNext/>
      <w:spacing w:after="20" w:before="200"/>
    </w:pPr>
    <w:rPr>
      <w:b/>
    </w:rPr>
  </w:style>
  <w:style w:customStyle="1" w:styleId="ResponseComment" w:type="paragraph">
    <w:name w:val="Response Comment"/>
    <w:basedOn w:val="BodyText"/>
    <w:qFormat/>
    <w:pPr>
      <w:pBdr>
        <w:left w:color="B22222" w:space="4" w:sz="18" w:val="single"/>
      </w:pBdr>
      <w:shd w:color="auto" w:fill="FBF4F4" w:val="clear"/>
      <w:spacing w:after="120" w:before="40"/>
      <w:ind w:left="170" w:right="113"/>
    </w:pPr>
    <w:rPr>
      <w:i/>
    </w:rPr>
  </w:style>
  <w:style w:customStyle="1" w:styleId="ResponseReply" w:type="paragraph">
    <w:name w:val="Response Reply"/>
    <w:basedOn w:val="BodyText"/>
    <w:qFormat/>
    <w:pPr>
      <w:pBdr>
        <w:left w:color="1E90FF" w:space="4" w:sz="18" w:val="single"/>
      </w:pBdr>
      <w:shd w:color="auto" w:fill="F6FAFF" w:val="clear"/>
      <w:spacing w:after="120" w:before="40"/>
      <w:ind w:left="170" w:right="113"/>
    </w:pPr>
  </w:style>
  <w:style w:customStyle="1" w:styleId="ResponseChanges" w:type="paragraph">
    <w:name w:val="Response Changes"/>
    <w:basedOn w:val="BodyText"/>
    <w:qFormat/>
    <w:pPr>
      <w:pBdr>
        <w:left w:color="8FBC8F" w:space="4" w:sz="18" w:val="single"/>
      </w:pBdr>
      <w:shd w:color="auto" w:fill="F1F7F1" w:val="clear"/>
      <w:spacing w:after="120" w:before="40"/>
      <w:ind w:left="170" w:right="113"/>
    </w:pPr>
  </w:style>
  <w:style w:customStyle="1" w:styleId="ResponseQuote" w:type="paragraph">
    <w:name w:val="Response Quote"/>
    <w:basedOn w:val="BodyText"/>
    <w:qFormat/>
    <w:pPr>
      <w:pBdr>
        <w:left w:color="696969" w:space="4" w:sz="24" w:val="single"/>
      </w:pBdr>
      <w:shd w:color="auto" w:fill="F5F5F5" w:val="clear"/>
      <w:spacing w:after="120" w:before="40"/>
      <w:ind w:left="170" w:right="113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Response to Reviewers</dc:title>
  <dc:creator>Jane Doe; John Smith</dc:creator>
  <cp:keywords/>
  <dcterms:created xsi:type="dcterms:W3CDTF">2026-06-12T16:12:03Z</dcterms:created>
  <dcterms:modified xsi:type="dcterms:W3CDTF">2026-06-12T16:12:03Z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2026-06-12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vealjs-plugins">
    <vt:lpwstr/>
  </property>
  <property fmtid="{D5CDD505-2E9C-101B-9397-08002B2CF9AE}" pid="11" name="subtitle">
    <vt:lpwstr>Manuscript ID 2026-0123: A Tutorial on Things</vt:lpwstr>
  </property>
  <property fmtid="{D5CDD505-2E9C-101B-9397-08002B2CF9AE}" pid="12" name="toc-title">
    <vt:lpwstr>Table of contents</vt:lpwstr>
  </property>
</Properties>
</file>