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df" ContentType="application/pdf"/>
  <Override PartName="/word/media/rId36.pdf" ContentType="application/pdf"/>
  <Override PartName="/word/media/rId66.pdf" ContentType="application/pdf"/>
  <Override PartName="/word/media/rId61.pdf" ContentType="application/pdf"/>
  <Override PartName="/word/media/rId83.pdf" ContentType="application/pdf"/>
  <Override PartName="/word/media/rId78.pdf" ContentType="application/pdf"/>
  <Override PartName="/word/media/rId98.pdf" ContentType="application/pdf"/>
  <Override PartName="/word/media/rId92.pdf" ContentType="application/pdf"/>
  <Override PartName="/word/media/rId109.pdf" ContentType="application/pdf"/>
  <Override PartName="/word/media/rId114.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Applying the Memory Measurement Model (</w:t>
      </w:r>
      <m:oMath>
        <m:sSup>
          <m:e>
            <m:r>
              <m:t>M</m:t>
            </m:r>
          </m:e>
          <m:sup>
            <m:r>
              <m:t>3</m:t>
            </m:r>
          </m:sup>
        </m:sSup>
      </m:oMath>
      <w:r>
        <w:t xml:space="preserve">): A Tutorial Using the bmm R Package</w:t>
      </w:r>
    </w:p>
    <w:p>
      <w:pPr>
        <w:pStyle w:val="Author"/>
      </w:pPr>
      <w:r>
        <w:t xml:space="preserve"> </w:t>
      </w:r>
    </w:p>
    <w:p>
      <w:pPr>
        <w:pStyle w:val="Author"/>
      </w:pPr>
      <w:r>
        <w:t xml:space="preserve">Gidon T. Frischkorn</w:t>
      </w:r>
      <w:r>
        <w:rPr>
          <w:vertAlign w:val="superscript"/>
        </w:rPr>
        <w:t xml:space="preserve">1</w:t>
      </w:r>
      <w:r>
        <w:t xml:space="preserve"> and Chenyu Li</w:t>
      </w:r>
      <w:r>
        <w:rPr>
          <w:vertAlign w:val="superscript"/>
        </w:rPr>
        <w:t xml:space="preserve">2,3</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Author"/>
      </w:pPr>
      <w:r>
        <w:rPr>
          <w:vertAlign w:val="superscript"/>
        </w:rPr>
        <w:t xml:space="preserve">3</w:t>
      </w:r>
      <w:r>
        <w:t xml:space="preserve">Institution for Mind and Biology,, University of Chicago</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Chenyu Li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0">
        <w:r>
          <w:rPr>
            <w:rStyle w:val="Hyperlink"/>
          </w:rPr>
          <w:t xml:space="preserve">gidon.frischkorn@psychologie.uzh.ch</w:t>
        </w:r>
      </w:hyperlink>
    </w:p>
    <w:p>
      <w:r>
        <w:br w:type="page"/>
      </w:r>
    </w:p>
    <w:bookmarkEnd w:id="31"/>
    <w:bookmarkStart w:id="32" w:name="abstract"/>
    <w:p>
      <w:pPr>
        <w:pStyle w:val="Heading1"/>
      </w:pPr>
      <w:r>
        <w:t xml:space="preserve">Abstract</w:t>
      </w:r>
    </w:p>
    <w:p>
      <w:pPr>
        <w:pStyle w:val="AbstractFirstParagraph"/>
      </w:pPr>
      <w:r>
        <w:t xml:space="preserve">The memory measurement model (</w:t>
      </w:r>
      <m:oMath>
        <m:sSup>
          <m:e>
            <m:r>
              <m:t>M</m:t>
            </m:r>
          </m:e>
          <m:sup>
            <m:r>
              <m:t>3</m:t>
            </m:r>
          </m:sup>
        </m:sSup>
      </m:oMath>
      <w:r>
        <w:t xml:space="preserve">) decomposes categorical response data from memory tasks into latent activation parameters, separating item memory from context-specific binding via competitive retrieval. This tutorial introduces the</w:t>
      </w:r>
      <w:r>
        <w:t xml:space="preserve"> </w:t>
      </w:r>
      <m:oMath>
        <m:sSup>
          <m:e>
            <m:r>
              <m:t>M</m:t>
            </m:r>
          </m:e>
          <m:sup>
            <m:r>
              <m:t>3</m:t>
            </m:r>
          </m:sup>
        </m:sSup>
      </m:oMath>
      <w:r>
        <w:t xml:space="preserve"> </w:t>
      </w:r>
      <w:r>
        <w:t xml:space="preserve">framework and demonstrates how to apply it to empirical data, covering model selection, parameter interpretation, custom model specification, and simulation-based validation. We use the bmm R package, which provides a standardized interface for fitting Bayesian hierarchical</w:t>
      </w:r>
      <w:r>
        <w:t xml:space="preserve"> </w:t>
      </w:r>
      <m:oMath>
        <m:sSup>
          <m:e>
            <m:r>
              <m:t>M</m:t>
            </m:r>
          </m:e>
          <m:sup>
            <m:r>
              <m:t>3</m:t>
            </m:r>
          </m:sup>
        </m:sSup>
      </m:oMath>
      <w:r>
        <w:t xml:space="preserve">. Four worked examples build progressively: fitting a simple span</w:t>
      </w:r>
      <w:r>
        <w:t xml:space="preserve"> </w:t>
      </w:r>
      <m:oMath>
        <m:sSup>
          <m:e>
            <m:r>
              <m:t>M</m:t>
            </m:r>
          </m:e>
          <m:sup>
            <m:r>
              <m:t>3</m:t>
            </m:r>
          </m:sup>
        </m:sSup>
      </m:oMath>
      <w:r>
        <w:t xml:space="preserve"> </w:t>
      </w:r>
      <w:r>
        <w:t xml:space="preserve">to cued recall data, where Bayes factor comparison favors the softmax over the simple choice rule; extending the analysis to a complex span task with distractor categories and a filtering parameter; defining a custom</w:t>
      </w:r>
      <w:r>
        <w:t xml:space="preserve"> </w:t>
      </w:r>
      <m:oMath>
        <m:sSup>
          <m:e>
            <m:r>
              <m:t>M</m:t>
            </m:r>
          </m:e>
          <m:sup>
            <m:r>
              <m:t>3</m:t>
            </m:r>
          </m:sup>
        </m:sSup>
      </m:oMath>
      <w:r>
        <w:t xml:space="preserve"> </w:t>
      </w:r>
      <w:r>
        <w:t xml:space="preserve">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apply standard and custom</w:t>
      </w:r>
      <w:r>
        <w:t xml:space="preserve"> </w:t>
      </w:r>
      <m:oMath>
        <m:sSup>
          <m:e>
            <m:r>
              <m:t>M</m:t>
            </m:r>
          </m:e>
          <m:sup>
            <m:r>
              <m:t>3</m:t>
            </m:r>
          </m:sup>
        </m:sSup>
      </m:oMath>
      <w:r>
        <w:t xml:space="preserve"> </w:t>
      </w:r>
      <w:r>
        <w:t xml:space="preserve">to their own data and validate new model specifications through simulation.</w:t>
      </w:r>
    </w:p>
    <w:p>
      <w:pPr>
        <w:pStyle w:val="BodyText"/>
      </w:pPr>
      <w:r>
        <w:rPr>
          <w:i/>
          <w:iCs/>
        </w:rPr>
        <w:t xml:space="preserve">Keywords</w:t>
      </w:r>
      <w:r>
        <w:t xml:space="preserve">: working memory, measurement model, multinomial model, Bayesian estimation, categorical data</w:t>
      </w:r>
    </w:p>
    <w:p>
      <w:r>
        <w:br w:type="page"/>
      </w:r>
    </w:p>
    <w:bookmarkEnd w:id="32"/>
    <w:bookmarkStart w:id="33" w:name="firstheader"/>
    <w:p>
      <w:pPr>
        <w:pStyle w:val="Heading1"/>
      </w:pPr>
      <w:r>
        <w:t xml:space="preserve">Applying the Memory Measurement Model (</w:t>
      </w:r>
      <m:oMath>
        <m:sSup>
          <m:e>
            <m:r>
              <m:t>M</m:t>
            </m:r>
          </m:e>
          <m:sup>
            <m:r>
              <m:t>3</m:t>
            </m:r>
          </m:sup>
        </m:sSup>
      </m:oMath>
      <w:r>
        <w:t xml:space="preserve">): A Tutorial Using the bmm R Package</w:t>
      </w:r>
    </w:p>
    <w:bookmarkEnd w:id="33"/>
    <w:bookmarkStart w:id="35"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(a) multiple activation sources contribute to each response category and that (b)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4"/>
      </w:r>
    </w:p>
    <w:p>
      <w:pPr>
        <w:pStyle w:val="BodyText"/>
      </w:pPr>
      <w:r>
        <w:t xml:space="preserve">Because the</w:t>
      </w:r>
      <w:r>
        <w:t xml:space="preserve"> </w:t>
      </w:r>
      <m:oMath>
        <m:sSup>
          <m:e>
            <m:r>
              <m:t>M</m:t>
            </m:r>
          </m:e>
          <m:sup>
            <m:r>
              <m:t>3</m:t>
            </m:r>
          </m:sup>
        </m:sSup>
      </m:oMath>
      <w:r>
        <w:t xml:space="preserve"> </w:t>
      </w:r>
      <w:r>
        <w:t xml:space="preserve">framework can be applied to different paradigms — including simple span, complex span, and memory updating tasks — and can incorporate varied processes such as distractor filtering or removal of outdated information, the activation formulas that drive response selection typically vary across tasks and response categories. Beyond these existing applications, researchers can develop their own model specifications tailored to their paradigm and theoretical questions. Each new application, however, has so far required translating the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low-code workflow for specifying, fitting, and evaluating Bayesian hierarchical</w:t>
      </w:r>
      <w:r>
        <w:t xml:space="preserve"> </w:t>
      </w:r>
      <m:oMath>
        <m:sSup>
          <m:e>
            <m:r>
              <m:t>M</m:t>
            </m:r>
          </m:e>
          <m:sup>
            <m:r>
              <m:t>3</m:t>
            </m:r>
          </m:sup>
        </m:sSup>
      </m:oMath>
      <w:r>
        <w:t xml:space="preserve">, shifting the burden of routine implementation details away from users and toward theory-driven model development and interpretation. In this tutorial, we illustrate this approach with four worked examples covering the standard simple span (ss) and complex span (cs) tasks, a custom extension, and parameter recovery as model validation.</w:t>
      </w:r>
    </w:p>
    <w:bookmarkEnd w:id="35"/>
    <w:bookmarkStart w:id="52"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in which a participant studies a sequence of items (e.g., letters at serial positions or icons at spatial locations) and later sees a retrieval cue and selects a response from a set of alternatives.</w:t>
      </w:r>
      <w:r>
        <w:t xml:space="preserve"> </w:t>
      </w:r>
      <w:hyperlink w:anchor="fig-task-example">
        <w:r>
          <w:rPr>
            <w:rStyle w:val="Hyperlink"/>
          </w:rPr>
          <w:t xml:space="preserve">Figure 1</w:t>
        </w:r>
      </w:hyperlink>
      <w:r>
        <w:t xml:space="preserve"> </w:t>
      </w:r>
      <w:r>
        <w:t xml:space="preserve">illustrates this task structure for a simple span paradigm. As shown in the figure, each response falls into one of three categories:</w:t>
      </w:r>
      <w:r>
        <w:t xml:space="preserve"> </w:t>
      </w:r>
      <w:r>
        <w:rPr>
          <w:i/>
          <w:iCs/>
        </w:rPr>
        <w:t xml:space="preserve">correct</w:t>
      </w:r>
      <w:r>
        <w:t xml:space="preserve"> </w:t>
      </w:r>
      <w:r>
        <w:t xml:space="preserve">— the item associated with the probed position,</w:t>
      </w:r>
      <w:r>
        <w:t xml:space="preserve"> </w:t>
      </w:r>
      <w:r>
        <w:rPr>
          <w:i/>
          <w:iCs/>
        </w:rPr>
        <w:t xml:space="preserve">other-list intrusion</w:t>
      </w:r>
      <w:r>
        <w:t xml:space="preserve"> </w:t>
      </w:r>
      <w:r>
        <w:t xml:space="preserve">— a studied item from a different position, or</w:t>
      </w:r>
      <w:r>
        <w:t xml:space="preserve"> </w:t>
      </w:r>
      <w:r>
        <w:rPr>
          <w:i/>
          <w:iCs/>
        </w:rPr>
        <w:t xml:space="preserve">not-presented lure</w:t>
      </w:r>
      <w:r>
        <w:t xml:space="preserve"> </w:t>
      </w:r>
      <w:r>
        <w:t xml:space="preserve">(NPL) — an item not presented during the trial.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39" w:name="fig-task-example"/>
    <w:p>
      <w:pPr>
        <w:pStyle w:val="FigureTitle"/>
      </w:pPr>
      <w:r>
        <w:t xml:space="preserve">Figure 1</w:t>
      </w:r>
    </w:p>
    <w:p>
      <w:pPr>
        <w:pStyle w:val="Caption"/>
      </w:pPr>
      <w:r>
        <w:t xml:space="preserve">Simple span cued recall task. During encoding (A), participants study a sequence of letters at serial positions. At retrieval (B), a position is probed and the participant selects a response. Each response falls into one of three categories: correct (the target at the probed position), intrusion (a studied item from another position), or not-presented lure (NPL).</w:t>
      </w:r>
    </w:p>
    <w:p>
      <w:pPr>
        <w:pStyle w:val="FigureWithoutNote"/>
      </w:pPr>
      <w:r>
        <w:drawing>
          <wp:inline>
            <wp:extent cx="5943600" cy="1917700"/>
            <wp:effectExtent b="0" l="0" r="0" t="0"/>
            <wp:docPr descr="" title="" id="37" name="Picture"/>
            <a:graphic>
              <a:graphicData uri="http://schemas.openxmlformats.org/drawingml/2006/picture">
                <pic:pic>
                  <pic:nvPicPr>
                    <pic:cNvPr descr="../figures/task_example.pdf" id="38" name="Picture"/>
                    <pic:cNvPicPr>
                      <a:picLocks noChangeArrowheads="1" noChangeAspect="1"/>
                    </pic:cNvPicPr>
                  </pic:nvPicPr>
                  <pic:blipFill>
                    <a:blip r:embed="rId36"/>
                    <a:stretch>
                      <a:fillRect/>
                    </a:stretch>
                  </pic:blipFill>
                  <pic:spPr bwMode="auto">
                    <a:xfrm>
                      <a:off x="0" y="0"/>
                      <a:ext cx="5943600" cy="1917700"/>
                    </a:xfrm>
                    <a:prstGeom prst="rect">
                      <a:avLst/>
                    </a:prstGeom>
                    <a:noFill/>
                    <a:ln w="9525">
                      <a:noFill/>
                      <a:headEnd/>
                      <a:tailEnd/>
                    </a:ln>
                  </pic:spPr>
                </pic:pic>
              </a:graphicData>
            </a:graphic>
          </wp:inline>
        </w:drawing>
      </w:r>
    </w:p>
    <w:bookmarkEnd w:id="39"/>
    <w:bookmarkStart w:id="45"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hyperlink w:anchor="fig-m3-activations">
        <w:r>
          <w:rPr>
            <w:rStyle w:val="Hyperlink"/>
          </w:rPr>
          <w:t xml:space="preserve">Figure 2</w:t>
        </w:r>
      </w:hyperlink>
      <w:r>
        <w:t xml:space="preserve"> </w:t>
      </w:r>
      <w:r>
        <w:t xml:space="preserve">visualizes the additive formulas from the simple span example: each response option receives activation from a subset of the three sources, with the correct target accumulating the most activation. A choice rule then converts these activations into response probabilities (see next section). The</w:t>
      </w:r>
      <w:r>
        <w:t xml:space="preserve"> </w:t>
      </w:r>
      <m:oMath>
        <m:sSup>
          <m:e>
            <m:r>
              <m:t>M</m:t>
            </m:r>
          </m:e>
          <m:sup>
            <m:r>
              <m:t>3</m:t>
            </m:r>
          </m:sup>
        </m:sSup>
      </m:oMath>
      <w:r>
        <w:t xml:space="preserve"> </w:t>
      </w:r>
      <w:r>
        <w:t xml:space="preserve">framework includes pre-specified formulas for simple span and complex span versions</w:t>
      </w:r>
      <w:r>
        <w:t xml:space="preserve"> </w:t>
      </w:r>
      <w:r>
        <w:t xml:space="preserve">(</w:t>
      </w:r>
      <w:hyperlink w:anchor="ref-oberauer2019simple">
        <w:r>
          <w:rPr>
            <w:rStyle w:val="Hyperlink"/>
          </w:rPr>
          <w:t xml:space="preserve">Oberauer &amp; Lewandowsky, 2019</w:t>
        </w:r>
      </w:hyperlink>
      <w:r>
        <w:t xml:space="preserve">)</w:t>
      </w:r>
      <w:r>
        <w:t xml:space="preserve">, and supports custom formulas for novel task designs.</w:t>
      </w:r>
    </w:p>
    <w:bookmarkStart w:id="44" w:name="fig-m3-activations"/>
    <w:p>
      <w:pPr>
        <w:pStyle w:val="FigureTitle"/>
      </w:pPr>
      <w:r>
        <w:t xml:space="preserve">Figure 2</w:t>
      </w:r>
    </w:p>
    <w:p>
      <w:pPr>
        <w:pStyle w:val="Caption"/>
      </w:pPr>
      <w:r>
        <w:t xml:space="preserve">Activation decomposition for each response option in the simple span example from</w:t>
      </w:r>
      <w:r>
        <w:t xml:space="preserve"> </w:t>
      </w:r>
      <w:hyperlink w:anchor="fig-task-example">
        <w:r>
          <w:rPr>
            <w:rStyle w:val="Hyperlink"/>
          </w:rPr>
          <w:t xml:space="preserve">Figure 1</w:t>
        </w:r>
      </w:hyperlink>
      <w:r>
        <w:t xml:space="preserve">. Bars show the total activation for each option, decomposed into baseline (</w:t>
      </w:r>
      <m:oMath>
        <m:r>
          <m:t>b</m:t>
        </m:r>
      </m:oMath>
      <w:r>
        <w:t xml:space="preserve">, grey), item memory (</w:t>
      </w:r>
      <m:oMath>
        <m:r>
          <m:t>a</m:t>
        </m:r>
      </m:oMath>
      <w:r>
        <w:t xml:space="preserve">, blue), and context binding (</w:t>
      </w:r>
      <m:oMath>
        <m:r>
          <m:t>c</m:t>
        </m:r>
      </m:oMath>
      <w:r>
        <w:t xml:space="preserve">, orange). The correct target (D) receives all three sources (</w:t>
      </w:r>
      <m:oMath>
        <m:r>
          <m:t>b</m:t>
        </m:r>
        <m:r>
          <m:rPr>
            <m:sty m:val="p"/>
          </m:rPr>
          <m:t>+</m:t>
        </m:r>
        <m:r>
          <m:t>a</m:t>
        </m:r>
        <m:r>
          <m:rPr>
            <m:sty m:val="p"/>
          </m:rPr>
          <m:t>+</m:t>
        </m:r>
        <m:r>
          <m:t>c</m:t>
        </m:r>
      </m:oMath>
      <w:r>
        <w:t xml:space="preserve">), other studied items receive item memory and baseline (</w:t>
      </w:r>
      <m:oMath>
        <m:r>
          <m:t>b</m:t>
        </m:r>
        <m:r>
          <m:rPr>
            <m:sty m:val="p"/>
          </m:rPr>
          <m:t>+</m:t>
        </m:r>
        <m:r>
          <m:t>a</m:t>
        </m:r>
      </m:oMath>
      <w:r>
        <w:t xml:space="preserve">), and not-presented lures receive only baseline (</w:t>
      </w:r>
      <m:oMath>
        <m:r>
          <m:t>b</m:t>
        </m:r>
      </m:oMath>
      <w:r>
        <w:t xml:space="preserve">). A choice rule converts these activations into response probabilities.</w:t>
      </w:r>
    </w:p>
    <w:p>
      <w:pPr>
        <w:pStyle w:val="FigureWithoutNote"/>
      </w:pPr>
      <w:r>
        <w:drawing>
          <wp:inline>
            <wp:extent cx="5943600" cy="3657600"/>
            <wp:effectExtent b="0" l="0" r="0" t="0"/>
            <wp:docPr descr="" title="" id="42" name="Picture"/>
            <a:graphic>
              <a:graphicData uri="http://schemas.openxmlformats.org/drawingml/2006/picture">
                <pic:pic>
                  <pic:nvPicPr>
                    <pic:cNvPr descr="../figures/m3_activations.pdf" id="43" name="Picture"/>
                    <pic:cNvPicPr>
                      <a:picLocks noChangeArrowheads="1" noChangeAspect="1"/>
                    </pic:cNvPicPr>
                  </pic:nvPicPr>
                  <pic:blipFill>
                    <a:blip r:embed="rId41"/>
                    <a:stretch>
                      <a:fillRect/>
                    </a:stretch>
                  </pic:blipFill>
                  <pic:spPr bwMode="auto">
                    <a:xfrm>
                      <a:off x="0" y="0"/>
                      <a:ext cx="5943600" cy="3657600"/>
                    </a:xfrm>
                    <a:prstGeom prst="rect">
                      <a:avLst/>
                    </a:prstGeom>
                    <a:noFill/>
                    <a:ln w="9525">
                      <a:noFill/>
                      <a:headEnd/>
                      <a:tailEnd/>
                    </a:ln>
                  </pic:spPr>
                </pic:pic>
              </a:graphicData>
            </a:graphic>
          </wp:inline>
        </w:drawing>
      </w:r>
    </w:p>
    <w:bookmarkEnd w:id="44"/>
    <w:bookmarkEnd w:id="45"/>
    <w:bookmarkStart w:id="46"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competitive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of an item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2–4 use the softmax rule as the default.</w:t>
      </w:r>
    </w:p>
    <w:bookmarkEnd w:id="46"/>
    <w:bookmarkStart w:id="47" w:name="model-versions"/>
    <w:p>
      <w:pPr>
        <w:pStyle w:val="Heading2"/>
      </w:pPr>
      <w:r>
        <w:t xml:space="preserve">Model Versions</w:t>
      </w:r>
    </w:p>
    <w:p>
      <w:pPr>
        <w:pStyle w:val="FirstParagraph"/>
      </w:pPr>
      <w:r>
        <w:t xml:space="preserve">Oberauer and Lewandowsky (</w:t>
      </w:r>
      <w:hyperlink w:anchor="ref-oberauer2019simple">
        <w:r>
          <w:rPr>
            <w:rStyle w:val="Hyperlink"/>
          </w:rPr>
          <w:t xml:space="preserve">2019</w:t>
        </w:r>
      </w:hyperlink>
      <w:r>
        <w:t xml:space="preserve">)</w:t>
      </w:r>
      <w:r>
        <w:t xml:space="preserve"> </w:t>
      </w:r>
      <w:r>
        <w:t xml:space="preserve">proposed two concrete</w:t>
      </w:r>
      <w:r>
        <w:t xml:space="preserve"> </w:t>
      </w:r>
      <m:oMath>
        <m:sSup>
          <m:e>
            <m:r>
              <m:t>M</m:t>
            </m:r>
          </m:e>
          <m:sup>
            <m:r>
              <m:t>3</m:t>
            </m:r>
          </m:sup>
        </m:sSup>
      </m:oMath>
      <w:r>
        <w:t xml:space="preserve"> </w:t>
      </w:r>
      <w:r>
        <w:t xml:space="preserve">specifications for canonical memory paradigms, which differ in their response categories and estimated parameters. Beyond these, custom specifications can be defined for novel task designs. We briefly introduce each; the tutorials provide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Researchers can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Tutorial 3 demonstrates how to define and fit a custom version, and Tutorial 4 shows how to validate custom specifications through parameter recovery simulations.</w:t>
      </w:r>
    </w:p>
    <w:bookmarkEnd w:id="47"/>
    <w:bookmarkStart w:id="51"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8"/>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50"/>
      </w:r>
    </w:p>
    <w:bookmarkEnd w:id="51"/>
    <w:bookmarkEnd w:id="52"/>
    <w:bookmarkStart w:id="74"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53" w:name="data"/>
    <w:p>
      <w:pPr>
        <w:pStyle w:val="Heading2"/>
      </w:pPr>
      <w:r>
        <w:t xml:space="preserve">Data</w:t>
      </w:r>
    </w:p>
    <w:p>
      <w:pPr>
        <w:pStyle w:val="FirstParagraph"/>
      </w:pPr>
      <w:r>
        <w:t xml:space="preserve">Each recognition trial presents a position probe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An</w:t>
      </w:r>
      <w:r>
        <w:t xml:space="preserve"> </w:t>
      </w:r>
      <m:oMath>
        <m:sSup>
          <m:e>
            <m:r>
              <m:t>M</m:t>
            </m:r>
          </m:e>
          <m:sup>
            <m:r>
              <m:t>3</m:t>
            </m:r>
          </m:sup>
        </m:sSup>
      </m:oMath>
      <w:r>
        <w:t xml:space="preserve"> </w:t>
      </w:r>
      <w:r>
        <w:t xml:space="preserve">requires aggregated data with one row per participant and condition. Each row contains (a) response frequency counts per category - how often the participant chose each option - and (b) the number of response options available per category. For the simple span version, this means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plus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53"/>
    <w:bookmarkStart w:id="57"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decisions: (a) which response categories and option counts define the task structure, and (b) how experimental conditions predict the activation parameters. In the</w:t>
      </w:r>
      <w:r>
        <w:t xml:space="preserve"> </w:t>
      </w:r>
      <w:r>
        <w:rPr>
          <w:rStyle w:val="VerbatimChar"/>
        </w:rPr>
        <w:t xml:space="preserve">bmm</w:t>
      </w:r>
      <w:r>
        <w:t xml:space="preserve"> </w:t>
      </w:r>
      <w:r>
        <w:t xml:space="preserve">package, these are encoded via two objects -</w:t>
      </w:r>
      <w:r>
        <w:t xml:space="preserve"> </w:t>
      </w:r>
      <w:r>
        <w:rPr>
          <w:rStyle w:val="VerbatimChar"/>
        </w:rPr>
        <w:t xml:space="preserve">m3()</w:t>
      </w:r>
      <w:r>
        <w:t xml:space="preserve"> </w:t>
      </w:r>
      <w:r>
        <w:t xml:space="preserve">for the model structure and</w:t>
      </w:r>
      <w:r>
        <w:t xml:space="preserve"> </w:t>
      </w:r>
      <w:r>
        <w:rPr>
          <w:rStyle w:val="VerbatimChar"/>
        </w:rPr>
        <w:t xml:space="preserve">bmf()</w:t>
      </w:r>
      <w:r>
        <w:t xml:space="preserve"> </w:t>
      </w:r>
      <w:r>
        <w:t xml:space="preserve">for the predictor formulas. The simple span model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is specified as follows: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The simple span version estimates two parameters:</w:t>
      </w:r>
      <w:r>
        <w:t xml:space="preserve"> </w:t>
      </w:r>
      <m:oMath>
        <m:r>
          <m:t>a</m:t>
        </m:r>
      </m:oMath>
      <w:r>
        <w:t xml:space="preserve"> </w:t>
      </w:r>
      <w:r>
        <w:t xml:space="preserve">(item activation) and</w:t>
      </w:r>
      <w:r>
        <w:t xml:space="preserve"> </w:t>
      </w:r>
      <m:oMath>
        <m:r>
          <m:t>c</m:t>
        </m:r>
      </m:oMath>
      <w:r>
        <w:t xml:space="preserve"> </w:t>
      </w:r>
      <w:r>
        <w:t xml:space="preserve">(context binding). The baseline</w:t>
      </w:r>
      <w:r>
        <w:t xml:space="preserve"> </w:t>
      </w:r>
      <m:oMath>
        <m:r>
          <m:t>b</m:t>
        </m:r>
      </m:oMath>
      <w:r>
        <w:t xml:space="preserve"> </w:t>
      </w:r>
      <w:r>
        <w:t xml:space="preserve">is fixed for model identification</w:t>
      </w:r>
      <w:r>
        <w:t xml:space="preserve"> </w:t>
      </w:r>
      <w:r>
        <w:t xml:space="preserve">(see</w:t>
      </w:r>
      <w:r>
        <w:t xml:space="preserve"> </w:t>
      </w:r>
      <w:hyperlink w:anchor="ref-oberauer2019simple">
        <w:r>
          <w:rPr>
            <w:rStyle w:val="Hyperlink"/>
          </w:rPr>
          <w:t xml:space="preserve">Oberauer &amp; Lewandowsky, 2019</w:t>
        </w:r>
      </w:hyperlink>
      <w:r>
        <w:t xml:space="preserve"> </w:t>
      </w:r>
      <w:r>
        <w:t xml:space="preserve">for details)</w:t>
      </w:r>
      <w:r>
        <w:t xml:space="preserve">. Note that pre-built versions assign activation formulas to categories by position, so</w:t>
      </w:r>
      <w:r>
        <w:t xml:space="preserve"> </w:t>
      </w:r>
      <w:r>
        <w:rPr>
          <w:rStyle w:val="VerbatimChar"/>
        </w:rPr>
        <w:t xml:space="preserve">resp_cats</w:t>
      </w:r>
      <w:r>
        <w:t xml:space="preserve"> </w:t>
      </w:r>
      <w:r>
        <w:t xml:space="preserve">must follow the canonical order (for</w:t>
      </w:r>
      <w:r>
        <w:t xml:space="preserve"> </w:t>
      </w:r>
      <w:r>
        <w:rPr>
          <w:rStyle w:val="VerbatimChar"/>
        </w:rPr>
        <w:t xml:space="preserve">ss</w:t>
      </w:r>
      <w:r>
        <w:t xml:space="preserve">:</w:t>
      </w:r>
      <w:r>
        <w:t xml:space="preserve"> </w:t>
      </w:r>
      <w:r>
        <w:rPr>
          <w:rStyle w:val="VerbatimChar"/>
        </w:rPr>
        <w:t xml:space="preserve">corr, other, npl</w:t>
      </w:r>
      <w:r>
        <w:t xml:space="preserve">).</w:t>
      </w:r>
      <w:r>
        <w:rPr>
          <w:rStyle w:val="FootnoteReference"/>
        </w:rPr>
        <w:footnoteReference w:id="54"/>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5"/>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Under the softmax rule,</w:t>
      </w:r>
      <w:r>
        <w:t xml:space="preserve"> </w:t>
      </w:r>
      <m:oMath>
        <m:r>
          <m:t>a</m:t>
        </m:r>
      </m:oMath>
      <w:r>
        <w:t xml:space="preserve"> </w:t>
      </w:r>
      <w:r>
        <w:t xml:space="preserve">and</w:t>
      </w:r>
      <w:r>
        <w:t xml:space="preserve"> </w:t>
      </w:r>
      <m:oMath>
        <m:r>
          <m:t>c</m:t>
        </m:r>
      </m:oMath>
      <w:r>
        <w:t xml:space="preserve"> </w:t>
      </w:r>
      <w:r>
        <w:t xml:space="preserve">are estimated on the identity link, so posterior draws are directly interpretable as activation values. The</w:t>
      </w:r>
      <w:r>
        <w:t xml:space="preserve"> </w:t>
      </w:r>
      <w:r>
        <w:rPr>
          <w:rStyle w:val="VerbatimChar"/>
        </w:rPr>
        <w:t xml:space="preserve">bmm</w:t>
      </w:r>
      <w:r>
        <w:t xml:space="preserve"> </w:t>
      </w:r>
      <w:r>
        <w:t xml:space="preserve">package sets weakly informative default priors based on known parameter ranges; we use these defaults throughout Tutorial 1. Tutorial 2 shows how to set custom priors when needed.</w:t>
      </w:r>
      <w:r>
        <w:rPr>
          <w:rStyle w:val="FootnoteReference"/>
        </w:rPr>
        <w:footnoteReference w:id="56"/>
      </w:r>
    </w:p>
    <w:bookmarkEnd w:id="57"/>
    <w:bookmarkStart w:id="60"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translates the model specification to Stan code and estimates the posterior via MCMC (default: 4 chains, 2,000 iterations each, 1,000 warmup). We saved prior samples for later hypothesis tests and the full posterior for model comparisons via Bayes factors.</w:t>
      </w:r>
      <w:r>
        <w:rPr>
          <w:rStyle w:val="FootnoteReference"/>
        </w:rPr>
        <w:footnoteReference w:id="58"/>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After model fitting, convergence should be verified via</w:t>
      </w:r>
      <w:r>
        <w:t xml:space="preserve"> </w:t>
      </w:r>
      <m:oMath>
        <m:acc>
          <m:accPr>
            <m:chr m:val="̂"/>
          </m:accPr>
          <m:e>
            <m:r>
              <m:t>R</m:t>
            </m:r>
          </m:e>
        </m:acc>
      </m:oMath>
      <w:r>
        <w:t xml:space="preserve"> </w:t>
      </w:r>
      <w:r>
        <w:t xml:space="preserve">(</w:t>
      </w:r>
      <w:hyperlink w:anchor="ref-gelman1992inference">
        <w:r>
          <w:rPr>
            <w:rStyle w:val="Hyperlink"/>
          </w:rPr>
          <w:t xml:space="preserve">Gelman &amp; Rubin, 1992</w:t>
        </w:r>
      </w:hyperlink>
      <w:r>
        <w:t xml:space="preserve">)</w:t>
      </w:r>
      <w:r>
        <w:t xml:space="preserve"> </w:t>
      </w:r>
      <w:r>
        <w:t xml:space="preserve">and effective sample size. For all models in this tutorial, convergence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 If convergence issues arise (divergent transitions, low ESS), increasing iterations, adjusting</w:t>
      </w:r>
      <w:r>
        <w:t xml:space="preserve"> </w:t>
      </w:r>
      <w:r>
        <w:rPr>
          <w:rStyle w:val="VerbatimChar"/>
        </w:rPr>
        <w:t xml:space="preserve">adapt_delta</w:t>
      </w:r>
      <w:r>
        <w:t xml:space="preserve">, or simplifying the model are standard remedies.</w:t>
      </w:r>
      <w:r>
        <w:rPr>
          <w:rStyle w:val="FootnoteReference"/>
        </w:rPr>
        <w:footnoteReference w:id="59"/>
      </w:r>
    </w:p>
    <w:bookmarkEnd w:id="60"/>
    <w:bookmarkStart w:id="65" w:name="model-evaluation"/>
    <w:p>
      <w:pPr>
        <w:pStyle w:val="Heading2"/>
      </w:pPr>
      <w:r>
        <w:t xml:space="preserve">Model Evaluation</w:t>
      </w:r>
    </w:p>
    <w:p>
      <w:pPr>
        <w:pStyle w:val="FirstParagraph"/>
      </w:pPr>
      <w:r>
        <w:t xml:space="preserve">Before interpreting parameter estimates, we verify that the fitted model captures the observed data. A posterior predictive check compares observed response proportions to model-predicted proportions; systematic discrepancies would indicate that the activation formulas or choice rule fail to capture the data-generating process. We computed expected counts per category from the posterior predictive distribution, averaged across draws, and aggregated to participant-level proportions by set size and experiment (see the companion script</w:t>
      </w:r>
      <w:r>
        <w:t xml:space="preserve"> </w:t>
      </w:r>
      <w:r>
        <w:rPr>
          <w:rStyle w:val="VerbatimChar"/>
        </w:rPr>
        <w:t xml:space="preserve">scripts/tutorial1_simple_span.R</w:t>
      </w:r>
      <w:r>
        <w:t xml:space="preserve"> </w:t>
      </w:r>
      <w:r>
        <w:t xml:space="preserve">for the full code).</w:t>
      </w:r>
      <w:r>
        <w:t xml:space="preserve"> </w:t>
      </w:r>
      <w:hyperlink w:anchor="fig-t1-pp-check">
        <w:r>
          <w:rPr>
            <w:rStyle w:val="Hyperlink"/>
          </w:rPr>
          <w:t xml:space="preserve">Figure 3</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64" w:name="fig-t1-pp-check"/>
    <w:p>
      <w:pPr>
        <w:pStyle w:val="FigureTitle"/>
      </w:pPr>
      <w:r>
        <w:t xml:space="preserve">Figure 3</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62" name="Picture"/>
            <a:graphic>
              <a:graphicData uri="http://schemas.openxmlformats.org/drawingml/2006/picture">
                <pic:pic>
                  <pic:nvPicPr>
                    <pic:cNvPr descr="../figures/tutorial1_pp_check_softmax.pdf" id="63" name="Picture"/>
                    <pic:cNvPicPr>
                      <a:picLocks noChangeArrowheads="1" noChangeAspect="1"/>
                    </pic:cNvPicPr>
                  </pic:nvPicPr>
                  <pic:blipFill>
                    <a:blip r:embed="rId61"/>
                    <a:stretch>
                      <a:fillRect/>
                    </a:stretch>
                  </pic:blipFill>
                  <pic:spPr bwMode="auto">
                    <a:xfrm>
                      <a:off x="0" y="0"/>
                      <a:ext cx="5943600" cy="5486400"/>
                    </a:xfrm>
                    <a:prstGeom prst="rect">
                      <a:avLst/>
                    </a:prstGeom>
                    <a:noFill/>
                    <a:ln w="9525">
                      <a:noFill/>
                      <a:headEnd/>
                      <a:tailEnd/>
                    </a:ln>
                  </pic:spPr>
                </pic:pic>
              </a:graphicData>
            </a:graphic>
          </wp:inline>
        </w:drawing>
      </w:r>
    </w:p>
    <w:bookmarkEnd w:id="64"/>
    <w:bookmarkEnd w:id="65"/>
    <w:bookmarkStart w:id="70"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4</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These results are consistent with the original findings by</w:t>
      </w:r>
      <w:r>
        <w:t xml:space="preserve"> </w:t>
      </w:r>
      <w:r>
        <w:t xml:space="preserve">Oberauer (</w:t>
      </w:r>
      <w:hyperlink w:anchor="ref-oberauer2019bindings">
        <w:r>
          <w:rPr>
            <w:rStyle w:val="Hyperlink"/>
          </w:rPr>
          <w:t xml:space="preserve">2019</w:t>
        </w:r>
      </w:hyperlink>
      <w:r>
        <w:t xml:space="preserve">, see their discussion for theoretical interpretation of the experiment differences)</w:t>
      </w:r>
      <w:r>
        <w:t xml:space="preserve">.</w:t>
      </w:r>
    </w:p>
    <w:bookmarkStart w:id="69" w:name="fig-t1-param-estimates"/>
    <w:p>
      <w:pPr>
        <w:pStyle w:val="FigureTitle"/>
      </w:pPr>
      <w:r>
        <w:t xml:space="preserve">Figure 4</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2552700"/>
            <wp:effectExtent b="0" l="0" r="0" t="0"/>
            <wp:docPr descr="" title="" id="67" name="Picture"/>
            <a:graphic>
              <a:graphicData uri="http://schemas.openxmlformats.org/drawingml/2006/picture">
                <pic:pic>
                  <pic:nvPicPr>
                    <pic:cNvPr descr="../figures/tutorial1_param_estimates_softmax.pdf" id="68" name="Picture"/>
                    <pic:cNvPicPr>
                      <a:picLocks noChangeArrowheads="1" noChangeAspect="1"/>
                    </pic:cNvPicPr>
                  </pic:nvPicPr>
                  <pic:blipFill>
                    <a:blip r:embed="rId66"/>
                    <a:stretch>
                      <a:fillRect/>
                    </a:stretch>
                  </pic:blipFill>
                  <pic:spPr bwMode="auto">
                    <a:xfrm>
                      <a:off x="0" y="0"/>
                      <a:ext cx="5943600" cy="2552700"/>
                    </a:xfrm>
                    <a:prstGeom prst="rect">
                      <a:avLst/>
                    </a:prstGeom>
                    <a:noFill/>
                    <a:ln w="9525">
                      <a:noFill/>
                      <a:headEnd/>
                      <a:tailEnd/>
                    </a:ln>
                  </pic:spPr>
                </pic:pic>
              </a:graphicData>
            </a:graphic>
          </wp:inline>
        </w:drawing>
      </w:r>
    </w:p>
    <w:bookmarkEnd w:id="69"/>
    <w:bookmarkEnd w:id="70"/>
    <w:bookmarkStart w:id="72"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(see the posterior predictive plot in the online supplement:</w:t>
      </w:r>
      <w:r>
        <w:t xml:space="preserve"> </w:t>
      </w:r>
      <w:r>
        <w:rPr>
          <w:rStyle w:val="VerbatimChar"/>
        </w:rPr>
        <w:t xml:space="preserve">figures/tutorial1_pp_check_simple.pdf</w:t>
      </w:r>
      <w:r>
        <w:t xml:space="preserve">). The simple rule slightly overpredicts other-list intrusions in some conditions.</w:t>
      </w:r>
      <w:r>
        <w:rPr>
          <w:rStyle w:val="FootnoteReference"/>
        </w:rPr>
        <w:footnoteReference w:id="71"/>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 to set</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the softmax choice rule to outperform the simple rule across different working memory tasks. We use the softmax rule as the default in the remaining tutorials.</w:t>
      </w:r>
    </w:p>
    <w:bookmarkEnd w:id="72"/>
    <w:bookmarkStart w:id="73"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set size reduces context binding (averaged across experiments):</w:t>
      </w:r>
    </w:p>
    <w:p>
      <w:pPr>
        <w:pStyle w:val="SourceCode"/>
      </w:pP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p>
    <w:p>
      <w:pPr>
        <w:pStyle w:val="FirstParagraph"/>
      </w:pPr>
      <w:r>
        <w:t xml:space="preserve">This returns a Savage-Dickey density ratio: the ratio of prior to posterior density at the point null. Values substantially greater than 1 indicate that the data have shifted belief away from equality; values near 1 indicate inconclusive evidence. There is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w:t>
      </w:r>
      <w:r>
        <w:t xml:space="preserve"> </w:t>
      </w:r>
      <m:oMath>
        <m:r>
          <m:rPr>
            <m:sty m:val="p"/>
          </m:rPr>
          <m:t>≥</m:t>
        </m:r>
      </m:oMath>
      <w:r>
        <w:t xml:space="preserve"> </w:t>
      </w:r>
      <w:r>
        <w:t xml:space="preserve">10,000). We can similarly test whether set size reduces item memory and whether the set size effects differ between experiments:</w:t>
      </w:r>
    </w:p>
    <w:p>
      <w:pPr>
        <w:pStyle w:val="SourceCode"/>
      </w:pPr>
      <w:r>
        <w:rPr>
          <w:rStyle w:val="CommentTok"/>
        </w:rPr>
        <w:t xml:space="preserve"># Set size effect on item memory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"(a_expopenset:ss_lin + a_expclosedset:ss_lin) / 2 = 0"</w:t>
      </w:r>
      <w:r>
        <w:rPr>
          <w:rStyle w:val="NormalTok"/>
        </w:rPr>
        <w:t xml:space="preserve">)</w:t>
      </w:r>
      <w:r>
        <w:br/>
      </w:r>
      <w:r>
        <w:br/>
      </w: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p>
    <w:p>
      <w:pPr>
        <w:pStyle w:val="FirstParagraph"/>
      </w:pPr>
      <w:r>
        <w:t xml:space="preserve">There is also moderate evidence that set size reduces</w:t>
      </w:r>
      <w:r>
        <w:t xml:space="preserve"> </w:t>
      </w:r>
      <m:oMath>
        <m:r>
          <m:t>a</m:t>
        </m:r>
      </m:oMath>
      <w:r>
        <w:t xml:space="preserve"> </w:t>
      </w:r>
      <w:r>
        <w:t xml:space="preserve">(BF</w:t>
      </w:r>
      <m:oMath>
        <m:sSub>
          <m:e>
            <m:r>
              <m:t>​</m:t>
            </m:r>
          </m:e>
          <m:sub>
            <m:r>
              <m:t>10</m:t>
            </m:r>
          </m:sub>
        </m:sSub>
      </m:oMath>
      <w:r>
        <w:t xml:space="preserve"> </w:t>
      </w:r>
      <w:r>
        <w:t xml:space="preserve">= 5.83). The set size effect on</w:t>
      </w:r>
      <w:r>
        <w:t xml:space="preserve"> </w:t>
      </w:r>
      <m:oMath>
        <m:r>
          <m:t>c</m:t>
        </m:r>
      </m:oMath>
      <w:r>
        <w:t xml:space="preserve"> </w:t>
      </w:r>
      <w:r>
        <w:t xml:space="preserve">is comparable across experiments (BF</w:t>
      </w:r>
      <m:oMath>
        <m:sSub>
          <m:e>
            <m:r>
              <m:t>​</m:t>
            </m:r>
          </m:e>
          <m:sub>
            <m:r>
              <m:t>01</m:t>
            </m:r>
          </m:sub>
        </m:sSub>
      </m:oMath>
      <w:r>
        <w:t xml:space="preserve"> </w:t>
      </w:r>
      <w:r>
        <w:t xml:space="preserve">= 61.3). The companion script contains the full set of hypothesis tests.</w:t>
      </w:r>
    </w:p>
    <w:bookmarkEnd w:id="73"/>
    <w:bookmarkEnd w:id="74"/>
    <w:bookmarkStart w:id="89"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75" w:name="what-makes-complex-span-different"/>
    <w:p>
      <w:pPr>
        <w:pStyle w:val="Heading2"/>
      </w:pPr>
      <w:r>
        <w:t xml:space="preserve">What makes complex span different</w:t>
      </w:r>
    </w:p>
    <w:p>
      <w:pPr>
        <w:pStyle w:val="FirstParagraph"/>
      </w:pPr>
      <w:r>
        <w:t xml:space="preserve">Complex span tasks impose higher cognitive load than simple span tasks because they require participants to perform a processing task and a memory task simultaneously</w:t>
      </w:r>
      <w:r>
        <w:t xml:space="preserve"> </w:t>
      </w:r>
      <w:r>
        <w:t xml:space="preserve">(for a detailed description and task illustration, see</w:t>
      </w:r>
      <w:r>
        <w:t xml:space="preserve"> </w:t>
      </w:r>
      <w:hyperlink w:anchor="ref-li2026filtering">
        <w:r>
          <w:rPr>
            <w:rStyle w:val="Hyperlink"/>
          </w:rPr>
          <w:t xml:space="preserve">Li et al., 2026, Figure 1</w:t>
        </w:r>
      </w:hyperlink>
      <w:r>
        <w:t xml:space="preserve">)</w:t>
      </w:r>
      <w:r>
        <w:t xml:space="preserve">. In these tasks, stimuli that only serve the processing task but not the memory task may be encoded into working memory and interfere with the maintenance of other items. These stimuli are referred to as distractors and may also be recalled at retrieval. Therefore, in addition to the three response categories used in simple span tasks, complex span tasks include two additional categories to account for distractor responses:</w:t>
      </w:r>
      <w:r>
        <w:t xml:space="preserve"> </w:t>
      </w:r>
      <w:r>
        <w:rPr>
          <w:i/>
          <w:iCs/>
        </w:rPr>
        <w:t xml:space="preserve">paired distractor</w:t>
      </w:r>
      <w:r>
        <w:t xml:space="preserve">, which refers to the distractor associated with the context of the tested target, and</w:t>
      </w:r>
      <w:r>
        <w:t xml:space="preserve"> </w:t>
      </w:r>
      <w:r>
        <w:rPr>
          <w:i/>
          <w:iCs/>
        </w:rPr>
        <w:t xml:space="preserve">other distractor</w:t>
      </w:r>
      <w:r>
        <w:t xml:space="preserve">, which refers to distractors from different contexts. In the complex span (</w:t>
      </w:r>
      <w:r>
        <w:rPr>
          <w:rStyle w:val="VerbatimChar"/>
        </w:rPr>
        <w:t xml:space="preserve">cs</w:t>
      </w:r>
      <w:r>
        <w:t xml:space="preserve">) model, a filtering process (represented by parameter</w:t>
      </w:r>
      <w:r>
        <w:t xml:space="preserve"> </w:t>
      </w:r>
      <m:oMath>
        <m:r>
          <m:t>f</m:t>
        </m:r>
      </m:oMath>
      <w:r>
        <w:t xml:space="preserve">) determines the extent to which a distractor is activated relative to a memorandum.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75"/>
    <w:bookmarkStart w:id="76"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76"/>
    <w:bookmarkStart w:id="77" w:name="model-specification-1"/>
    <w:p>
      <w:pPr>
        <w:pStyle w:val="Heading2"/>
      </w:pPr>
      <w:r>
        <w:t xml:space="preserve">Model specification</w:t>
      </w:r>
    </w:p>
    <w:p>
      <w:pPr>
        <w:pStyle w:val="FirstParagraph"/>
      </w:pPr>
      <w:r>
        <w:t xml:space="preserve">The model specification follows the same pattern as Tutorial 1, now with five response categories in their canonical order (</w:t>
      </w:r>
      <w:r>
        <w:rPr>
          <w:rStyle w:val="VerbatimChar"/>
        </w:rPr>
        <w:t xml:space="preserve">corr, distc, other, disto, npl</w:t>
      </w:r>
      <w:r>
        <w:t xml:space="preserve">):</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The</w:t>
      </w:r>
      <w:r>
        <w:t xml:space="preserve"> </w:t>
      </w:r>
      <w:r>
        <w:rPr>
          <w:rStyle w:val="VerbatimChar"/>
        </w:rPr>
        <w:t xml:space="preserve">cs</w:t>
      </w:r>
      <w:r>
        <w:t xml:space="preserve"> </w:t>
      </w:r>
      <w:r>
        <w:t xml:space="preserve">version estimates three parameters:</w:t>
      </w:r>
      <w:r>
        <w:t xml:space="preserve"> </w:t>
      </w:r>
      <m:oMath>
        <m:r>
          <m:t>a</m:t>
        </m:r>
      </m:oMath>
      <w:r>
        <w:t xml:space="preserve"> </w:t>
      </w:r>
      <w:r>
        <w:t xml:space="preserve">(item activation),</w:t>
      </w:r>
      <w:r>
        <w:t xml:space="preserve"> </w:t>
      </w:r>
      <m:oMath>
        <m:r>
          <m:t>c</m:t>
        </m:r>
      </m:oMath>
      <w:r>
        <w:t xml:space="preserve"> </w:t>
      </w:r>
      <w:r>
        <w:t xml:space="preserve">(context binding), and</w:t>
      </w:r>
      <w:r>
        <w:t xml:space="preserve"> </w:t>
      </w:r>
      <m:oMath>
        <m:r>
          <m:t>f</m:t>
        </m:r>
      </m:oMath>
      <w:r>
        <w:t xml:space="preserve"> </w:t>
      </w:r>
      <w:r>
        <w:t xml:space="preserve">(filtering). The predictor formula specifies condition effects on all three with cell means coding and uncorrelated random effects:</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In the control condition, no distractors are presented, so</w:t>
      </w:r>
      <w:r>
        <w:t xml:space="preserve"> </w:t>
      </w:r>
      <m:oMath>
        <m:r>
          <m:t>f</m:t>
        </m:r>
      </m:oMath>
      <w:r>
        <w:t xml:space="preserve"> </w:t>
      </w:r>
      <w:r>
        <w:t xml:space="preserve">does not influence the likelihood and is not identified. We fix</w:t>
      </w:r>
      <w:r>
        <w:t xml:space="preserve"> </w:t>
      </w:r>
      <m:oMath>
        <m:r>
          <m:t>f</m:t>
        </m:r>
      </m:oMath>
      <w:r>
        <w:t xml:space="preserve"> </w:t>
      </w:r>
      <w:r>
        <w:t xml:space="preserve">in the control condition at a constant value to prevent the sampler from wandering through the prior:</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Because</w:t>
      </w:r>
      <w:r>
        <w:t xml:space="preserve"> </w:t>
      </w:r>
      <m:oMath>
        <m:r>
          <m:t>f</m:t>
        </m:r>
      </m:oMath>
      <w:r>
        <w:t xml:space="preserve"> </w:t>
      </w:r>
      <w:r>
        <w:t xml:space="preserve">does not affect the likelihood in the control condition, the specific fixed value is not critical. Setting the fixed effect to 0 on the logit scale and the random effect SD to 0 pins control-condition filtering at a constant. The remaining conditions estimate</w:t>
      </w:r>
      <w:r>
        <w:t xml:space="preserve"> </w:t>
      </w:r>
      <m:oMath>
        <m:r>
          <m:t>f</m:t>
        </m:r>
      </m:oMath>
      <w:r>
        <w:t xml:space="preserve"> </w:t>
      </w:r>
      <w:r>
        <w:t xml:space="preserve">freely. The companion script contains the full prior specification.</w:t>
      </w:r>
    </w:p>
    <w:bookmarkEnd w:id="77"/>
    <w:bookmarkStart w:id="82"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1.005, bulk ESS</w:t>
      </w:r>
      <w:r>
        <w:t xml:space="preserve"> </w:t>
      </w:r>
      <m:oMath>
        <m:r>
          <m:rPr>
            <m:sty m:val="p"/>
          </m:rPr>
          <m:t>&gt;</m:t>
        </m:r>
      </m:oMath>
      <w:r>
        <w:t xml:space="preserve"> </w:t>
      </w:r>
      <w:r>
        <w:t xml:space="preserve">1,027, no divergent transitions).</w:t>
      </w:r>
      <w:r>
        <w:t xml:space="preserve"> </w:t>
      </w:r>
      <w:hyperlink w:anchor="fig-t2-pp-check">
        <w:r>
          <w:rPr>
            <w:rStyle w:val="Hyperlink"/>
          </w:rPr>
          <w:t xml:space="preserve">Figure 5</w:t>
        </w:r>
      </w:hyperlink>
      <w:r>
        <w:t xml:space="preserve"> </w:t>
      </w:r>
      <w:r>
        <w:t xml:space="preserve">shows the posterior predictive check. The model captured the observed response proportions well across all three conditions and five categories.</w:t>
      </w:r>
    </w:p>
    <w:bookmarkStart w:id="81" w:name="fig-t2-pp-check"/>
    <w:p>
      <w:pPr>
        <w:pStyle w:val="FigureTitle"/>
      </w:pPr>
      <w:r>
        <w:t xml:space="preserve">Figure 5</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79" name="Picture"/>
            <a:graphic>
              <a:graphicData uri="http://schemas.openxmlformats.org/drawingml/2006/picture">
                <pic:pic>
                  <pic:nvPicPr>
                    <pic:cNvPr descr="../figures/tutorial2_pp_check.pdf" id="80" name="Picture"/>
                    <pic:cNvPicPr>
                      <a:picLocks noChangeArrowheads="1" noChangeAspect="1"/>
                    </pic:cNvPicPr>
                  </pic:nvPicPr>
                  <pic:blipFill>
                    <a:blip r:embed="rId78"/>
                    <a:stretch>
                      <a:fillRect/>
                    </a:stretch>
                  </pic:blipFill>
                  <pic:spPr bwMode="auto">
                    <a:xfrm>
                      <a:off x="0" y="0"/>
                      <a:ext cx="5943600" cy="2743200"/>
                    </a:xfrm>
                    <a:prstGeom prst="rect">
                      <a:avLst/>
                    </a:prstGeom>
                    <a:noFill/>
                    <a:ln w="9525">
                      <a:noFill/>
                      <a:headEnd/>
                      <a:tailEnd/>
                    </a:ln>
                  </pic:spPr>
                </pic:pic>
              </a:graphicData>
            </a:graphic>
          </wp:inline>
        </w:drawing>
      </w:r>
    </w:p>
    <w:bookmarkEnd w:id="81"/>
    <w:bookmarkEnd w:id="82"/>
    <w:bookmarkStart w:id="87"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86" w:name="fig-t2-param-estimates"/>
    <w:p>
      <w:pPr>
        <w:pStyle w:val="FigureTitle"/>
      </w:pPr>
      <w:r>
        <w:t xml:space="preserve">Figure 6</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2921000"/>
            <wp:effectExtent b="0" l="0" r="0" t="0"/>
            <wp:docPr descr="" title="" id="84" name="Picture"/>
            <a:graphic>
              <a:graphicData uri="http://schemas.openxmlformats.org/drawingml/2006/picture">
                <pic:pic>
                  <pic:nvPicPr>
                    <pic:cNvPr descr="../figures/tutorial2_param_estimates.pdf" id="85" name="Picture"/>
                    <pic:cNvPicPr>
                      <a:picLocks noChangeArrowheads="1" noChangeAspect="1"/>
                    </pic:cNvPicPr>
                  </pic:nvPicPr>
                  <pic:blipFill>
                    <a:blip r:embed="rId83"/>
                    <a:stretch>
                      <a:fillRect/>
                    </a:stretch>
                  </pic:blipFill>
                  <pic:spPr bwMode="auto">
                    <a:xfrm>
                      <a:off x="0" y="0"/>
                      <a:ext cx="5943600" cy="2921000"/>
                    </a:xfrm>
                    <a:prstGeom prst="rect">
                      <a:avLst/>
                    </a:prstGeom>
                    <a:noFill/>
                    <a:ln w="9525">
                      <a:noFill/>
                      <a:headEnd/>
                      <a:tailEnd/>
                    </a:ln>
                  </pic:spPr>
                </pic:pic>
              </a:graphicData>
            </a:graphic>
          </wp:inline>
        </w:drawing>
      </w:r>
    </w:p>
    <w:bookmarkEnd w:id="86"/>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0.63,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7"/>
    <w:bookmarkStart w:id="88"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w:t>
      </w:r>
      <m:oMath>
        <m:r>
          <m:t>B</m:t>
        </m:r>
        <m:sSub>
          <m:e>
            <m:r>
              <m:t>F</m:t>
            </m:r>
          </m:e>
          <m:sub>
            <m:r>
              <m:t>01</m:t>
            </m:r>
          </m:sub>
        </m:sSub>
        <m:r>
          <m:rPr>
            <m:sty m:val="p"/>
          </m:rPr>
          <m:t>=</m:t>
        </m:r>
        <m:r>
          <m:t>10.1</m:t>
        </m:r>
      </m:oMath>
      <w:r>
        <w:t xml:space="preserve">). There is inconclusive evidence for item memory</w:t>
      </w:r>
      <w:r>
        <w:t xml:space="preserve"> </w:t>
      </w:r>
      <m:oMath>
        <m:r>
          <m:t>a</m:t>
        </m:r>
      </m:oMath>
      <w:r>
        <w:t xml:space="preserve"> </w:t>
      </w:r>
      <w:r>
        <w:t xml:space="preserve">comparing the distractor conditions to the control (</w:t>
      </w:r>
      <m:oMath>
        <m:r>
          <m:t>B</m:t>
        </m:r>
        <m:sSub>
          <m:e>
            <m:r>
              <m:t>F</m:t>
            </m:r>
          </m:e>
          <m:sub>
            <m:r>
              <m:t>10</m:t>
            </m:r>
          </m:sub>
        </m:sSub>
        <m:r>
          <m:rPr>
            <m:sty m:val="p"/>
          </m:rPr>
          <m:t>=</m:t>
        </m:r>
        <m:r>
          <m:t>0.44</m:t>
        </m:r>
      </m:oMath>
      <w:r>
        <w:t xml:space="preserve">); however, context activation</w:t>
      </w:r>
      <w:r>
        <w:t xml:space="preserve"> </w:t>
      </w:r>
      <m:oMath>
        <m:r>
          <m:t>c</m:t>
        </m:r>
      </m:oMath>
      <w:r>
        <w:t xml:space="preserve"> </w:t>
      </w:r>
      <w:r>
        <w:t xml:space="preserve">is lower in the distractor conditions (</w:t>
      </w:r>
      <m:oMath>
        <m:r>
          <m:t>B</m:t>
        </m:r>
        <m:sSub>
          <m:e>
            <m:r>
              <m:t>F</m:t>
            </m:r>
          </m:e>
          <m:sub>
            <m:r>
              <m:t>10</m:t>
            </m:r>
          </m:sub>
        </m:sSub>
        <m:r>
          <m:rPr>
            <m:sty m:val="p"/>
          </m:rPr>
          <m:t>=</m:t>
        </m:r>
        <m:r>
          <m:t>7.99</m:t>
        </m:r>
      </m:oMath>
      <w:r>
        <w:t xml:space="preserve">).</w:t>
      </w:r>
    </w:p>
    <w:bookmarkEnd w:id="88"/>
    <w:bookmarkEnd w:id="89"/>
    <w:bookmarkStart w:id="104" w:name="tutorial-3-custom-m3"/>
    <w:p>
      <w:pPr>
        <w:pStyle w:val="Heading1"/>
      </w:pPr>
      <w:r>
        <w:t xml:space="preserve">Tutorial 3: Custom</w:t>
      </w:r>
      <w:r>
        <w:t xml:space="preserve"> </w:t>
      </w:r>
      <m:oMath>
        <m:sSup>
          <m:e>
            <m:r>
              <m:t>M</m:t>
            </m:r>
          </m:e>
          <m:sup>
            <m:r>
              <m:t>3</m:t>
            </m:r>
          </m:sup>
        </m:sSup>
      </m:oMath>
    </w:p>
    <w:p>
      <w:pPr>
        <w:pStyle w:val="FirstParagraph"/>
      </w:pPr>
      <w:r>
        <w:t xml:space="preserve">The previous tutorials used the</w:t>
      </w:r>
      <w:r>
        <w:t xml:space="preserve"> </w:t>
      </w:r>
      <w:r>
        <w:rPr>
          <w:rStyle w:val="VerbatimChar"/>
        </w:rPr>
        <w:t xml:space="preserve">ss</w:t>
      </w:r>
      <w:r>
        <w:t xml:space="preserve"> </w:t>
      </w:r>
      <w:r>
        <w:t xml:space="preserve">and</w:t>
      </w:r>
      <w:r>
        <w:t xml:space="preserve"> </w:t>
      </w:r>
      <w:r>
        <w:rPr>
          <w:rStyle w:val="VerbatimChar"/>
        </w:rPr>
        <w:t xml:space="preserve">cs</w:t>
      </w:r>
      <w:r>
        <w:t xml:space="preserve"> </w:t>
      </w:r>
      <w:r>
        <w:t xml:space="preserve">specifications proposed by</w:t>
      </w:r>
      <w:r>
        <w:t xml:space="preserve"> </w:t>
      </w:r>
      <w:r>
        <w:t xml:space="preserve">Oberauer and Lewandowsky (</w:t>
      </w:r>
      <w:hyperlink w:anchor="ref-oberauer2019simple">
        <w:r>
          <w:rPr>
            <w:rStyle w:val="Hyperlink"/>
          </w:rPr>
          <w:t xml:space="preserve">2019</w:t>
        </w:r>
      </w:hyperlink>
      <w:r>
        <w:t xml:space="preserve">)</w:t>
      </w:r>
      <w:r>
        <w:t xml:space="preserve">, which come with fixed activation formulas. However, these pre-built versions impose constraints that may not match every research question. For example, the</w:t>
      </w:r>
      <w:r>
        <w:t xml:space="preserve"> </w:t>
      </w:r>
      <w:r>
        <w:rPr>
          <w:rStyle w:val="VerbatimChar"/>
        </w:rPr>
        <w:t xml:space="preserve">cs</w:t>
      </w:r>
      <w:r>
        <w:t xml:space="preserve"> </w:t>
      </w:r>
      <w:r>
        <w:t xml:space="preserve">version assumes symmetric distractor attenuation: both item memory and context binding are scaled by the single parameter</w:t>
      </w:r>
      <w:r>
        <w:t xml:space="preserve"> </w:t>
      </w:r>
      <m:oMath>
        <m:r>
          <m:t>f</m:t>
        </m:r>
      </m:oMath>
      <w:r>
        <w:t xml:space="preserve">. This rules out the possibility that item and context information transfer to distractors at different rates.</w:t>
      </w:r>
    </w:p>
    <w:p>
      <w:pPr>
        <w:pStyle w:val="BodyText"/>
      </w:pPr>
      <w:r>
        <w:t xml:space="preserve">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this distinction using a custom specification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and found that item memory transfers almost fully to distractors while context binding is more attenuated. When a research question requires this kind of flexibility - or when the task design does not map onto the simple or complex span versions - the</w:t>
      </w:r>
      <w:r>
        <w:t xml:space="preserve"> </w:t>
      </w:r>
      <m:oMath>
        <m:sSup>
          <m:e>
            <m:r>
              <m:t>M</m:t>
            </m:r>
          </m:e>
          <m:sup>
            <m:r>
              <m:t>3</m:t>
            </m:r>
          </m:sup>
        </m:sSup>
      </m:oMath>
      <w:r>
        <w:t xml:space="preserve"> </w:t>
      </w:r>
      <w:r>
        <w:t xml:space="preserve">framework supports fully custom specifications with user-defined response categories and activation formulas. This tutorial demonstrates how to define, fit, and compare such custom specifications using the same data as Tutorial 2. The companion script is</w:t>
      </w:r>
      <w:r>
        <w:t xml:space="preserve"> </w:t>
      </w:r>
      <w:r>
        <w:rPr>
          <w:rStyle w:val="VerbatimChar"/>
        </w:rPr>
        <w:t xml:space="preserve">scripts/tutorial3_custom_filtering.R</w:t>
      </w:r>
      <w:r>
        <w:t xml:space="preserve">.</w:t>
      </w:r>
    </w:p>
    <w:bookmarkStart w:id="90" w:name="X27b1f7a65d1ead4277cbf164ad0561d85835384"/>
    <w:p>
      <w:pPr>
        <w:pStyle w:val="Heading2"/>
      </w:pPr>
      <w:r>
        <w:t xml:space="preserve">From single</w:t>
      </w:r>
      <w:r>
        <w:t xml:space="preserve"> </w:t>
      </w:r>
      <m:oMath>
        <m:r>
          <m:t>f</m:t>
        </m:r>
      </m:oMath>
      <w:r>
        <w:t xml:space="preserve"> </w:t>
      </w:r>
      <w:r>
        <w:t xml:space="preserve">to separate ratio parameters</w:t>
      </w:r>
    </w:p>
    <w:p>
      <w:pPr>
        <w:pStyle w:val="FirstParagraph"/>
      </w:pPr>
      <w:r>
        <w:t xml:space="preserve">Replacing</w:t>
      </w:r>
      <w:r>
        <w:t xml:space="preserve"> </w:t>
      </w:r>
      <m:oMath>
        <m:r>
          <m:t>f</m:t>
        </m:r>
      </m:oMath>
      <w:r>
        <w:t xml:space="preserve"> </w:t>
      </w:r>
      <w:r>
        <w:t xml:space="preserve">with two ratio parameters -</w:t>
      </w:r>
      <w:r>
        <w:t xml:space="preserve"> </w:t>
      </w:r>
      <m:oMath>
        <m:sSub>
          <m:e>
            <m:r>
              <m:t>r</m:t>
            </m:r>
          </m:e>
          <m:sub>
            <m:r>
              <m:t>a</m:t>
            </m:r>
          </m:sub>
        </m:sSub>
      </m:oMath>
      <w:r>
        <w:t xml:space="preserve"> </w:t>
      </w:r>
      <w:r>
        <w:t xml:space="preserve">for item memory and</w:t>
      </w:r>
      <w:r>
        <w:t xml:space="preserve"> </w:t>
      </w:r>
      <m:oMath>
        <m:sSub>
          <m:e>
            <m:r>
              <m:t>r</m:t>
            </m:r>
          </m:e>
          <m:sub>
            <m:r>
              <m:t>c</m:t>
            </m:r>
          </m:sub>
        </m:sSub>
      </m:oMath>
      <w:r>
        <w:t xml:space="preserve"> </w:t>
      </w:r>
      <w:r>
        <w:t xml:space="preserve">for context binding - produces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sSub>
                  <m:e>
                    <m:r>
                      <m:t>r</m:t>
                    </m:r>
                  </m:e>
                  <m:sub>
                    <m:r>
                      <m:t>a</m:t>
                    </m:r>
                  </m:sub>
                </m:sSub>
                <m:r>
                  <m:rPr>
                    <m:sty m:val="p"/>
                  </m:rPr>
                  <m:t>⋅</m:t>
                </m:r>
                <m:r>
                  <m:t>a</m:t>
                </m:r>
                <m:r>
                  <m:rPr>
                    <m:sty m:val="p"/>
                  </m:rPr>
                  <m:t>+</m:t>
                </m:r>
                <m:sSub>
                  <m:e>
                    <m:r>
                      <m:t>r</m:t>
                    </m:r>
                  </m:e>
                  <m:sub>
                    <m:r>
                      <m:t>c</m:t>
                    </m:r>
                  </m:sub>
                </m:sSub>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sSub>
                  <m:e>
                    <m:r>
                      <m:t>r</m:t>
                    </m:r>
                  </m:e>
                  <m:sub>
                    <m:r>
                      <m:t>a</m:t>
                    </m:r>
                  </m:sub>
                </m:sSub>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When</w:t>
      </w:r>
      <w:r>
        <w:t xml:space="preserve"> </w:t>
      </w:r>
      <m:oMath>
        <m:sSub>
          <m:e>
            <m:r>
              <m:t>r</m:t>
            </m:r>
          </m:e>
          <m:sub>
            <m:r>
              <m:t>a</m:t>
            </m:r>
          </m:sub>
        </m:sSub>
        <m:r>
          <m:rPr>
            <m:sty m:val="p"/>
          </m:rPr>
          <m:t>=</m:t>
        </m:r>
        <m:sSub>
          <m:e>
            <m:r>
              <m:t>r</m:t>
            </m:r>
          </m:e>
          <m:sub>
            <m:r>
              <m:t>c</m:t>
            </m:r>
          </m:sub>
        </m:sSub>
      </m:oMath>
      <w:r>
        <w:t xml:space="preserve">, this reduces to the standard</w:t>
      </w:r>
      <w:r>
        <w:t xml:space="preserve"> </w:t>
      </w:r>
      <w:r>
        <w:rPr>
          <w:rStyle w:val="VerbatimChar"/>
        </w:rPr>
        <w:t xml:space="preserve">cs</w:t>
      </w:r>
      <w:r>
        <w:t xml:space="preserve"> </w:t>
      </w:r>
      <w:r>
        <w:t xml:space="preserve">version with</w:t>
      </w:r>
      <w:r>
        <w:t xml:space="preserve"> </w:t>
      </w:r>
      <m:oMath>
        <m:r>
          <m:t>f</m:t>
        </m:r>
        <m:r>
          <m:rPr>
            <m:sty m:val="p"/>
          </m:rPr>
          <m:t>=</m:t>
        </m:r>
        <m:sSub>
          <m:e>
            <m:r>
              <m:t>r</m:t>
            </m:r>
          </m:e>
          <m:sub>
            <m:r>
              <m:t>a</m:t>
            </m:r>
          </m:sub>
        </m:sSub>
        <m:r>
          <m:rPr>
            <m:sty m:val="p"/>
          </m:rPr>
          <m:t>=</m:t>
        </m:r>
        <m:sSub>
          <m:e>
            <m:r>
              <m:t>r</m:t>
            </m:r>
          </m:e>
          <m:sub>
            <m:r>
              <m:t>c</m:t>
            </m:r>
          </m:sub>
        </m:sSub>
      </m:oMath>
      <w:r>
        <w:t xml:space="preserve">. The custom version relaxes this constraint and lets the data decide.</w:t>
      </w:r>
    </w:p>
    <w:bookmarkEnd w:id="90"/>
    <w:bookmarkStart w:id="91" w:name="defining-a-custom-m3"/>
    <w:p>
      <w:pPr>
        <w:pStyle w:val="Heading2"/>
      </w:pPr>
      <w:r>
        <w:t xml:space="preserve">Defining a custom</w:t>
      </w:r>
      <w:r>
        <w:t xml:space="preserve"> </w:t>
      </w:r>
      <m:oMath>
        <m:sSup>
          <m:e>
            <m:r>
              <m:t>M</m:t>
            </m:r>
          </m:e>
          <m:sup>
            <m:r>
              <m:t>3</m:t>
            </m:r>
          </m:sup>
        </m:sSup>
      </m:oMath>
    </w:p>
    <w:p>
      <w:pPr>
        <w:pStyle w:val="FirstParagraph"/>
      </w:pPr>
      <w:r>
        <w:t xml:space="preserve">Defining a custom</w:t>
      </w:r>
      <w:r>
        <w:t xml:space="preserve"> </w:t>
      </w:r>
      <m:oMath>
        <m:sSup>
          <m:e>
            <m:r>
              <m:t>M</m:t>
            </m:r>
          </m:e>
          <m:sup>
            <m:r>
              <m:t>3</m:t>
            </m:r>
          </m:sup>
        </m:sSup>
      </m:oMath>
      <w:r>
        <w:t xml:space="preserve"> </w:t>
      </w:r>
      <w:r>
        <w:t xml:space="preserve">requires specifying the response categories, the number of options per category, and — importantly — the link functions for each parameter to ensure they are on the appropriate scale. Because</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proportions bounded between 0 and 1, we use the logit link;</w:t>
      </w:r>
      <w:r>
        <w:t xml:space="preserve"> </w:t>
      </w:r>
      <m:oMath>
        <m:r>
          <m:t>a</m:t>
        </m:r>
      </m:oMath>
      <w:r>
        <w:t xml:space="preserve"> </w:t>
      </w:r>
      <w:r>
        <w:t xml:space="preserve">and</w:t>
      </w:r>
      <w:r>
        <w:t xml:space="preserve"> </w:t>
      </w:r>
      <m:oMath>
        <m:r>
          <m:t>c</m:t>
        </m:r>
      </m:oMath>
      <w:r>
        <w:t xml:space="preserve"> </w:t>
      </w:r>
      <w:r>
        <w:t xml:space="preserve">are unbounded activations and use the identity link:</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ra =</w:t>
      </w:r>
      <w:r>
        <w:rPr>
          <w:rStyle w:val="NormalTok"/>
        </w:rPr>
        <w:t xml:space="preserve"> </w:t>
      </w:r>
      <w:r>
        <w:rPr>
          <w:rStyle w:val="StringTok"/>
        </w:rPr>
        <w:t xml:space="preserve">"logit"</w:t>
      </w:r>
      <w:r>
        <w:rPr>
          <w:rStyle w:val="NormalTok"/>
        </w:rPr>
        <w:t xml:space="preserve">,    </w:t>
      </w:r>
      <w:r>
        <w:rPr>
          <w:rStyle w:val="AttributeTok"/>
        </w:rPr>
        <w:t xml:space="preserve">rc =</w:t>
      </w:r>
      <w:r>
        <w:rPr>
          <w:rStyle w:val="NormalTok"/>
        </w:rPr>
        <w:t xml:space="preserve"> </w:t>
      </w:r>
      <w:r>
        <w:rPr>
          <w:rStyle w:val="StringTok"/>
        </w:rPr>
        <w:t xml:space="preserve">"logit"</w:t>
      </w:r>
      <w:r>
        <w:br/>
      </w:r>
      <w:r>
        <w:rPr>
          <w:rStyle w:val="NormalTok"/>
        </w:rPr>
        <w:t xml:space="preserve">  )</w:t>
      </w:r>
      <w:r>
        <w:br/>
      </w:r>
      <w:r>
        <w:rPr>
          <w:rStyle w:val="NormalTok"/>
        </w:rPr>
        <w:t xml:space="preserve">)</w:t>
      </w:r>
    </w:p>
    <w:p>
      <w:pPr>
        <w:pStyle w:val="FirstParagraph"/>
      </w:pPr>
      <w:r>
        <w:t xml:space="preserve">For custom versions,</w:t>
      </w:r>
      <w:r>
        <w:t xml:space="preserve"> </w:t>
      </w:r>
      <w:r>
        <w:rPr>
          <w:rStyle w:val="VerbatimChar"/>
        </w:rPr>
        <w:t xml:space="preserve">bmf()</w:t>
      </w:r>
      <w:r>
        <w:t xml:space="preserve"> </w:t>
      </w:r>
      <w:r>
        <w:t xml:space="preserve">specifies both the activation formulas (how parameters combine into category activations) and the regression formulas (how experimental conditions predict each parameter). The activation formulas translate the equations above into R formula syntax:</w:t>
      </w:r>
    </w:p>
    <w:p>
      <w:pPr>
        <w:pStyle w:val="SourceCode"/>
      </w:pPr>
      <w:r>
        <w:rPr>
          <w:rStyle w:val="NormalTok"/>
        </w:rPr>
        <w:t xml:space="preserve">m3_formula_custom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distc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rc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disto </w:t>
      </w:r>
      <w:r>
        <w:rPr>
          <w:rStyle w:val="SpecialCharTok"/>
        </w:rPr>
        <w:t xml:space="preserve">~</w:t>
      </w:r>
      <w:r>
        <w:rPr>
          <w:rStyle w:val="NormalTok"/>
        </w:rPr>
        <w:t xml:space="preserve"> ra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rc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As in Tutorial 2,</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are not identified in the control condition (no distractors present), so we fix them with constant priors on both the fixed effect and the random effect SD:</w:t>
      </w:r>
    </w:p>
    <w:p>
      <w:pPr>
        <w:pStyle w:val="SourceCode"/>
      </w:pPr>
      <w:r>
        <w:rPr>
          <w:rStyle w:val="NormalTok"/>
        </w:rPr>
        <w:t xml:space="preserve">priors_custom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"ra"</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SpecialCharTok"/>
        </w:rPr>
        <w:t xml:space="preserve">-</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"rc"</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bookmarkEnd w:id="91"/>
    <w:bookmarkStart w:id="96" w:name="model-fitting-and-evaluation-1"/>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the previous tutorials. The model converged without issues (</w:t>
      </w:r>
      <m:oMath>
        <m:acc>
          <m:accPr>
            <m:chr m:val="̂"/>
          </m:accPr>
          <m:e>
            <m:r>
              <m:t>R</m:t>
            </m:r>
          </m:e>
        </m:acc>
        <m:r>
          <m:rPr>
            <m:sty m:val="p"/>
          </m:rPr>
          <m:t>≤</m:t>
        </m:r>
      </m:oMath>
      <w:r>
        <w:t xml:space="preserve"> </w:t>
      </w:r>
      <w:r>
        <w:t xml:space="preserve">1.007, bulk ESS</w:t>
      </w:r>
      <w:r>
        <w:t xml:space="preserve"> </w:t>
      </w:r>
      <m:oMath>
        <m:r>
          <m:rPr>
            <m:sty m:val="p"/>
          </m:rPr>
          <m:t>&gt;</m:t>
        </m:r>
      </m:oMath>
      <w:r>
        <w:t xml:space="preserve"> </w:t>
      </w:r>
      <w:r>
        <w:t xml:space="preserve">794, no divergent transitions).</w:t>
      </w:r>
      <w:r>
        <w:t xml:space="preserve"> </w:t>
      </w:r>
      <w:hyperlink w:anchor="fig-t3-pp-check">
        <w:r>
          <w:rPr>
            <w:rStyle w:val="Hyperlink"/>
          </w:rPr>
          <w:t xml:space="preserve">Figure 7</w:t>
        </w:r>
      </w:hyperlink>
      <w:r>
        <w:t xml:space="preserve"> </w:t>
      </w:r>
      <w:r>
        <w:t xml:space="preserve">shows the posterior predictive check. Predicted proportions closely match the observed data across all conditions and categories. Compared to the</w:t>
      </w:r>
      <w:r>
        <w:t xml:space="preserve"> </w:t>
      </w:r>
      <w:r>
        <w:rPr>
          <w:rStyle w:val="VerbatimChar"/>
        </w:rPr>
        <w:t xml:space="preserve">cs</w:t>
      </w:r>
      <w:r>
        <w:t xml:space="preserve"> </w:t>
      </w:r>
      <w:r>
        <w:t xml:space="preserve">fit in Tutorial 2, the custom version captures the error categories (distractor and other intrusions) more precisely, reflecting the additional flexibility of separate ratio parameters for item memory and context binding.</w:t>
      </w:r>
    </w:p>
    <w:bookmarkStart w:id="95" w:name="fig-t3-pp-check"/>
    <w:p>
      <w:pPr>
        <w:pStyle w:val="FigureTitle"/>
      </w:pPr>
      <w:r>
        <w:t xml:space="preserve">Figure 7</w:t>
      </w:r>
    </w:p>
    <w:p>
      <w:pPr>
        <w:pStyle w:val="Caption"/>
      </w:pPr>
      <w:r>
        <w:t xml:space="preserve">Posterior predictive check for the custom filtering</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2743200"/>
            <wp:effectExtent b="0" l="0" r="0" t="0"/>
            <wp:docPr descr="" title="" id="93" name="Picture"/>
            <a:graphic>
              <a:graphicData uri="http://schemas.openxmlformats.org/drawingml/2006/picture">
                <pic:pic>
                  <pic:nvPicPr>
                    <pic:cNvPr descr="../figures/tutorial3_pp_check.pdf" id="94" name="Picture"/>
                    <pic:cNvPicPr>
                      <a:picLocks noChangeArrowheads="1" noChangeAspect="1"/>
                    </pic:cNvPicPr>
                  </pic:nvPicPr>
                  <pic:blipFill>
                    <a:blip r:embed="rId92"/>
                    <a:stretch>
                      <a:fillRect/>
                    </a:stretch>
                  </pic:blipFill>
                  <pic:spPr bwMode="auto">
                    <a:xfrm>
                      <a:off x="0" y="0"/>
                      <a:ext cx="5943600" cy="2743200"/>
                    </a:xfrm>
                    <a:prstGeom prst="rect">
                      <a:avLst/>
                    </a:prstGeom>
                    <a:noFill/>
                    <a:ln w="9525">
                      <a:noFill/>
                      <a:headEnd/>
                      <a:tailEnd/>
                    </a:ln>
                  </pic:spPr>
                </pic:pic>
              </a:graphicData>
            </a:graphic>
          </wp:inline>
        </w:drawing>
      </w:r>
    </w:p>
    <w:bookmarkEnd w:id="95"/>
    <w:bookmarkEnd w:id="96"/>
    <w:bookmarkStart w:id="97" w:name="model-comparison"/>
    <w:p>
      <w:pPr>
        <w:pStyle w:val="Heading2"/>
      </w:pPr>
      <w:r>
        <w:t xml:space="preserve">Model comparison</w:t>
      </w:r>
    </w:p>
    <w:p>
      <w:pPr>
        <w:pStyle w:val="FirstParagraph"/>
      </w:pPr>
      <w:r>
        <w:t xml:space="preserve">To evaluate whether separating</w:t>
      </w:r>
      <w:r>
        <w:t xml:space="preserve"> </w:t>
      </w:r>
      <m:oMath>
        <m:sSub>
          <m:e>
            <m:r>
              <m:t>r</m:t>
            </m:r>
          </m:e>
          <m:sub>
            <m:r>
              <m:t>a</m:t>
            </m:r>
          </m:sub>
        </m:sSub>
      </m:oMath>
      <w:r>
        <w:t xml:space="preserve"> </w:t>
      </w:r>
      <w:r>
        <w:t xml:space="preserve">and</w:t>
      </w:r>
      <w:r>
        <w:t xml:space="preserve"> </w:t>
      </w:r>
      <m:oMath>
        <m:sSub>
          <m:e>
            <m:r>
              <m:t>r</m:t>
            </m:r>
          </m:e>
          <m:sub>
            <m:r>
              <m:t>c</m:t>
            </m:r>
          </m:sub>
        </m:sSub>
      </m:oMath>
      <w:r>
        <w:t xml:space="preserve"> </w:t>
      </w:r>
      <w:r>
        <w:t xml:space="preserve">improves on the standard</w:t>
      </w:r>
      <w:r>
        <w:t xml:space="preserve"> </w:t>
      </w:r>
      <w:r>
        <w:rPr>
          <w:rStyle w:val="VerbatimChar"/>
        </w:rPr>
        <w:t xml:space="preserve">cs</w:t>
      </w:r>
      <w:r>
        <w:t xml:space="preserve"> </w:t>
      </w:r>
      <w:r>
        <w:t xml:space="preserve">version, we compared the two using bridge sampling</w:t>
      </w:r>
      <w:r>
        <w:t xml:space="preserve"> </w:t>
      </w:r>
      <w:r>
        <w:t xml:space="preserve">(</w:t>
      </w:r>
      <w:hyperlink w:anchor="ref-gronau2017bridge">
        <w:r>
          <w:rPr>
            <w:rStyle w:val="Hyperlink"/>
          </w:rPr>
          <w:t xml:space="preserve">Gronau et al., 2017</w:t>
        </w:r>
      </w:hyperlink>
      <w:r>
        <w:t xml:space="preserve">)</w:t>
      </w:r>
      <w:r>
        <w:t xml:space="preserve">:</w:t>
      </w:r>
    </w:p>
    <w:p>
      <w:pPr>
        <w:pStyle w:val="SourceCode"/>
      </w:pPr>
      <w:r>
        <w:rPr>
          <w:rStyle w:val="NormalTok"/>
        </w:rPr>
        <w:t xml:space="preserve">bridge_cs     </w:t>
      </w:r>
      <w:r>
        <w:rPr>
          <w:rStyle w:val="OtherTok"/>
        </w:rPr>
        <w:t xml:space="preserve">&lt;-</w:t>
      </w:r>
      <w:r>
        <w:rPr>
          <w:rStyle w:val="NormalTok"/>
        </w:rPr>
        <w:t xml:space="preserve"> </w:t>
      </w:r>
      <w:r>
        <w:rPr>
          <w:rStyle w:val="FunctionTok"/>
        </w:rPr>
        <w:t xml:space="preserve">bridge_sampler</w:t>
      </w:r>
      <w:r>
        <w:rPr>
          <w:rStyle w:val="NormalTok"/>
        </w:rPr>
        <w:t xml:space="preserve">(fit_m3_cs,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bridge_custom </w:t>
      </w:r>
      <w:r>
        <w:rPr>
          <w:rStyle w:val="OtherTok"/>
        </w:rPr>
        <w:t xml:space="preserve">&lt;-</w:t>
      </w:r>
      <w:r>
        <w:rPr>
          <w:rStyle w:val="NormalTok"/>
        </w:rPr>
        <w:t xml:space="preserve"> </w:t>
      </w:r>
      <w:r>
        <w:rPr>
          <w:rStyle w:val="FunctionTok"/>
        </w:rPr>
        <w:t xml:space="preserve">bridge_sampler</w:t>
      </w:r>
      <w:r>
        <w:rPr>
          <w:rStyle w:val="NormalTok"/>
        </w:rPr>
        <w:t xml:space="preserve">(fit_m3_custom,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(bridge_custom, bridge_cs)</w:t>
      </w:r>
    </w:p>
    <w:p>
      <w:pPr>
        <w:pStyle w:val="FirstParagraph"/>
      </w:pPr>
      <w:r>
        <w:t xml:space="preserve">The Bayes factor strongly favored the custom version (median BF</w:t>
      </w:r>
      <m:oMath>
        <m:sSub>
          <m:e>
            <m:r>
              <m:t>​</m:t>
            </m:r>
          </m:e>
          <m:sub>
            <m:r>
              <m:t>10</m:t>
            </m:r>
          </m:sub>
        </m:sSub>
      </m:oMath>
      <w:r>
        <w:t xml:space="preserve"> </w:t>
      </w:r>
      <w:r>
        <w:t xml:space="preserve">=</w:t>
      </w:r>
      <w:r>
        <w:t xml:space="preserve"> </w:t>
      </w:r>
      <m:oMath>
        <m:r>
          <m:t>1.5</m:t>
        </m:r>
        <m:r>
          <m:rPr>
            <m:sty m:val="p"/>
          </m:rPr>
          <m:t>×</m:t>
        </m:r>
        <m:sSup>
          <m:e>
            <m:r>
              <m:t>10</m:t>
            </m:r>
          </m:e>
          <m:sup>
            <m:r>
              <m:t>17</m:t>
            </m:r>
          </m:sup>
        </m:sSup>
      </m:oMath>
      <w:r>
        <w:t xml:space="preserve"> </w:t>
      </w:r>
      <w:r>
        <w:t xml:space="preserve">across 10 bridge sampling repetitions), indicating that the data warrant separate ratio parameters rather than a single</w:t>
      </w:r>
      <w:r>
        <w:t xml:space="preserve"> </w:t>
      </w:r>
      <m:oMath>
        <m:r>
          <m:t>f</m:t>
        </m:r>
      </m:oMath>
      <w:r>
        <w:t xml:space="preserve">.</w:t>
      </w:r>
    </w:p>
    <w:bookmarkEnd w:id="97"/>
    <w:bookmarkStart w:id="102" w:name="parameter-estimates-1"/>
    <w:p>
      <w:pPr>
        <w:pStyle w:val="Heading2"/>
      </w:pPr>
      <w:r>
        <w:t xml:space="preserve">Parameter estimates</w:t>
      </w:r>
    </w:p>
    <w:p>
      <w:pPr>
        <w:pStyle w:val="FirstParagraph"/>
      </w:pPr>
      <w:hyperlink w:anchor="fig-t3-param-estimates">
        <w:r>
          <w:rPr>
            <w:rStyle w:val="Hyperlink"/>
          </w:rPr>
          <w:t xml:space="preserve">Figure 8</w:t>
        </w:r>
      </w:hyperlink>
      <w:r>
        <w:t xml:space="preserve"> </w:t>
      </w:r>
      <w:r>
        <w:t xml:space="preserve">shows the posterior estimates. Item memory (</w:t>
      </w:r>
      <m:oMath>
        <m:r>
          <m:t>a</m:t>
        </m:r>
      </m:oMath>
      <w:r>
        <w:t xml:space="preserve">) and context binding (</w:t>
      </w:r>
      <m:oMath>
        <m:r>
          <m:t>c</m:t>
        </m:r>
      </m:oMath>
      <w:r>
        <w:t xml:space="preserve">) are similar to the</w:t>
      </w:r>
      <w:r>
        <w:t xml:space="preserve"> </w:t>
      </w:r>
      <w:r>
        <w:rPr>
          <w:rStyle w:val="VerbatimChar"/>
        </w:rPr>
        <w:t xml:space="preserve">cs</w:t>
      </w:r>
      <w:r>
        <w:t xml:space="preserve"> </w:t>
      </w:r>
      <w:r>
        <w:t xml:space="preserve">estimates from Tutorial 2. The ratio parameters reveal an asymmetry: on the probability scale,</w:t>
      </w:r>
      <w:r>
        <w:t xml:space="preserve"> </w:t>
      </w:r>
      <m:oMath>
        <m:sSub>
          <m:e>
            <m:r>
              <m:t>r</m:t>
            </m:r>
          </m:e>
          <m:sub>
            <m:r>
              <m:t>a</m:t>
            </m:r>
          </m:sub>
        </m:sSub>
      </m:oMath>
      <w:r>
        <w:t xml:space="preserve"> </w:t>
      </w:r>
      <w:r>
        <w:t xml:space="preserve">is high in both conditions (pre-cue:</w:t>
      </w:r>
      <w:r>
        <w:t xml:space="preserve"> </w:t>
      </w:r>
      <m:oMath>
        <m:r>
          <m:t>M</m:t>
        </m:r>
      </m:oMath>
      <w:r>
        <w:t xml:space="preserve"> </w:t>
      </w:r>
      <w:r>
        <w:t xml:space="preserve">= 0.84, 95% HDI [0.78, 0.89]; retro-cue:</w:t>
      </w:r>
      <w:r>
        <w:t xml:space="preserve"> </w:t>
      </w:r>
      <m:oMath>
        <m:r>
          <m:t>M</m:t>
        </m:r>
      </m:oMath>
      <w:r>
        <w:t xml:space="preserve"> </w:t>
      </w:r>
      <w:r>
        <w:t xml:space="preserve">= 0.81, 95% HDI [0.74, 0.87]), meaning item memory transfers almost fully to distractors.</w:t>
      </w:r>
      <w:r>
        <w:t xml:space="preserve"> </w:t>
      </w:r>
      <m:oMath>
        <m:sSub>
          <m:e>
            <m:r>
              <m:t>r</m:t>
            </m:r>
          </m:e>
          <m:sub>
            <m:r>
              <m:t>c</m:t>
            </m:r>
          </m:sub>
        </m:sSub>
      </m:oMath>
      <w:r>
        <w:t xml:space="preserve"> </w:t>
      </w:r>
      <w:r>
        <w:t xml:space="preserve">is substantially lower (pre-cue:</w:t>
      </w:r>
      <w:r>
        <w:t xml:space="preserve"> </w:t>
      </w:r>
      <m:oMath>
        <m:r>
          <m:t>M</m:t>
        </m:r>
      </m:oMath>
      <w:r>
        <w:t xml:space="preserve"> </w:t>
      </w:r>
      <w:r>
        <w:t xml:space="preserve">= 0.35, 95% HDI [0.26, 0.45]; retro-cue:</w:t>
      </w:r>
      <w:r>
        <w:t xml:space="preserve"> </w:t>
      </w:r>
      <m:oMath>
        <m:r>
          <m:t>M</m:t>
        </m:r>
      </m:oMath>
      <w:r>
        <w:t xml:space="preserve"> </w:t>
      </w:r>
      <w:r>
        <w:t xml:space="preserve">= 0.32, 95% HDI [0.22, 0.42]), meaning context binding is more attenuated for distractors. This pattern matches the published findings of</w:t>
      </w:r>
      <w:r>
        <w:t xml:space="preserve"> </w:t>
      </w:r>
      <w:r>
        <w:t xml:space="preserve">Li et al. (</w:t>
      </w:r>
      <w:hyperlink w:anchor="ref-li2026filtering">
        <w:r>
          <w:rPr>
            <w:rStyle w:val="Hyperlink"/>
          </w:rPr>
          <w:t xml:space="preserve">2026</w:t>
        </w:r>
      </w:hyperlink>
      <w:r>
        <w:t xml:space="preserve">)</w:t>
      </w:r>
      <w:r>
        <w:t xml:space="preserve">.</w:t>
      </w:r>
    </w:p>
    <w:bookmarkStart w:id="101" w:name="fig-t3-param-estimates"/>
    <w:p>
      <w:pPr>
        <w:pStyle w:val="FigureTitle"/>
      </w:pPr>
      <w:r>
        <w:t xml:space="preserve">Figure 8</w:t>
      </w:r>
    </w:p>
    <w:p>
      <w:pPr>
        <w:pStyle w:val="Caption"/>
      </w:pPr>
      <w:r>
        <w:t xml:space="preserve">Posterior parameter estimates for the custom filtering</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panels show the ratio parameters</w:t>
      </w:r>
      <w:r>
        <w:t xml:space="preserve"> </w:t>
      </w:r>
      <m:oMath>
        <m:sSub>
          <m:e>
            <m:r>
              <m:t>r</m:t>
            </m:r>
          </m:e>
          <m:sub>
            <m:r>
              <m:t>a</m:t>
            </m:r>
          </m:sub>
        </m:sSub>
      </m:oMath>
      <w:r>
        <w:t xml:space="preserve"> </w:t>
      </w:r>
      <w:r>
        <w:t xml:space="preserve">(item) and</w:t>
      </w:r>
      <w:r>
        <w:t xml:space="preserve"> </w:t>
      </w:r>
      <m:oMath>
        <m:sSub>
          <m:e>
            <m:r>
              <m:t>r</m:t>
            </m:r>
          </m:e>
          <m:sub>
            <m:r>
              <m:t>c</m:t>
            </m:r>
          </m:sub>
        </m:sSub>
      </m:oMath>
      <w:r>
        <w:t xml:space="preserve"> </w:t>
      </w:r>
      <w:r>
        <w:t xml:space="preserve">(binding) for pre-cue and retro-cue conditions, transformed to the probability scale.</w:t>
      </w:r>
    </w:p>
    <w:p>
      <w:pPr>
        <w:pStyle w:val="FigureWithoutNote"/>
      </w:pPr>
      <w:r>
        <w:drawing>
          <wp:inline>
            <wp:extent cx="5943600" cy="2971800"/>
            <wp:effectExtent b="0" l="0" r="0" t="0"/>
            <wp:docPr descr="" title="" id="99" name="Picture"/>
            <a:graphic>
              <a:graphicData uri="http://schemas.openxmlformats.org/drawingml/2006/picture">
                <pic:pic>
                  <pic:nvPicPr>
                    <pic:cNvPr descr="../figures/tutorial3_param_estimates.pdf" id="100" name="Picture"/>
                    <pic:cNvPicPr>
                      <a:picLocks noChangeArrowheads="1" noChangeAspect="1"/>
                    </pic:cNvPicPr>
                  </pic:nvPicPr>
                  <pic:blipFill>
                    <a:blip r:embed="rId98"/>
                    <a:stretch>
                      <a:fillRect/>
                    </a:stretch>
                  </pic:blipFill>
                  <pic:spPr bwMode="auto">
                    <a:xfrm>
                      <a:off x="0" y="0"/>
                      <a:ext cx="5943600" cy="2971800"/>
                    </a:xfrm>
                    <a:prstGeom prst="rect">
                      <a:avLst/>
                    </a:prstGeom>
                    <a:noFill/>
                    <a:ln w="9525">
                      <a:noFill/>
                      <a:headEnd/>
                      <a:tailEnd/>
                    </a:ln>
                  </pic:spPr>
                </pic:pic>
              </a:graphicData>
            </a:graphic>
          </wp:inline>
        </w:drawing>
      </w:r>
    </w:p>
    <w:bookmarkEnd w:id="101"/>
    <w:bookmarkEnd w:id="102"/>
    <w:bookmarkStart w:id="103" w:name="hypothesis-tests-1"/>
    <w:p>
      <w:pPr>
        <w:pStyle w:val="Heading2"/>
      </w:pPr>
      <w:r>
        <w:t xml:space="preserve">Hypothesis tests</w:t>
      </w:r>
    </w:p>
    <w:p>
      <w:pPr>
        <w:pStyle w:val="FirstParagraph"/>
      </w:pPr>
      <w:r>
        <w:t xml:space="preserve">As in Tutorial 2, we can test parameter differences formally. Within both the pre-cue (BF</w:t>
      </w:r>
      <m:oMath>
        <m:sSub>
          <m:e>
            <m:r>
              <m:t>​</m:t>
            </m:r>
          </m:e>
          <m:sub>
            <m:r>
              <m:t>10</m:t>
            </m:r>
          </m:sub>
        </m:sSub>
      </m:oMath>
      <w:r>
        <w:t xml:space="preserve"> </w:t>
      </w:r>
      <w:r>
        <w:t xml:space="preserve">=</w:t>
      </w:r>
      <w:r>
        <w:t xml:space="preserve"> </w:t>
      </w:r>
      <m:oMath>
        <m:r>
          <m:rPr>
            <m:sty m:val="p"/>
          </m:rPr>
          <m:t>≥</m:t>
        </m:r>
      </m:oMath>
      <w:r>
        <w:t xml:space="preserve"> </w:t>
      </w:r>
      <w:r>
        <w:t xml:space="preserve">10,000) and retro-cue condition (BF</w:t>
      </w:r>
      <m:oMath>
        <m:sSub>
          <m:e>
            <m:r>
              <m:t>​</m:t>
            </m:r>
          </m:e>
          <m:sub>
            <m:r>
              <m:t>10</m:t>
            </m:r>
          </m:sub>
        </m:sSub>
      </m:oMath>
      <w:r>
        <w:t xml:space="preserve"> </w:t>
      </w:r>
      <w:r>
        <w:t xml:space="preserve">=</w:t>
      </w:r>
      <w:r>
        <w:t xml:space="preserve"> </w:t>
      </w:r>
      <m:oMath>
        <m:r>
          <m:rPr>
            <m:sty m:val="p"/>
          </m:rPr>
          <m:t>≥</m:t>
        </m:r>
      </m:oMath>
      <w:r>
        <w:t xml:space="preserve"> </w:t>
      </w:r>
      <w:r>
        <w:t xml:space="preserve">10,000), there is strong evidence that</w:t>
      </w:r>
      <w:r>
        <w:t xml:space="preserve"> </w:t>
      </w:r>
      <m:oMath>
        <m:sSub>
          <m:e>
            <m:r>
              <m:t>r</m:t>
            </m:r>
          </m:e>
          <m:sub>
            <m:r>
              <m:t>a</m:t>
            </m:r>
          </m:sub>
        </m:sSub>
        <m:r>
          <m:rPr>
            <m:sty m:val="p"/>
          </m:rPr>
          <m:t>&gt;</m:t>
        </m:r>
        <m:sSub>
          <m:e>
            <m:r>
              <m:t>r</m:t>
            </m:r>
          </m:e>
          <m:sub>
            <m:r>
              <m:t>c</m:t>
            </m:r>
          </m:sub>
        </m:sSub>
      </m:oMath>
      <w:r>
        <w:t xml:space="preserve">. Across conditions,</w:t>
      </w:r>
      <w:r>
        <w:t xml:space="preserve"> </w:t>
      </w:r>
      <m:oMath>
        <m:sSub>
          <m:e>
            <m:r>
              <m:t>r</m:t>
            </m:r>
          </m:e>
          <m:sub>
            <m:r>
              <m:t>a</m:t>
            </m:r>
          </m:sub>
        </m:sSub>
      </m:oMath>
      <w:r>
        <w:t xml:space="preserve"> </w:t>
      </w:r>
      <w:r>
        <w:t xml:space="preserve">does not differ between pre-cue and retro-cue (BF</w:t>
      </w:r>
      <m:oMath>
        <m:sSub>
          <m:e>
            <m:r>
              <m:t>​</m:t>
            </m:r>
          </m:e>
          <m:sub>
            <m:r>
              <m:t>01</m:t>
            </m:r>
          </m:sub>
        </m:sSub>
      </m:oMath>
      <w:r>
        <w:t xml:space="preserve"> </w:t>
      </w:r>
      <w:r>
        <w:t xml:space="preserve">= 6.11), and the same holds for</w:t>
      </w:r>
      <w:r>
        <w:t xml:space="preserve"> </w:t>
      </w:r>
      <m:oMath>
        <m:sSub>
          <m:e>
            <m:r>
              <m:t>r</m:t>
            </m:r>
          </m:e>
          <m:sub>
            <m:r>
              <m:t>c</m:t>
            </m:r>
          </m:sub>
        </m:sSub>
      </m:oMath>
      <w:r>
        <w:t xml:space="preserve"> </w:t>
      </w:r>
      <w:r>
        <w:t xml:space="preserve">(BF</w:t>
      </w:r>
      <m:oMath>
        <m:sSub>
          <m:e>
            <m:r>
              <m:t>​</m:t>
            </m:r>
          </m:e>
          <m:sub>
            <m:r>
              <m:t>01</m:t>
            </m:r>
          </m:sub>
        </m:sSub>
      </m:oMath>
      <w:r>
        <w:t xml:space="preserve"> </w:t>
      </w:r>
      <w:r>
        <w:t xml:space="preserve">= 7.34). Item memory transfers to distractors regardless of cue timing, while context binding is selectively attenuated, consistent with the view that filtering operates on binding rather than item activation.</w:t>
      </w:r>
    </w:p>
    <w:bookmarkEnd w:id="103"/>
    <w:bookmarkEnd w:id="104"/>
    <w:bookmarkStart w:id="122" w:name="tutorial-4-parameter-recovery"/>
    <w:p>
      <w:pPr>
        <w:pStyle w:val="Heading1"/>
      </w:pPr>
      <w:r>
        <w:t xml:space="preserve">Tutorial 4: Parameter Recovery</w:t>
      </w:r>
    </w:p>
    <w:p>
      <w:pPr>
        <w:pStyle w:val="FirstParagraph"/>
      </w:pPr>
      <w:r>
        <w:t xml:space="preserve">The</w:t>
      </w:r>
      <w:r>
        <w:t xml:space="preserve"> </w:t>
      </w:r>
      <m:oMath>
        <m:sSup>
          <m:e>
            <m:r>
              <m:t>M</m:t>
            </m:r>
          </m:e>
          <m:sup>
            <m:r>
              <m:t>3</m:t>
            </m:r>
          </m:sup>
        </m:sSup>
      </m:oMath>
      <w:r>
        <w:t xml:space="preserve"> </w:t>
      </w:r>
      <w:r>
        <w:t xml:space="preserve">framework allows researchers to develop custom versions tailored to their research questions. However, before applying a custom</w:t>
      </w:r>
      <w:r>
        <w:t xml:space="preserve"> </w:t>
      </w:r>
      <m:oMath>
        <m:sSup>
          <m:e>
            <m:r>
              <m:t>M</m:t>
            </m:r>
          </m:e>
          <m:sup>
            <m:r>
              <m:t>3</m:t>
            </m:r>
          </m:sup>
        </m:sSup>
      </m:oMath>
      <w:r>
        <w:t xml:space="preserve"> </w:t>
      </w:r>
      <w:r>
        <w:t xml:space="preserve">to empirical data, it is worth checking whether the planned design provides enough information to recover the parameters of interest. If recovery fails when the generating values are known and the model is correctly specified, the problem lies with the design or the specification, not the data. This tutorial demonstrates the recovery workflow using the custom filtering version from Tutorial 3. The companion script is</w:t>
      </w:r>
      <w:r>
        <w:t xml:space="preserve"> </w:t>
      </w:r>
      <w:r>
        <w:rPr>
          <w:rStyle w:val="VerbatimChar"/>
        </w:rPr>
        <w:t xml:space="preserve">scripts/tutorial4_parameter_recovery.R</w:t>
      </w:r>
      <w:r>
        <w:t xml:space="preserve">.</w:t>
      </w:r>
    </w:p>
    <w:bookmarkStart w:id="105" w:name="when-to-assess-parameter-recovery"/>
    <w:p>
      <w:pPr>
        <w:pStyle w:val="Heading2"/>
      </w:pPr>
      <w:r>
        <w:t xml:space="preserve">When to assess parameter recovery</w:t>
      </w:r>
    </w:p>
    <w:p>
      <w:pPr>
        <w:pStyle w:val="FirstParagraph"/>
      </w:pPr>
      <w:r>
        <w:t xml:space="preserve">Parameter recovery is not mandatory for every analysis, but it is informative as part of a principled Bayesian workflow</w:t>
      </w:r>
      <w:r>
        <w:t xml:space="preserve"> </w:t>
      </w:r>
      <w:r>
        <w:t xml:space="preserve">(</w:t>
      </w:r>
      <w:hyperlink w:anchor="ref-schad2021toward">
        <w:r>
          <w:rPr>
            <w:rStyle w:val="Hyperlink"/>
          </w:rPr>
          <w:t xml:space="preserve">Schad et al., 2021</w:t>
        </w:r>
      </w:hyperlink>
      <w:r>
        <w:t xml:space="preserve">;</w:t>
      </w:r>
      <w:r>
        <w:t xml:space="preserve"> </w:t>
      </w:r>
      <w:hyperlink w:anchor="ref-wilson2019ten">
        <w:r>
          <w:rPr>
            <w:rStyle w:val="Hyperlink"/>
          </w:rPr>
          <w:t xml:space="preserve">Wilson &amp; Collins, 2019</w:t>
        </w:r>
      </w:hyperlink>
      <w:r>
        <w:t xml:space="preserve">)</w:t>
      </w:r>
      <w:r>
        <w:t xml:space="preserve"> </w:t>
      </w:r>
      <w:r>
        <w:t xml:space="preserve">— particularly when using a custom specification for the first time, when the design has unusual trial counts, or when individual-level estimates will be used for correlations. Beyond validating a given design, recovery simulations can also inform experimental planning: by systematically varying the number of participants or trials, researchers can determine the sample size and trial count needed to achieve acceptable recovery for their parameters of interest. Even a single recovery run is practically feasible (one to two hours of computation) and reveals how well the design can distinguish the parameters of interest</w:t>
      </w:r>
      <w:r>
        <w:t xml:space="preserve"> </w:t>
      </w:r>
      <w:r>
        <w:t xml:space="preserve">(for a systematic treatment, see</w:t>
      </w:r>
      <w:r>
        <w:t xml:space="preserve"> </w:t>
      </w:r>
      <w:hyperlink w:anchor="ref-goettmann2025recovery">
        <w:r>
          <w:rPr>
            <w:rStyle w:val="Hyperlink"/>
          </w:rPr>
          <w:t xml:space="preserve">Göttmann et al., 2025</w:t>
        </w:r>
      </w:hyperlink>
      <w:r>
        <w:t xml:space="preserve">)</w:t>
      </w:r>
      <w:r>
        <w:t xml:space="preserve">.</w:t>
      </w:r>
    </w:p>
    <w:bookmarkEnd w:id="105"/>
    <w:bookmarkStart w:id="108" w:name="simulation-workflow"/>
    <w:p>
      <w:pPr>
        <w:pStyle w:val="Heading2"/>
      </w:pPr>
      <w:r>
        <w:t xml:space="preserve">Simulation workflow</w:t>
      </w:r>
    </w:p>
    <w:p>
      <w:pPr>
        <w:pStyle w:val="FirstParagraph"/>
      </w:pPr>
      <w:r>
        <w:t xml:space="preserve">We simulate data from the custom filtering version (Tutorial 3) with known parameter values and then fit the same specification to the simulated data. For each of the four parameters (</w:t>
      </w:r>
      <m:oMath>
        <m:r>
          <m:t>a</m:t>
        </m:r>
      </m:oMath>
      <w:r>
        <w:t xml:space="preserve">,</w:t>
      </w:r>
      <w:r>
        <w:t xml:space="preserve"> </w:t>
      </w:r>
      <m:oMath>
        <m:r>
          <m:t>c</m:t>
        </m:r>
      </m:oMath>
      <w:r>
        <w:t xml:space="preserve">,</w:t>
      </w:r>
      <w:r>
        <w:t xml:space="preserve"> </w:t>
      </w:r>
      <m:oMath>
        <m:sSub>
          <m:e>
            <m:r>
              <m:t>r</m:t>
            </m:r>
          </m:e>
          <m:sub>
            <m:r>
              <m:t>a</m:t>
            </m:r>
          </m:sub>
        </m:sSub>
      </m:oMath>
      <w:r>
        <w:t xml:space="preserve">,</w:t>
      </w:r>
      <w:r>
        <w:t xml:space="preserve"> </w:t>
      </w:r>
      <m:oMath>
        <m:sSub>
          <m:e>
            <m:r>
              <m:t>r</m:t>
            </m:r>
          </m:e>
          <m:sub>
            <m:r>
              <m:t>c</m:t>
            </m:r>
          </m:sub>
        </m:sSub>
      </m:oMath>
      <w:r>
        <w:t xml:space="preserve">), we specify group-level means and between-person standard deviations on the link scale.</w:t>
      </w:r>
      <w:r>
        <w:t xml:space="preserve"> </w:t>
      </w:r>
      <w:hyperlink w:anchor="tbl-gen-pars">
        <w:r>
          <w:rPr>
            <w:rStyle w:val="Hyperlink"/>
          </w:rPr>
          <w:t xml:space="preserve">Table 1</w:t>
        </w:r>
      </w:hyperlink>
      <w:r>
        <w:t xml:space="preserve"> </w:t>
      </w:r>
      <w:r>
        <w:t xml:space="preserve">lists the generating values, chosen to approximate the empirical estimates from</w:t>
      </w:r>
      <w:r>
        <w:t xml:space="preserve"> </w:t>
      </w:r>
      <w:r>
        <w:t xml:space="preserve">Li et al. (</w:t>
      </w:r>
      <w:hyperlink w:anchor="ref-li2026filtering">
        <w:r>
          <w:rPr>
            <w:rStyle w:val="Hyperlink"/>
          </w:rPr>
          <w:t xml:space="preserve">2026</w:t>
        </w:r>
      </w:hyperlink>
      <w:r>
        <w:t xml:space="preserve">)</w:t>
      </w:r>
      <w:r>
        <w:t xml:space="preserve">.</w:t>
      </w:r>
    </w:p>
    <w:bookmarkStart w:id="107" w:name="tbl-gen-pars"/>
    <w:p>
      <w:pPr>
        <w:pStyle w:val="FigureTitle"/>
      </w:pPr>
      <w:r>
        <w:t xml:space="preserve">Table 1</w:t>
      </w:r>
    </w:p>
    <w:p>
      <w:pPr>
        <w:pStyle w:val="Caption"/>
      </w:pPr>
      <w:r>
        <w:t xml:space="preserve">Generating parameter values for the recovery simulation. All values are on the link scale.</w:t>
      </w:r>
    </w:p>
    <w:bookmarkStart w:id="106"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a</m:t>
              </m:r>
            </m:oMath>
          </w:p>
        </w:tc>
        <w:tc>
          <w:tcPr/>
          <w:p>
            <w:pPr>
              <w:pStyle w:val="Compact"/>
            </w:pPr>
            <w:r>
              <w:t xml:space="preserve">identity</w:t>
            </w:r>
          </w:p>
        </w:tc>
        <w:tc>
          <w:tcPr/>
          <w:p>
            <w:pPr>
              <w:pStyle w:val="Compact"/>
            </w:pPr>
            <w:r>
              <w:t xml:space="preserve">1.5</w:t>
            </w:r>
          </w:p>
        </w:tc>
        <w:tc>
          <w:tcPr/>
          <w:p>
            <w:pPr>
              <w:pStyle w:val="Compact"/>
            </w:pPr>
            <w:r>
              <w:t xml:space="preserve">0.50</w:t>
            </w:r>
          </w:p>
        </w:tc>
        <w:tc>
          <w:tcPr/>
          <w:p>
            <w:pPr>
              <w:pStyle w:val="Compact"/>
            </w:pPr>
            <w:r>
              <w:t xml:space="preserve">0.50 – 2.50</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1.00 – 3.00</w:t>
            </w:r>
          </w:p>
        </w:tc>
      </w:tr>
      <w:tr>
        <w:tc>
          <w:tcPr/>
          <w:p>
            <w:pPr>
              <w:pStyle w:val="Compact"/>
            </w:pPr>
            <m:oMath>
              <m:sSub>
                <m:e>
                  <m:r>
                    <m:t>r</m:t>
                  </m:r>
                </m:e>
                <m:sub>
                  <m:r>
                    <m:t>a</m:t>
                  </m:r>
                </m:sub>
              </m:sSub>
            </m:oMath>
          </w:p>
        </w:tc>
        <w:tc>
          <w:tcPr/>
          <w:p>
            <w:pPr>
              <w:pStyle w:val="Compact"/>
            </w:pPr>
            <w:r>
              <w:t xml:space="preserve">logit</w:t>
            </w:r>
          </w:p>
        </w:tc>
        <w:tc>
          <w:tcPr/>
          <w:p>
            <w:pPr>
              <w:pStyle w:val="Compact"/>
            </w:pPr>
            <w:r>
              <w:t xml:space="preserve">0.85</w:t>
            </w:r>
          </w:p>
        </w:tc>
        <w:tc>
          <w:tcPr/>
          <w:p>
            <w:pPr>
              <w:pStyle w:val="Compact"/>
            </w:pPr>
            <w:r>
              <w:t xml:space="preserve">0.40</w:t>
            </w:r>
          </w:p>
        </w:tc>
        <w:tc>
          <w:tcPr/>
          <w:p>
            <w:pPr>
              <w:pStyle w:val="Compact"/>
            </w:pPr>
            <w:r>
              <w:t xml:space="preserve">0.51 – 0.84</w:t>
            </w:r>
          </w:p>
        </w:tc>
      </w:tr>
      <w:tr>
        <w:tc>
          <w:tcPr/>
          <w:p>
            <w:pPr>
              <w:pStyle w:val="Compact"/>
            </w:pPr>
            <m:oMath>
              <m:sSub>
                <m:e>
                  <m:r>
                    <m:t>r</m:t>
                  </m:r>
                </m:e>
                <m:sub>
                  <m:r>
                    <m:t>c</m:t>
                  </m:r>
                </m:sub>
              </m:sSub>
            </m:oMath>
          </w:p>
        </w:tc>
        <w:tc>
          <w:tcPr/>
          <w:p>
            <w:pPr>
              <w:pStyle w:val="Compact"/>
            </w:pPr>
            <w:r>
              <w:t xml:space="preserve">logit</w:t>
            </w:r>
          </w:p>
        </w:tc>
        <w:tc>
          <w:tcPr/>
          <w:p>
            <w:pPr>
              <w:pStyle w:val="Compact"/>
            </w:pPr>
            <w:r>
              <w:t xml:space="preserve">0.25</w:t>
            </w:r>
          </w:p>
        </w:tc>
        <w:tc>
          <w:tcPr/>
          <w:p>
            <w:pPr>
              <w:pStyle w:val="Compact"/>
            </w:pPr>
            <w:r>
              <w:t xml:space="preserve">0.40</w:t>
            </w:r>
          </w:p>
        </w:tc>
        <w:tc>
          <w:tcPr/>
          <w:p>
            <w:pPr>
              <w:pStyle w:val="Compact"/>
            </w:pPr>
            <w:r>
              <w:t xml:space="preserve">0.37 – 0.74</w:t>
            </w:r>
          </w:p>
        </w:tc>
      </w:tr>
    </w:tbl>
    <w:bookmarkEnd w:id="106"/>
    <w:bookmarkEnd w:id="107"/>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60 trials (i.e., 60 response observations) per participant. The</w:t>
      </w:r>
      <w:r>
        <w:t xml:space="preserve"> </w:t>
      </w:r>
      <w:r>
        <w:rPr>
          <w:rStyle w:val="VerbatimChar"/>
        </w:rPr>
        <w:t xml:space="preserve">bmm</w:t>
      </w:r>
      <w:r>
        <w:t xml:space="preserve"> </w:t>
      </w:r>
      <w:r>
        <w:t xml:space="preserve">package provides</w:t>
      </w:r>
      <w:r>
        <w:t xml:space="preserve"> </w:t>
      </w:r>
      <w:r>
        <w:rPr>
          <w:rStyle w:val="VerbatimChar"/>
        </w:rPr>
        <w:t xml:space="preserve">rm3()</w:t>
      </w:r>
      <w:r>
        <w:t xml:space="preserve"> </w:t>
      </w:r>
      <w:r>
        <w:t xml:space="preserve">as the data-generating counterpart to the fitting workflow:</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1.5</w:t>
      </w:r>
      <w:r>
        <w:rPr>
          <w:rStyle w:val="NormalTok"/>
        </w:rPr>
        <w:t xml:space="preserve">, </w:t>
      </w:r>
      <w:r>
        <w:rPr>
          <w:rStyle w:val="AttributeTok"/>
        </w:rPr>
        <w:t xml:space="preserve">c =</w:t>
      </w:r>
      <w:r>
        <w:rPr>
          <w:rStyle w:val="NormalTok"/>
        </w:rPr>
        <w:t xml:space="preserve"> </w:t>
      </w:r>
      <w:r>
        <w:rPr>
          <w:rStyle w:val="FloatTok"/>
        </w:rPr>
        <w:t xml:space="preserve">2.0</w:t>
      </w:r>
      <w:r>
        <w:rPr>
          <w:rStyle w:val="NormalTok"/>
        </w:rPr>
        <w:t xml:space="preserve">, </w:t>
      </w:r>
      <w:r>
        <w:rPr>
          <w:rStyle w:val="AttributeTok"/>
        </w:rPr>
        <w:t xml:space="preserve">ra =</w:t>
      </w:r>
      <w:r>
        <w:rPr>
          <w:rStyle w:val="NormalTok"/>
        </w:rPr>
        <w:t xml:space="preserve"> </w:t>
      </w:r>
      <w:r>
        <w:rPr>
          <w:rStyle w:val="FloatTok"/>
        </w:rPr>
        <w:t xml:space="preserve">0.70</w:t>
      </w:r>
      <w:r>
        <w:rPr>
          <w:rStyle w:val="NormalTok"/>
        </w:rPr>
        <w:t xml:space="preserve">, </w:t>
      </w:r>
      <w:r>
        <w:rPr>
          <w:rStyle w:val="AttributeTok"/>
        </w:rPr>
        <w:t xml:space="preserve">rc =</w:t>
      </w:r>
      <w:r>
        <w:rPr>
          <w:rStyle w:val="NormalTok"/>
        </w:rPr>
        <w:t xml:space="preserve"> </w:t>
      </w:r>
      <w:r>
        <w:rPr>
          <w:rStyle w:val="FloatTok"/>
        </w:rPr>
        <w:t xml:space="preserve">0.56</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producing 50 rows. The companion script contains the complete generation and fitting code.</w:t>
      </w:r>
    </w:p>
    <w:bookmarkEnd w:id="108"/>
    <w:bookmarkStart w:id="119" w:name="recovery-evaluation"/>
    <w:p>
      <w:pPr>
        <w:pStyle w:val="Heading2"/>
      </w:pPr>
      <w:r>
        <w:t xml:space="preserve">Recovery evaluation</w:t>
      </w:r>
    </w:p>
    <w:bookmarkStart w:id="113" w:name="group-level-recovery"/>
    <w:p>
      <w:pPr>
        <w:pStyle w:val="Heading3"/>
      </w:pPr>
      <w:r>
        <w:t xml:space="preserve">Group-level recovery</w:t>
      </w:r>
    </w:p>
    <w:p>
      <w:pPr>
        <w:pStyle w:val="FirstParagraph"/>
      </w:pPr>
      <w:hyperlink w:anchor="fig-t4-group-recovery">
        <w:r>
          <w:rPr>
            <w:rStyle w:val="Hyperlink"/>
          </w:rPr>
          <w:t xml:space="preserve">Figure 9</w:t>
        </w:r>
      </w:hyperlink>
      <w:r>
        <w:t xml:space="preserve"> </w:t>
      </w:r>
      <w:r>
        <w:t xml:space="preserve">shows the group-level results. All 4 of 4 population means fell within their 95% credible intervals, and 4 of 4 between-person SDs were recovered accurately. Bias was negligible for all parameters. The companion script extracts these values from</w:t>
      </w:r>
      <w:r>
        <w:t xml:space="preserve"> </w:t>
      </w:r>
      <w:r>
        <w:rPr>
          <w:rStyle w:val="VerbatimChar"/>
        </w:rPr>
        <w:t xml:space="preserve">fixef()</w:t>
      </w:r>
      <w:r>
        <w:t xml:space="preserve"> </w:t>
      </w:r>
      <w:r>
        <w:t xml:space="preserve">and</w:t>
      </w:r>
      <w:r>
        <w:t xml:space="preserve"> </w:t>
      </w:r>
      <w:r>
        <w:rPr>
          <w:rStyle w:val="VerbatimChar"/>
        </w:rPr>
        <w:t xml:space="preserve">brms::VarCorr()</w:t>
      </w:r>
      <w:r>
        <w:t xml:space="preserve">.</w:t>
      </w:r>
    </w:p>
    <w:bookmarkStart w:id="112" w:name="fig-t4-group-recovery"/>
    <w:p>
      <w:pPr>
        <w:pStyle w:val="FigureTitle"/>
      </w:pPr>
      <w:r>
        <w:t xml:space="preserve">Figure 9</w:t>
      </w:r>
    </w:p>
    <w:p>
      <w:pPr>
        <w:pStyle w:val="Caption"/>
      </w:pPr>
      <w:r>
        <w:t xml:space="preserve">Group-level parameter recovery. Points show recovered posterior medians; error bars show 95% credible intervals. The dashed line indicates perfect recovery.</w:t>
      </w:r>
    </w:p>
    <w:p>
      <w:pPr>
        <w:pStyle w:val="FigureWithoutNote"/>
      </w:pPr>
      <w:r>
        <w:drawing>
          <wp:inline>
            <wp:extent cx="4572000" cy="4572000"/>
            <wp:effectExtent b="0" l="0" r="0" t="0"/>
            <wp:docPr descr="" title="" id="110" name="Picture"/>
            <a:graphic>
              <a:graphicData uri="http://schemas.openxmlformats.org/drawingml/2006/picture">
                <pic:pic>
                  <pic:nvPicPr>
                    <pic:cNvPr descr="../figures/tutorial4_group_recovery.pdf" id="111" name="Picture"/>
                    <pic:cNvPicPr>
                      <a:picLocks noChangeArrowheads="1" noChangeAspect="1"/>
                    </pic:cNvPicPr>
                  </pic:nvPicPr>
                  <pic:blipFill>
                    <a:blip r:embed="rId109"/>
                    <a:stretch>
                      <a:fillRect/>
                    </a:stretch>
                  </pic:blipFill>
                  <pic:spPr bwMode="auto">
                    <a:xfrm>
                      <a:off x="0" y="0"/>
                      <a:ext cx="4572000" cy="4572000"/>
                    </a:xfrm>
                    <a:prstGeom prst="rect">
                      <a:avLst/>
                    </a:prstGeom>
                    <a:noFill/>
                    <a:ln w="9525">
                      <a:noFill/>
                      <a:headEnd/>
                      <a:tailEnd/>
                    </a:ln>
                  </pic:spPr>
                </pic:pic>
              </a:graphicData>
            </a:graphic>
          </wp:inline>
        </w:drawing>
      </w:r>
    </w:p>
    <w:bookmarkEnd w:id="112"/>
    <w:bookmarkEnd w:id="113"/>
    <w:bookmarkStart w:id="118" w:name="individual-level-recovery"/>
    <w:p>
      <w:pPr>
        <w:pStyle w:val="Heading3"/>
      </w:pPr>
      <w:r>
        <w:t xml:space="preserve">Individual-level recovery</w:t>
      </w:r>
    </w:p>
    <w:p>
      <w:pPr>
        <w:pStyle w:val="FirstParagraph"/>
      </w:pPr>
      <w:hyperlink w:anchor="fig-t4-indiv-scatter">
        <w:r>
          <w:rPr>
            <w:rStyle w:val="Hyperlink"/>
          </w:rPr>
          <w:t xml:space="preserve">Figure 10</w:t>
        </w:r>
      </w:hyperlink>
      <w:r>
        <w:t xml:space="preserve"> </w:t>
      </w:r>
      <w:r>
        <w:t xml:space="preserve">shows scatter plots of true versus recovered individual parameters (</w:t>
      </w:r>
      <m:oMath>
        <m:r>
          <m:t>N</m:t>
        </m:r>
        <m:r>
          <m:rPr>
            <m:sty m:val="p"/>
          </m:rPr>
          <m:t>=</m:t>
        </m:r>
        <m:r>
          <m:t>50</m:t>
        </m:r>
      </m:oMath>
      <w:r>
        <w:t xml:space="preserve">, 60 trials per participant). Context binding (</w:t>
      </w:r>
      <m:oMath>
        <m:r>
          <m:t>c</m:t>
        </m:r>
      </m:oMath>
      <w:r>
        <w:t xml:space="preserve">) was recovered well (</w:t>
      </w:r>
      <m:oMath>
        <m:r>
          <m:t>r</m:t>
        </m:r>
      </m:oMath>
      <w:r>
        <w:t xml:space="preserve"> </w:t>
      </w:r>
      <w:r>
        <w:t xml:space="preserve">= 0.92), and item memory (</w:t>
      </w:r>
      <m:oMath>
        <m:r>
          <m:t>a</m:t>
        </m:r>
      </m:oMath>
      <w:r>
        <w:t xml:space="preserve">) showed adequate recovery (</w:t>
      </w:r>
      <m:oMath>
        <m:r>
          <m:t>r</m:t>
        </m:r>
      </m:oMath>
      <w:r>
        <w:t xml:space="preserve"> </w:t>
      </w:r>
      <w:r>
        <w:t xml:space="preserve">= 0.72). The ratio parameters were harder to recover individually (</w:t>
      </w:r>
      <m:oMath>
        <m:sSub>
          <m:e>
            <m:r>
              <m:t>r</m:t>
            </m:r>
          </m:e>
          <m:sub>
            <m:r>
              <m:t>a</m:t>
            </m:r>
          </m:sub>
        </m:sSub>
      </m:oMath>
      <w:r>
        <w:t xml:space="preserve">:</w:t>
      </w:r>
      <w:r>
        <w:t xml:space="preserve"> </w:t>
      </w:r>
      <m:oMath>
        <m:r>
          <m:t>r</m:t>
        </m:r>
      </m:oMath>
      <w:r>
        <w:t xml:space="preserve"> </w:t>
      </w:r>
      <w:r>
        <w:t xml:space="preserve">= 0.35;</w:t>
      </w:r>
      <w:r>
        <w:t xml:space="preserve"> </w:t>
      </w:r>
      <m:oMath>
        <m:sSub>
          <m:e>
            <m:r>
              <m:t>r</m:t>
            </m:r>
          </m:e>
          <m:sub>
            <m:r>
              <m:t>c</m:t>
            </m:r>
          </m:sub>
        </m:sSub>
      </m:oMath>
      <w:r>
        <w:t xml:space="preserve">:</w:t>
      </w:r>
      <w:r>
        <w:t xml:space="preserve"> </w:t>
      </w:r>
      <m:oMath>
        <m:r>
          <m:t>r</m:t>
        </m:r>
      </m:oMath>
      <w:r>
        <w:t xml:space="preserve"> </w:t>
      </w:r>
      <w:r>
        <w:t xml:space="preserve">= 0.20). This is expected: ratio parameters appear only in distractor categories, which have lower base rates and therefore carry less information per trial.</w:t>
      </w:r>
    </w:p>
    <w:bookmarkStart w:id="117" w:name="fig-t4-indiv-scatter"/>
    <w:p>
      <w:pPr>
        <w:pStyle w:val="FigureTitle"/>
      </w:pPr>
      <w:r>
        <w:t xml:space="preserve">Figure 10</w:t>
      </w:r>
    </w:p>
    <w:p>
      <w:pPr>
        <w:pStyle w:val="Caption"/>
      </w:pPr>
      <w:r>
        <w:t xml:space="preserve">Individual-level parameter recovery (</w:t>
      </w:r>
      <m:oMath>
        <m:r>
          <m:t>N</m:t>
        </m:r>
        <m:r>
          <m:rPr>
            <m:sty m:val="p"/>
          </m:rPr>
          <m:t>=</m:t>
        </m:r>
        <m:r>
          <m:t>50</m:t>
        </m:r>
      </m:oMath>
      <w:r>
        <w:t xml:space="preserve">, 60 trials per participant). Each point is one participant; the dashed line indicates perfect recovery. Pearson correlations are shown per parameter.</w:t>
      </w:r>
    </w:p>
    <w:p>
      <w:pPr>
        <w:pStyle w:val="FigureWithoutNote"/>
      </w:pPr>
      <w:r>
        <w:drawing>
          <wp:inline>
            <wp:extent cx="5943600" cy="4572000"/>
            <wp:effectExtent b="0" l="0" r="0" t="0"/>
            <wp:docPr descr="" title="" id="115" name="Picture"/>
            <a:graphic>
              <a:graphicData uri="http://schemas.openxmlformats.org/drawingml/2006/picture">
                <pic:pic>
                  <pic:nvPicPr>
                    <pic:cNvPr descr="../figures/tutorial4_indiv_scatter.pdf" id="116" name="Picture"/>
                    <pic:cNvPicPr>
                      <a:picLocks noChangeArrowheads="1" noChangeAspect="1"/>
                    </pic:cNvPicPr>
                  </pic:nvPicPr>
                  <pic:blipFill>
                    <a:blip r:embed="rId114"/>
                    <a:stretch>
                      <a:fillRect/>
                    </a:stretch>
                  </pic:blipFill>
                  <pic:spPr bwMode="auto">
                    <a:xfrm>
                      <a:off x="0" y="0"/>
                      <a:ext cx="5943600" cy="4572000"/>
                    </a:xfrm>
                    <a:prstGeom prst="rect">
                      <a:avLst/>
                    </a:prstGeom>
                    <a:noFill/>
                    <a:ln w="9525">
                      <a:noFill/>
                      <a:headEnd/>
                      <a:tailEnd/>
                    </a:ln>
                  </pic:spPr>
                </pic:pic>
              </a:graphicData>
            </a:graphic>
          </wp:inline>
        </w:drawing>
      </w:r>
    </w:p>
    <w:bookmarkEnd w:id="117"/>
    <w:bookmarkEnd w:id="118"/>
    <w:bookmarkEnd w:id="119"/>
    <w:bookmarkStart w:id="120" w:name="practical-guidance"/>
    <w:p>
      <w:pPr>
        <w:pStyle w:val="Heading2"/>
      </w:pPr>
      <w:r>
        <w:t xml:space="preserve">Practical guidance</w:t>
      </w:r>
    </w:p>
    <w:p>
      <w:pPr>
        <w:pStyle w:val="FirstParagraph"/>
      </w:pPr>
      <w:r>
        <w:t xml:space="preserve">As a rule of thumb, if individual-level correlations fall below .7 for a parameter, the design likely needs more trials or a larger sample before that parameter can support individual-differences analyses. The present simulation uses a single replication; a full simulation study should vary sample size and trial count systematically</w:t>
      </w:r>
      <w:r>
        <w:t xml:space="preserve"> </w:t>
      </w:r>
      <w:r>
        <w:t xml:space="preserve">Talts et al. (</w:t>
      </w:r>
      <w:hyperlink w:anchor="ref-talts2018validating">
        <w:r>
          <w:rPr>
            <w:rStyle w:val="Hyperlink"/>
          </w:rPr>
          <w:t xml:space="preserve">2018</w:t>
        </w:r>
      </w:hyperlink>
      <w:r>
        <w:t xml:space="preserve">)</w:t>
      </w:r>
      <w:r>
        <w:t xml:space="preserve">.</w:t>
      </w:r>
    </w:p>
    <w:bookmarkEnd w:id="120"/>
    <w:bookmarkStart w:id="121" w:name="X075ad64b0db91a3cd0eec1300001e99e712de29"/>
    <w:p>
      <w:pPr>
        <w:pStyle w:val="Heading2"/>
      </w:pPr>
      <w:r>
        <w:t xml:space="preserve">Going further: more complex custom versions</w:t>
      </w:r>
    </w:p>
    <w:p>
      <w:pPr>
        <w:pStyle w:val="FirstParagraph"/>
      </w:pPr>
      <w:r>
        <w:t xml:space="preserve">The filtering example in Tutorial 3 modifies only the activation formulas of the distractor categories, keeping the same five-category structure as the</w:t>
      </w:r>
      <w:r>
        <w:t xml:space="preserve"> </w:t>
      </w:r>
      <w:r>
        <w:rPr>
          <w:rStyle w:val="VerbatimChar"/>
        </w:rPr>
        <w:t xml:space="preserve">cs</w:t>
      </w:r>
      <w:r>
        <w:t xml:space="preserve"> </w:t>
      </w:r>
      <w:r>
        <w:t xml:space="preserve">version. Custom specifications can go much further: entirely new response categories, nonlinear activation formulas with design variables, and additional parameters with different link functions. Two considerations are important when designing custom specifications. First, the activation formulas should be theoretically motivated — each parameter should correspond to a meaningful cognitive process, and the way parameters combine into category activations should reflect plausible assumptions about the task. Second, all parameters must be identifiable given the data structure. Identification requires that the number of response categories and experimental conditions jointly provide enough constraints to distinguish each parameter. When parameters are not identified, the posterior will reflect the prior rather than the data, and parameter recovery (as in this tutorial) will fail.</w:t>
      </w:r>
    </w:p>
    <w:p>
      <w:pPr>
        <w:pStyle w:val="BodyText"/>
      </w:pPr>
      <w:r>
        <w:t xml:space="preserve">The Appendix presents a more complex example — a memory updating task from</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with five estimated parameters and experimentally manipulated timing variables — to illustrate how design variables can provide the additional constraints needed for more complex specifications. The accompanying scripts (</w:t>
      </w:r>
      <w:r>
        <w:rPr>
          <w:rStyle w:val="VerbatimChar"/>
        </w:rPr>
        <w:t xml:space="preserve">scripts/tutorial3_parameter_recovery_simple.R</w:t>
      </w:r>
      <w:r>
        <w:t xml:space="preserve"> </w:t>
      </w:r>
      <w:r>
        <w:t xml:space="preserve">and</w:t>
      </w:r>
      <w:r>
        <w:t xml:space="preserve"> </w:t>
      </w:r>
      <w:r>
        <w:rPr>
          <w:rStyle w:val="VerbatimChar"/>
        </w:rPr>
        <w:t xml:space="preserve">scripts/tutorial3_parameter_recovery.R</w:t>
      </w:r>
      <w:r>
        <w:t xml:space="preserve">) provide the complete code for this advanced example.</w:t>
      </w:r>
    </w:p>
    <w:bookmarkEnd w:id="121"/>
    <w:bookmarkEnd w:id="122"/>
    <w:bookmarkStart w:id="127" w:name="summary-and-additional-resources"/>
    <w:p>
      <w:pPr>
        <w:pStyle w:val="Heading1"/>
      </w:pPr>
      <w:r>
        <w:t xml:space="preserve">Summary and Additional Resources</w:t>
      </w:r>
    </w:p>
    <w:p>
      <w:pPr>
        <w:pStyle w:val="FirstParagraph"/>
      </w:pPr>
      <w:r>
        <w:t xml:space="preserve">This tutorial covered four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 specification, fitting, evaluation, and hypothesis testing — and compared the two choice rules. The complex span example (Tutorial 2) added distractor categories, the filtering parameter</w:t>
      </w:r>
      <w:r>
        <w:t xml:space="preserve"> </w:t>
      </w:r>
      <m:oMath>
        <m:r>
          <m:t>f</m:t>
        </m:r>
      </m:oMath>
      <w:r>
        <w:t xml:space="preserve">, and the handling of non-identified parameters. The custom specification example (Tutorial 3) showed how to relax assumptions of a pre-built version by defining separate ratio parameters for item memory and context binding, and compared the custom version against the standard</w:t>
      </w:r>
      <w:r>
        <w:t xml:space="preserve"> </w:t>
      </w:r>
      <w:r>
        <w:rPr>
          <w:rStyle w:val="VerbatimChar"/>
        </w:rPr>
        <w:t xml:space="preserve">cs</w:t>
      </w:r>
      <w:r>
        <w:t xml:space="preserve"> </w:t>
      </w:r>
      <w:r>
        <w:t xml:space="preserve">version. The parameter recovery tutorial (Tutorial 4) demonstrated how to validate a custom specification through simulation before applying it to empirical data.</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specification, running a parameter recovery simulation before data collection is good practice: it reveals whether the planned design can distinguish the parameters of interest and whether the specification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modeling approach accessible to a wide range of researchers. As noted before,</w:t>
      </w:r>
      <w:r>
        <w:t xml:space="preserve"> </w:t>
      </w:r>
      <m:oMath>
        <m:sSup>
          <m:e>
            <m:r>
              <m:t>M</m:t>
            </m:r>
          </m:e>
          <m:sup>
            <m:r>
              <m:t>3</m:t>
            </m:r>
          </m:sup>
        </m:sSup>
      </m:oMath>
      <w:r>
        <w:t xml:space="preserve"> </w:t>
      </w:r>
      <w:r>
        <w:t xml:space="preserve">is not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We encourage users to explore the package documentation, experiment with different model specifications, and contribute to the ongoing development of this tool.</w:t>
      </w:r>
    </w:p>
    <w:bookmarkStart w:id="126" w:name="additional-resources"/>
    <w:p>
      <w:pPr>
        <w:pStyle w:val="Heading2"/>
      </w:pPr>
      <w:r>
        <w:t xml:space="preserve">Additional resources</w:t>
      </w:r>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23">
        <w:r>
          <w:rPr>
            <w:rStyle w:val="Hyperlink"/>
          </w:rPr>
          <w:t xml:space="preserve">https://venpopov.github.io/bmm/articles/bmm_m3.html</w:t>
        </w:r>
      </w:hyperlink>
    </w:p>
    <w:p>
      <w:pPr>
        <w:pStyle w:val="Compact"/>
        <w:numPr>
          <w:ilvl w:val="0"/>
          <w:numId w:val="1003"/>
        </w:numPr>
      </w:pPr>
      <w:r>
        <w:t xml:space="preserve">OSF repository with data, code, and materials:</w:t>
      </w:r>
      <w:r>
        <w:t xml:space="preserve"> </w:t>
      </w:r>
      <w:hyperlink r:id="rId124">
        <w:r>
          <w:rPr>
            <w:rStyle w:val="Hyperlink"/>
          </w:rPr>
          <w:t xml:space="preserve">https://osf.io/yb7wm/</w:t>
        </w:r>
      </w:hyperlink>
    </w:p>
    <w:p>
      <w:pPr>
        <w:pStyle w:val="Compact"/>
        <w:numPr>
          <w:ilvl w:val="0"/>
          <w:numId w:val="1003"/>
        </w:numPr>
      </w:pPr>
      <w:r>
        <w:t xml:space="preserve">Full companion scripts for all four tutorials on</w:t>
      </w:r>
      <w:r>
        <w:t xml:space="preserve"> </w:t>
      </w:r>
      <w:hyperlink r:id="rId125">
        <w:r>
          <w:rPr>
            <w:rStyle w:val="Hyperlink"/>
          </w:rPr>
          <w:t xml:space="preserve">GitHub</w:t>
        </w:r>
      </w:hyperlink>
    </w:p>
    <w:p>
      <w:r>
        <w:br w:type="page"/>
      </w:r>
    </w:p>
    <w:bookmarkEnd w:id="126"/>
    <w:bookmarkEnd w:id="127"/>
    <w:bookmarkStart w:id="185" w:name="references"/>
    <w:p>
      <w:pPr>
        <w:pStyle w:val="Heading1"/>
      </w:pPr>
      <w:r>
        <w:t xml:space="preserve">References</w:t>
      </w:r>
    </w:p>
    <w:bookmarkStart w:id="184" w:name="refs"/>
    <w:bookmarkStart w:id="129"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28">
        <w:r>
          <w:rPr>
            <w:rStyle w:val="Hyperlink"/>
          </w:rPr>
          <w:t xml:space="preserve">https://doi.org/10.3758/BF03210812</w:t>
        </w:r>
      </w:hyperlink>
    </w:p>
    <w:bookmarkEnd w:id="129"/>
    <w:bookmarkStart w:id="131"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30">
        <w:r>
          <w:rPr>
            <w:rStyle w:val="Hyperlink"/>
          </w:rPr>
          <w:t xml:space="preserve">https://doi.org/10.18637/jss.v080.i01</w:t>
        </w:r>
      </w:hyperlink>
    </w:p>
    <w:bookmarkEnd w:id="131"/>
    <w:bookmarkStart w:id="133"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32">
        <w:r>
          <w:rPr>
            <w:rStyle w:val="Hyperlink"/>
          </w:rPr>
          <w:t xml:space="preserve">https://doi.org/10.1037/0033-295X.100.3.432</w:t>
        </w:r>
      </w:hyperlink>
    </w:p>
    <w:bookmarkEnd w:id="133"/>
    <w:bookmarkStart w:id="135"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34">
        <w:r>
          <w:rPr>
            <w:rStyle w:val="Hyperlink"/>
          </w:rPr>
          <w:t xml:space="preserve">https://doi.org/10.18637/jss.v076.i01</w:t>
        </w:r>
      </w:hyperlink>
    </w:p>
    <w:bookmarkEnd w:id="135"/>
    <w:bookmarkStart w:id="137"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36">
        <w:r>
          <w:rPr>
            <w:rStyle w:val="Hyperlink"/>
          </w:rPr>
          <w:t xml:space="preserve">https://doi.org/10.20982/tqmp.16.4.p248</w:t>
        </w:r>
      </w:hyperlink>
    </w:p>
    <w:bookmarkEnd w:id="137"/>
    <w:bookmarkStart w:id="139"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38">
        <w:r>
          <w:rPr>
            <w:rStyle w:val="Hyperlink"/>
          </w:rPr>
          <w:t xml:space="preserve">https://doi.org/10.1027/0044-3409.217.3.108</w:t>
        </w:r>
      </w:hyperlink>
    </w:p>
    <w:bookmarkEnd w:id="139"/>
    <w:bookmarkStart w:id="141"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40">
        <w:r>
          <w:rPr>
            <w:rStyle w:val="Hyperlink"/>
          </w:rPr>
          <w:t xml:space="preserve">https://doi.org/10.3758/s13428-025-02643-0</w:t>
        </w:r>
      </w:hyperlink>
    </w:p>
    <w:bookmarkEnd w:id="141"/>
    <w:bookmarkStart w:id="143"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2">
        <w:r>
          <w:rPr>
            <w:rStyle w:val="Hyperlink"/>
          </w:rPr>
          <w:t xml:space="preserve">https://doi.org/10.1111/rssa.12378</w:t>
        </w:r>
      </w:hyperlink>
    </w:p>
    <w:bookmarkEnd w:id="143"/>
    <w:bookmarkStart w:id="145"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44">
        <w:r>
          <w:rPr>
            <w:rStyle w:val="Hyperlink"/>
          </w:rPr>
          <w:t xml:space="preserve">https://doi.org/10.1214/ss/1177011136</w:t>
        </w:r>
      </w:hyperlink>
    </w:p>
    <w:bookmarkEnd w:id="145"/>
    <w:bookmarkStart w:id="147"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46">
        <w:r>
          <w:rPr>
            <w:rStyle w:val="Hyperlink"/>
          </w:rPr>
          <w:t xml:space="preserve">https://doi.org/10.31234/osf.io/945d2</w:t>
        </w:r>
      </w:hyperlink>
    </w:p>
    <w:bookmarkEnd w:id="147"/>
    <w:bookmarkStart w:id="149"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48">
        <w:r>
          <w:rPr>
            <w:rStyle w:val="Hyperlink"/>
          </w:rPr>
          <w:t xml:space="preserve">https://doi.org/10.1016/j.jmp.2017.09.005</w:t>
        </w:r>
      </w:hyperlink>
    </w:p>
    <w:bookmarkEnd w:id="149"/>
    <w:bookmarkStart w:id="151"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50">
        <w:r>
          <w:rPr>
            <w:rStyle w:val="Hyperlink"/>
          </w:rPr>
          <w:t xml:space="preserve">https://doi.org/10.3758/s13428-017-0869-7</w:t>
        </w:r>
      </w:hyperlink>
    </w:p>
    <w:bookmarkEnd w:id="151"/>
    <w:bookmarkStart w:id="153"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52">
        <w:r>
          <w:rPr>
            <w:rStyle w:val="Hyperlink"/>
          </w:rPr>
          <w:t xml:space="preserve">https://doi.org/10.1016/0749-596X(91)90025-F</w:t>
        </w:r>
      </w:hyperlink>
    </w:p>
    <w:bookmarkEnd w:id="153"/>
    <w:bookmarkStart w:id="155"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54">
        <w:r>
          <w:rPr>
            <w:rStyle w:val="Hyperlink"/>
          </w:rPr>
          <w:t xml:space="preserve">https://doi.org/10.1037/xlm0001585</w:t>
        </w:r>
      </w:hyperlink>
    </w:p>
    <w:bookmarkEnd w:id="155"/>
    <w:bookmarkStart w:id="156"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56"/>
    <w:bookmarkStart w:id="158"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57">
        <w:r>
          <w:rPr>
            <w:rStyle w:val="Hyperlink"/>
          </w:rPr>
          <w:t xml:space="preserve">https://doi.org/10.1201/9780429029608</w:t>
        </w:r>
      </w:hyperlink>
    </w:p>
    <w:bookmarkEnd w:id="158"/>
    <w:bookmarkStart w:id="159"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59"/>
    <w:bookmarkStart w:id="161"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60">
        <w:r>
          <w:rPr>
            <w:rStyle w:val="Hyperlink"/>
          </w:rPr>
          <w:t xml:space="preserve">https://doi.org/10.5334/joc.86</w:t>
        </w:r>
      </w:hyperlink>
    </w:p>
    <w:bookmarkEnd w:id="161"/>
    <w:bookmarkStart w:id="163"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62">
        <w:r>
          <w:rPr>
            <w:rStyle w:val="Hyperlink"/>
          </w:rPr>
          <w:t xml:space="preserve">https://doi.org/10.1037/rev0000328</w:t>
        </w:r>
      </w:hyperlink>
    </w:p>
    <w:bookmarkEnd w:id="163"/>
    <w:bookmarkStart w:id="165"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64">
        <w:r>
          <w:rPr>
            <w:rStyle w:val="Hyperlink"/>
          </w:rPr>
          <w:t xml:space="preserve">https://doi.org/10.1037/rev0000159</w:t>
        </w:r>
      </w:hyperlink>
    </w:p>
    <w:bookmarkEnd w:id="165"/>
    <w:bookmarkStart w:id="167"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66">
        <w:r>
          <w:rPr>
            <w:rStyle w:val="Hyperlink"/>
          </w:rPr>
          <w:t xml:space="preserve">https://doi.org/10.1037/bul0000153</w:t>
        </w:r>
      </w:hyperlink>
    </w:p>
    <w:bookmarkEnd w:id="167"/>
    <w:bookmarkStart w:id="169"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68">
        <w:r>
          <w:rPr>
            <w:rStyle w:val="Hyperlink"/>
          </w:rPr>
          <w:t xml:space="preserve">https://doi.org/10.32614/CRAN.package.bmm</w:t>
        </w:r>
      </w:hyperlink>
    </w:p>
    <w:bookmarkEnd w:id="169"/>
    <w:bookmarkStart w:id="171"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70">
        <w:r>
          <w:rPr>
            <w:rStyle w:val="Hyperlink"/>
          </w:rPr>
          <w:t xml:space="preserve">https://doi.org/10.1037/0033-295X.108.2.370</w:t>
        </w:r>
      </w:hyperlink>
    </w:p>
    <w:bookmarkEnd w:id="171"/>
    <w:bookmarkStart w:id="173"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72">
        <w:r>
          <w:rPr>
            <w:rStyle w:val="Hyperlink"/>
          </w:rPr>
          <w:t xml:space="preserve">https://doi.org/10.1037/met0000275</w:t>
        </w:r>
      </w:hyperlink>
    </w:p>
    <w:bookmarkEnd w:id="173"/>
    <w:bookmarkStart w:id="175"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74">
        <w:r>
          <w:rPr>
            <w:rStyle w:val="Hyperlink"/>
          </w:rPr>
          <w:t xml:space="preserve">https://arxiv.org/abs/1804.06788</w:t>
        </w:r>
      </w:hyperlink>
    </w:p>
    <w:bookmarkEnd w:id="175"/>
    <w:bookmarkStart w:id="177"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76">
        <w:r>
          <w:rPr>
            <w:rStyle w:val="Hyperlink"/>
          </w:rPr>
          <w:t xml:space="preserve">https://doi.org/10.1037/h0070288</w:t>
        </w:r>
      </w:hyperlink>
    </w:p>
    <w:bookmarkEnd w:id="177"/>
    <w:bookmarkStart w:id="179"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78">
        <w:r>
          <w:rPr>
            <w:rStyle w:val="Hyperlink"/>
          </w:rPr>
          <w:t xml:space="preserve">https://doi.org/10.7554/eLife.49547</w:t>
        </w:r>
      </w:hyperlink>
    </w:p>
    <w:bookmarkEnd w:id="179"/>
    <w:bookmarkStart w:id="181"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80">
        <w:r>
          <w:rPr>
            <w:rStyle w:val="Hyperlink"/>
          </w:rPr>
          <w:t xml:space="preserve">https://doi.org/10.1016/0022-2496(77)90026-8</w:t>
        </w:r>
      </w:hyperlink>
    </w:p>
    <w:bookmarkEnd w:id="181"/>
    <w:bookmarkStart w:id="183"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82">
        <w:r>
          <w:rPr>
            <w:rStyle w:val="Hyperlink"/>
          </w:rPr>
          <w:t xml:space="preserve">https://doi.org/10.3758/s13421-012-0205-5</w:t>
        </w:r>
      </w:hyperlink>
    </w:p>
    <w:bookmarkEnd w:id="183"/>
    <w:bookmarkEnd w:id="184"/>
    <w:p>
      <w:r>
        <w:br w:type="page"/>
      </w:r>
    </w:p>
    <w:p>
      <w:r>
        <w:br w:type="page"/>
      </w:r>
    </w:p>
    <w:bookmarkEnd w:id="185"/>
    <w:p>
      <w:pPr>
        <w:pStyle w:val="Heading1"/>
      </w:pPr>
      <w:r>
        <w:t xml:space="preserve">Appendix</w:t>
      </w:r>
    </w:p>
    <w:bookmarkStart w:id="186" w:name="X9a8fd5201c63c1f917f3ed9d55fcf0d5ee8f026"/>
    <w:p>
      <w:pPr>
        <w:pStyle w:val="Heading1"/>
      </w:pPr>
      <w:r>
        <w:t xml:space="preserve">Appendix: Memory Updating — A More Complex Custom</w:t>
      </w:r>
      <w:r>
        <w:t xml:space="preserve"> </w:t>
      </w:r>
      <m:oMath>
        <m:sSup>
          <m:e>
            <m:r>
              <m:t>M</m:t>
            </m:r>
          </m:e>
          <m:sup>
            <m:r>
              <m:t>3</m:t>
            </m:r>
          </m:sup>
        </m:sSup>
      </m:oMath>
    </w:p>
    <w:p>
      <w:pPr>
        <w:pStyle w:val="FirstParagraph"/>
      </w:pPr>
      <w:r>
        <w:t xml:space="preserve">To illustrate how custom specifications can accommodate more complex task designs, we present a memory updating example based on</w:t>
      </w:r>
      <w:r>
        <w:t xml:space="preserve"> </w:t>
      </w:r>
      <w:r>
        <w:t xml:space="preserve">Oberauer and Lewandowsky (</w:t>
      </w:r>
      <w:hyperlink w:anchor="ref-oberauer2019simple">
        <w:r>
          <w:rPr>
            <w:rStyle w:val="Hyperlink"/>
          </w:rPr>
          <w:t xml:space="preserve">2019</w:t>
        </w:r>
      </w:hyperlink>
      <w:r>
        <w:t xml:space="preserve">)</w:t>
      </w:r>
      <w:r>
        <w:t xml:space="preserve">. Unlike the filtering example in Tutorial 3 (which modifies only the distractor categories of the</w:t>
      </w:r>
      <w:r>
        <w:t xml:space="preserve"> </w:t>
      </w:r>
      <w:r>
        <w:rPr>
          <w:rStyle w:val="VerbatimChar"/>
        </w:rPr>
        <w:t xml:space="preserve">cs</w:t>
      </w:r>
      <w:r>
        <w:t xml:space="preserve"> </w:t>
      </w:r>
      <w:r>
        <w:t xml:space="preserve">version), this example introduces entirely new response categories, nonlinear activation formulas with design variables, and three additional parameters beyond</w:t>
      </w:r>
      <w:r>
        <w:t xml:space="preserve"> </w:t>
      </w:r>
      <m:oMath>
        <m:r>
          <m:t>a</m:t>
        </m:r>
      </m:oMath>
      <w:r>
        <w:t xml:space="preserve"> </w:t>
      </w:r>
      <w:r>
        <w:t xml:space="preserve">and</w:t>
      </w:r>
      <w:r>
        <w:t xml:space="preserve"> </w:t>
      </w:r>
      <m:oMath>
        <m:r>
          <m:t>c</m:t>
        </m:r>
      </m:oMath>
      <w:r>
        <w:t xml:space="preserve">.</w:t>
      </w:r>
    </w:p>
    <w:p>
      <w:pPr>
        <w:pStyle w:val="BodyText"/>
      </w:pPr>
      <w:r>
        <w:t xml:space="preserve">In this task, participants memorize items at five positions, then each position is updated once. At test, participants identify the current target from a recognition set containing: the current target (1 option), other current items (4), the replaced item from the tested position (1), replaced items from other positions (4), and not-presented lures (5). This produces five response categories with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Three new parameters appear:</w:t>
      </w:r>
      <w:r>
        <w:t xml:space="preserve"> </w:t>
      </w:r>
      <m:oMath>
        <m:r>
          <m:t>d</m:t>
        </m:r>
      </m:oMath>
      <w:r>
        <w:t xml:space="preserve"> </w:t>
      </w:r>
      <w:r>
        <w:t xml:space="preserve">captures the residual activation of replaced items (logit link, bounded 0–1),</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w:t>
      </w:r>
      <w:r>
        <w:t xml:space="preserve">(log link, positive), and</w:t>
      </w:r>
      <w:r>
        <w:t xml:space="preserve"> </w:t>
      </w:r>
      <m:oMath>
        <m:r>
          <m:t>r</m:t>
        </m:r>
      </m:oMath>
      <w:r>
        <w:t xml:space="preserve"> </w:t>
      </w:r>
      <w:r>
        <w:t xml:space="preserve">governs how quickly old-item activation decays with removal time</w:t>
      </w:r>
      <w:r>
        <w:t xml:space="preserve"> </w:t>
      </w:r>
      <m:oMath>
        <m:sSub>
          <m:e>
            <m:r>
              <m:t>t</m:t>
            </m:r>
          </m:e>
          <m:sub>
            <m:r>
              <m:t>r</m:t>
            </m:r>
          </m:sub>
        </m:sSub>
      </m:oMath>
      <w:r>
        <w:t xml:space="preserve"> </w:t>
      </w:r>
      <w:r>
        <w:t xml:space="preserve">(log link, positive). The terms</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(each at 0.25, 0.5, and 1.0 s), producing a</w:t>
      </w:r>
      <w:r>
        <w:t xml:space="preserve"> </w:t>
      </w:r>
      <m:oMath>
        <m:r>
          <m:t>3</m:t>
        </m:r>
        <m:r>
          <m:rPr>
            <m:sty m:val="p"/>
          </m:rPr>
          <m:t>×</m:t>
        </m:r>
        <m:r>
          <m:t>3</m:t>
        </m:r>
      </m:oMath>
      <w:r>
        <w:t xml:space="preserve"> </w:t>
      </w:r>
      <w:r>
        <w:t xml:space="preserve">within-subjects design with 9 conditions.</w:t>
      </w:r>
    </w:p>
    <w:p>
      <w:pPr>
        <w:pStyle w:val="BodyText"/>
      </w:pPr>
      <w:r>
        <w:t xml:space="preserve">The model definition:</w:t>
      </w:r>
    </w:p>
    <w:p>
      <w:pPr>
        <w:pStyle w:val="SourceCode"/>
      </w:pPr>
      <w:r>
        <w:rPr>
          <w:rStyle w:val="NormalTok"/>
        </w:rPr>
        <w:t xml:space="preserve">m3_model_updating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r>
        <w:br/>
      </w:r>
      <w:r>
        <w:br/>
      </w:r>
      <w:r>
        <w:rPr>
          <w:rStyle w:val="NormalTok"/>
        </w:rPr>
        <w:t xml:space="preserve">m3_act_funs_updating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activation formulas that are not listed as model parameters, it treats them as data columns. This allows custom specifications to incorporate experimentally manipulated design variables directly into the activation equations.</w:t>
      </w:r>
    </w:p>
    <w:p>
      <w:pPr>
        <w:pStyle w:val="BodyText"/>
      </w:pPr>
      <w:r>
        <w:t xml:space="preserve">Complete parameter recovery simulations for this model — varying sample size (</w:t>
      </w:r>
      <m:oMath>
        <m:r>
          <m:t>N</m:t>
        </m:r>
        <m:r>
          <m:rPr>
            <m:sty m:val="p"/>
          </m:rPr>
          <m:t>∈</m:t>
        </m:r>
        <m:r>
          <m:rPr>
            <m:sty m:val="p"/>
          </m:rPr>
          <m:t>{</m:t>
        </m:r>
        <m:r>
          <m:t>25</m:t>
        </m:r>
        <m:r>
          <m:rPr>
            <m:sty m:val="p"/>
          </m:rPr>
          <m:t>,</m:t>
        </m:r>
        <m:r>
          <m:t>50</m:t>
        </m:r>
        <m:r>
          <m:rPr>
            <m:sty m:val="p"/>
          </m:rPr>
          <m:t>,</m:t>
        </m:r>
        <m:r>
          <m:t>100</m:t>
        </m:r>
        <m:r>
          <m:rPr>
            <m:sty m:val="p"/>
          </m:rPr>
          <m:t>}</m:t>
        </m:r>
      </m:oMath>
      <w:r>
        <w:t xml:space="preserve">) and trials per condition (</w:t>
      </w:r>
      <m:oMath>
        <m:r>
          <m:rPr>
            <m:sty m:val="p"/>
          </m:rPr>
          <m:t>{</m:t>
        </m:r>
        <m:r>
          <m:t>5</m:t>
        </m:r>
        <m:r>
          <m:rPr>
            <m:sty m:val="p"/>
          </m:rPr>
          <m:t>,</m:t>
        </m:r>
        <m:r>
          <m:t>10</m:t>
        </m:r>
        <m:r>
          <m:rPr>
            <m:sty m:val="p"/>
          </m:rPr>
          <m:t>,</m:t>
        </m:r>
        <m:r>
          <m:t>25</m:t>
        </m:r>
        <m:r>
          <m:rPr>
            <m:sty m:val="p"/>
          </m:rPr>
          <m:t>}</m:t>
        </m:r>
      </m:oMath>
      <w:r>
        <w:t xml:space="preserve">) — are available in the companion scripts (</w:t>
      </w:r>
      <w:r>
        <w:rPr>
          <w:rStyle w:val="VerbatimChar"/>
        </w:rPr>
        <w:t xml:space="preserve">scripts/tutorial5_parameter_recovery_updating_simple.R</w:t>
      </w:r>
      <w:r>
        <w:t xml:space="preserve"> </w:t>
      </w:r>
      <w:r>
        <w:t xml:space="preserve">for a single cell walkthrough,</w:t>
      </w:r>
      <w:r>
        <w:t xml:space="preserve"> </w:t>
      </w:r>
      <w:r>
        <w:rPr>
          <w:rStyle w:val="VerbatimChar"/>
        </w:rPr>
        <w:t xml:space="preserve">scripts/tutorial5_parameter_recovery_updating.R</w:t>
      </w:r>
      <w:r>
        <w:t xml:space="preserve"> </w:t>
      </w:r>
      <w:r>
        <w:t xml:space="preserve">for the full design grid) and in the online supplement. These scripts demonstrate how recovery quality depends on both the number of participants and the amount of data per participant, and can serve as templates for validating other custom specifications.</w:t>
      </w:r>
    </w:p>
    <w:bookmarkEnd w:id="18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8">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9">
        <w:r>
          <w:rPr>
            <w:rStyle w:val="Hyperlink"/>
          </w:rPr>
          <w:t xml:space="preserve">https://venpopov.com/bmm/articles/bmm_bmmformula.html</w:t>
        </w:r>
      </w:hyperlink>
      <w:r>
        <w:t xml:space="preserve">.</w:t>
      </w:r>
    </w:p>
  </w:footnote>
  <w:footnote w:id="50">
    <w:p>
      <w:pPr>
        <w:pStyle w:val="FootnoteText"/>
      </w:pPr>
      <w:r>
        <w:rPr>
          <w:rStyle w:val="FootnoteReference"/>
        </w:rPr>
        <w:footnoteRef/>
      </w:r>
      <w:r>
        <w:t xml:space="preserve"> </w:t>
      </w:r>
      <w:r>
        <w:t xml:space="preserve">We are continuously working on extending the post-processing functions to accommodate the specific requirements of the measurement models implemented in the</w:t>
      </w:r>
      <w:r>
        <w:t xml:space="preserve"> </w:t>
      </w:r>
      <w:r>
        <w:rPr>
          <w:rStyle w:val="VerbatimChar"/>
        </w:rPr>
        <w:t xml:space="preserve">bmm</w:t>
      </w:r>
      <w:r>
        <w:t xml:space="preserve"> </w:t>
      </w:r>
      <w:r>
        <w:t xml:space="preserve">R package.</w:t>
      </w:r>
    </w:p>
  </w:footnote>
  <w:footnote w:id="54">
    <w:p>
      <w:pPr>
        <w:pStyle w:val="FootnoteText"/>
      </w:pPr>
      <w:r>
        <w:rPr>
          <w:rStyle w:val="FootnoteReference"/>
        </w:rPr>
        <w:footnoteRef/>
      </w:r>
      <w:r>
        <w:t xml:space="preserve"> </w:t>
      </w:r>
      <w:r>
        <w:t xml:space="preserve">Misordering categories silently assigns the wrong activation formulas to the wrong categories, producing incorrect estimates without any warning.</w:t>
      </w:r>
    </w:p>
  </w:footnote>
  <w:footnote w:id="55">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6">
    <w:p>
      <w:pPr>
        <w:pStyle w:val="FootnoteText"/>
      </w:pPr>
      <w:r>
        <w:rPr>
          <w:rStyle w:val="FootnoteReference"/>
        </w:rPr>
        <w:footnoteRef/>
      </w:r>
      <w:r>
        <w:t xml:space="preserve"> </w:t>
      </w:r>
      <w:r>
        <w:t xml:space="preserve">Default priors can be inspected with</w:t>
      </w:r>
      <w:r>
        <w:t xml:space="preserve"> </w:t>
      </w:r>
      <w:r>
        <w:rPr>
          <w:rStyle w:val="VerbatimChar"/>
        </w:rPr>
        <w:t xml:space="preserve">default_prior(m3_formula, m3_model_ss, data = data_agg)</w:t>
      </w:r>
      <w:r>
        <w:t xml:space="preserve"> </w:t>
      </w:r>
      <w:r>
        <w:t xml:space="preserve">and overridden as in any</w:t>
      </w:r>
      <w:r>
        <w:t xml:space="preserve"> </w:t>
      </w:r>
      <w:r>
        <w:rPr>
          <w:rStyle w:val="VerbatimChar"/>
        </w:rPr>
        <w:t xml:space="preserve">brms</w:t>
      </w:r>
      <w:r>
        <w:t xml:space="preserve"> </w:t>
      </w:r>
      <w:r>
        <w:t xml:space="preserve">model.</w:t>
      </w:r>
    </w:p>
  </w:footnote>
  <w:footnote w:id="58">
    <w:p>
      <w:pPr>
        <w:pStyle w:val="FootnoteText"/>
      </w:pPr>
      <w:r>
        <w:rPr>
          <w:rStyle w:val="FootnoteReference"/>
        </w:rPr>
        <w:footnoteRef/>
      </w:r>
      <w:r>
        <w:t xml:space="preserve"> </w:t>
      </w:r>
      <w:r>
        <w:t xml:space="preserve">Key arguments that specify this behavior are:</w:t>
      </w:r>
      <w:r>
        <w:t xml:space="preserve"> </w:t>
      </w:r>
      <w:r>
        <w:rPr>
          <w:rStyle w:val="VerbatimChar"/>
        </w:rPr>
        <w:t xml:space="preserve">sample_prior = "yes"</w:t>
      </w:r>
      <w:r>
        <w:t xml:space="preserve"> </w:t>
      </w:r>
      <w:r>
        <w:t xml:space="preserve">stores prior samples for Savage-Dickey density ratios;</w:t>
      </w:r>
      <w:r>
        <w:t xml:space="preserve"> </w:t>
      </w:r>
      <w:r>
        <w:rPr>
          <w:rStyle w:val="VerbatimChar"/>
        </w:rPr>
        <w:t xml:space="preserve">save_pars = save_pars(all = TRUE)</w:t>
      </w:r>
      <w:r>
        <w:t xml:space="preserve"> </w:t>
      </w:r>
      <w:r>
        <w:t xml:space="preserve">retains likelihood values for bridge sampling;</w:t>
      </w:r>
      <w:r>
        <w:t xml:space="preserve"> </w:t>
      </w:r>
      <w:r>
        <w:rPr>
          <w:rStyle w:val="VerbatimChar"/>
        </w:rPr>
        <w:t xml:space="preserve">file</w:t>
      </w:r>
      <w:r>
        <w:t xml:space="preserve"> </w:t>
      </w:r>
      <w:r>
        <w:t xml:space="preserve">caches the fitted model to disk. All arguments are passed to</w:t>
      </w:r>
      <w:r>
        <w:t xml:space="preserve"> </w:t>
      </w:r>
      <w:r>
        <w:rPr>
          <w:rStyle w:val="VerbatimChar"/>
        </w:rPr>
        <w:t xml:space="preserve">brms::brm()</w:t>
      </w:r>
      <w:r>
        <w:t xml:space="preserve"> </w:t>
      </w:r>
      <w:r>
        <w:t xml:space="preserve">and can be modified as needed.</w:t>
      </w:r>
    </w:p>
  </w:footnote>
  <w:footnote w:id="59">
    <w:p>
      <w:pPr>
        <w:pStyle w:val="FootnoteText"/>
      </w:pPr>
      <w:r>
        <w:rPr>
          <w:rStyle w:val="FootnoteReference"/>
        </w:rPr>
        <w:footnoteRef/>
      </w:r>
      <w:r>
        <w:t xml:space="preserve"> </w:t>
      </w:r>
      <m:oMath>
        <m:sSup>
          <m:e>
            <m:r>
              <m:t>M</m:t>
            </m:r>
          </m:e>
          <m:sup>
            <m:r>
              <m:t>3</m:t>
            </m:r>
          </m:sup>
        </m:sSup>
      </m:oMath>
      <w:r>
        <w:t xml:space="preserve"> </w:t>
      </w:r>
      <w:r>
        <w:t xml:space="preserve">uses the same Bayesian estimation machinery as any</w:t>
      </w:r>
      <w:r>
        <w:t xml:space="preserve"> </w:t>
      </w:r>
      <w:r>
        <w:rPr>
          <w:rStyle w:val="VerbatimChar"/>
        </w:rPr>
        <w:t xml:space="preserve">brms</w:t>
      </w:r>
      <w:r>
        <w:t xml:space="preserve"> </w:t>
      </w:r>
      <w:r>
        <w:t xml:space="preserve">model, so standard convergence diagnostics apply and are provided via the</w:t>
      </w:r>
      <w:r>
        <w:t xml:space="preserve"> </w:t>
      </w:r>
      <w:r>
        <w:rPr>
          <w:rStyle w:val="VerbatimChar"/>
        </w:rPr>
        <w:t xml:space="preserve">summary()</w:t>
      </w:r>
      <w:r>
        <w:t xml:space="preserve"> </w:t>
      </w:r>
      <w:r>
        <w:t xml:space="preserve">method. For guidance, see</w:t>
      </w:r>
      <w:r>
        <w:t xml:space="preserve"> </w:t>
      </w:r>
      <w:r>
        <w:t xml:space="preserve">Gabry et al. (</w:t>
      </w:r>
      <w:hyperlink w:anchor="ref-gabry2019visualization">
        <w:r>
          <w:rPr>
            <w:rStyle w:val="Hyperlink"/>
          </w:rPr>
          <w:t xml:space="preserve">2019</w:t>
        </w:r>
      </w:hyperlink>
      <w:r>
        <w:t xml:space="preserve">)</w:t>
      </w:r>
      <w:r>
        <w:t xml:space="preserve">.</w:t>
      </w:r>
    </w:p>
  </w:footnote>
  <w:footnote w:id="71">
    <w:p>
      <w:pPr>
        <w:pStyle w:val="FootnoteText"/>
      </w:pPr>
      <w:r>
        <w:rPr>
          <w:rStyle w:val="FootnoteReference"/>
        </w:rPr>
        <w:footnoteRef/>
      </w:r>
      <w:r>
        <w:t xml:space="preserve"> </w:t>
      </w:r>
      <w:r>
        <w:t xml:space="preserve">The companion script (</w:t>
      </w:r>
      <w:r>
        <w:rPr>
          <w:rStyle w:val="VerbatimChar"/>
        </w:rPr>
        <w:t xml:space="preserve">scripts/tutorial1_simple_span.R</w:t>
      </w:r>
      <w:r>
        <w:t xml:space="preserve">) generates posterior predictive figures for both models; readers can inspect these in the online supplement to compare the fit of both choice rules across all conditions.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df" /><Relationship Type="http://schemas.openxmlformats.org/officeDocument/2006/relationships/image" Id="rId36" Target="media/rId36.pdf" /><Relationship Type="http://schemas.openxmlformats.org/officeDocument/2006/relationships/image" Id="rId66" Target="media/rId66.pdf" /><Relationship Type="http://schemas.openxmlformats.org/officeDocument/2006/relationships/image" Id="rId61" Target="media/rId61.pdf" /><Relationship Type="http://schemas.openxmlformats.org/officeDocument/2006/relationships/image" Id="rId83" Target="media/rId83.pdf" /><Relationship Type="http://schemas.openxmlformats.org/officeDocument/2006/relationships/image" Id="rId78" Target="media/rId78.pdf" /><Relationship Type="http://schemas.openxmlformats.org/officeDocument/2006/relationships/image" Id="rId98" Target="media/rId98.pdf" /><Relationship Type="http://schemas.openxmlformats.org/officeDocument/2006/relationships/image" Id="rId92" Target="media/rId92.pdf" /><Relationship Type="http://schemas.openxmlformats.org/officeDocument/2006/relationships/image" Id="rId109" Target="media/rId109.pdf" /><Relationship Type="http://schemas.openxmlformats.org/officeDocument/2006/relationships/image" Id="rId114" Target="media/rId114.pdf" /><Relationship Type="http://schemas.openxmlformats.org/officeDocument/2006/relationships/image" Id="rId21" Target="media/rId21.svg" /><Relationship Type="http://schemas.openxmlformats.org/officeDocument/2006/relationships/hyperlink" Id="rId174" Target="https://arxiv.org/abs/1804.06788" TargetMode="External" /><Relationship Type="http://schemas.openxmlformats.org/officeDocument/2006/relationships/hyperlink" Id="rId180" Target="https://doi.org/10.1016/0022-2496(77)90026-8" TargetMode="External" /><Relationship Type="http://schemas.openxmlformats.org/officeDocument/2006/relationships/hyperlink" Id="rId152" Target="https://doi.org/10.1016/0749-596X(91)90025-F" TargetMode="External" /><Relationship Type="http://schemas.openxmlformats.org/officeDocument/2006/relationships/hyperlink" Id="rId148" Target="https://doi.org/10.1016/j.jmp.2017.09.005" TargetMode="External" /><Relationship Type="http://schemas.openxmlformats.org/officeDocument/2006/relationships/hyperlink" Id="rId138" Target="https://doi.org/10.1027/0044-3409.217.3.108" TargetMode="External" /><Relationship Type="http://schemas.openxmlformats.org/officeDocument/2006/relationships/hyperlink" Id="rId132" Target="https://doi.org/10.1037/0033-295X.100.3.432" TargetMode="External" /><Relationship Type="http://schemas.openxmlformats.org/officeDocument/2006/relationships/hyperlink" Id="rId170" Target="https://doi.org/10.1037/0033-295X.108.2.370" TargetMode="External" /><Relationship Type="http://schemas.openxmlformats.org/officeDocument/2006/relationships/hyperlink" Id="rId166" Target="https://doi.org/10.1037/bul0000153" TargetMode="External" /><Relationship Type="http://schemas.openxmlformats.org/officeDocument/2006/relationships/hyperlink" Id="rId176" Target="https://doi.org/10.1037/h0070288" TargetMode="External" /><Relationship Type="http://schemas.openxmlformats.org/officeDocument/2006/relationships/hyperlink" Id="rId172" Target="https://doi.org/10.1037/met0000275" TargetMode="External" /><Relationship Type="http://schemas.openxmlformats.org/officeDocument/2006/relationships/hyperlink" Id="rId164" Target="https://doi.org/10.1037/rev0000159" TargetMode="External" /><Relationship Type="http://schemas.openxmlformats.org/officeDocument/2006/relationships/hyperlink" Id="rId162" Target="https://doi.org/10.1037/rev0000328" TargetMode="External" /><Relationship Type="http://schemas.openxmlformats.org/officeDocument/2006/relationships/hyperlink" Id="rId154" Target="https://doi.org/10.1037/xlm0001585" TargetMode="External" /><Relationship Type="http://schemas.openxmlformats.org/officeDocument/2006/relationships/hyperlink" Id="rId142" Target="https://doi.org/10.1111/rssa.12378" TargetMode="External" /><Relationship Type="http://schemas.openxmlformats.org/officeDocument/2006/relationships/hyperlink" Id="rId157" Target="https://doi.org/10.1201/9780429029608" TargetMode="External" /><Relationship Type="http://schemas.openxmlformats.org/officeDocument/2006/relationships/hyperlink" Id="rId144" Target="https://doi.org/10.1214/ss/1177011136" TargetMode="External" /><Relationship Type="http://schemas.openxmlformats.org/officeDocument/2006/relationships/hyperlink" Id="rId134" Target="https://doi.org/10.18637/jss.v076.i01" TargetMode="External" /><Relationship Type="http://schemas.openxmlformats.org/officeDocument/2006/relationships/hyperlink" Id="rId130" Target="https://doi.org/10.18637/jss.v080.i01" TargetMode="External" /><Relationship Type="http://schemas.openxmlformats.org/officeDocument/2006/relationships/hyperlink" Id="rId136" Target="https://doi.org/10.20982/tqmp.16.4.p248" TargetMode="External" /><Relationship Type="http://schemas.openxmlformats.org/officeDocument/2006/relationships/hyperlink" Id="rId146" Target="https://doi.org/10.31234/osf.io/945d2" TargetMode="External" /><Relationship Type="http://schemas.openxmlformats.org/officeDocument/2006/relationships/hyperlink" Id="rId168" Target="https://doi.org/10.32614/CRAN.package.bmm" TargetMode="External" /><Relationship Type="http://schemas.openxmlformats.org/officeDocument/2006/relationships/hyperlink" Id="rId128" Target="https://doi.org/10.3758/BF03210812" TargetMode="External" /><Relationship Type="http://schemas.openxmlformats.org/officeDocument/2006/relationships/hyperlink" Id="rId182" Target="https://doi.org/10.3758/s13421-012-0205-5" TargetMode="External" /><Relationship Type="http://schemas.openxmlformats.org/officeDocument/2006/relationships/hyperlink" Id="rId150" Target="https://doi.org/10.3758/s13428-017-0869-7" TargetMode="External" /><Relationship Type="http://schemas.openxmlformats.org/officeDocument/2006/relationships/hyperlink" Id="rId140" Target="https://doi.org/10.3758/s13428-025-02643-0" TargetMode="External" /><Relationship Type="http://schemas.openxmlformats.org/officeDocument/2006/relationships/hyperlink" Id="rId160" Target="https://doi.org/10.5334/joc.86" TargetMode="External" /><Relationship Type="http://schemas.openxmlformats.org/officeDocument/2006/relationships/hyperlink" Id="rId178" Target="https://doi.org/10.7554/eLife.49547" TargetMode="External" /><Relationship Type="http://schemas.openxmlformats.org/officeDocument/2006/relationships/hyperlink" Id="rId125"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124" Target="https://osf.io/yb7wm/" TargetMode="External" /><Relationship Type="http://schemas.openxmlformats.org/officeDocument/2006/relationships/hyperlink" Id="rId49" Target="https://venpopov.com/bmm/articles/bmm_bmmformula.html" TargetMode="External" /><Relationship Type="http://schemas.openxmlformats.org/officeDocument/2006/relationships/hyperlink" Id="rId123" Target="https://venpopov.github.io/bmm/articles/bmm_m3.html" TargetMode="External" /><Relationship Type="http://schemas.openxmlformats.org/officeDocument/2006/relationships/hyperlink" Id="rId30"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74" Target="https://arxiv.org/abs/1804.06788" TargetMode="External" /><Relationship Type="http://schemas.openxmlformats.org/officeDocument/2006/relationships/hyperlink" Id="rId180" Target="https://doi.org/10.1016/0022-2496(77)90026-8" TargetMode="External" /><Relationship Type="http://schemas.openxmlformats.org/officeDocument/2006/relationships/hyperlink" Id="rId152" Target="https://doi.org/10.1016/0749-596X(91)90025-F" TargetMode="External" /><Relationship Type="http://schemas.openxmlformats.org/officeDocument/2006/relationships/hyperlink" Id="rId148" Target="https://doi.org/10.1016/j.jmp.2017.09.005" TargetMode="External" /><Relationship Type="http://schemas.openxmlformats.org/officeDocument/2006/relationships/hyperlink" Id="rId138" Target="https://doi.org/10.1027/0044-3409.217.3.108" TargetMode="External" /><Relationship Type="http://schemas.openxmlformats.org/officeDocument/2006/relationships/hyperlink" Id="rId132" Target="https://doi.org/10.1037/0033-295X.100.3.432" TargetMode="External" /><Relationship Type="http://schemas.openxmlformats.org/officeDocument/2006/relationships/hyperlink" Id="rId170" Target="https://doi.org/10.1037/0033-295X.108.2.370" TargetMode="External" /><Relationship Type="http://schemas.openxmlformats.org/officeDocument/2006/relationships/hyperlink" Id="rId166" Target="https://doi.org/10.1037/bul0000153" TargetMode="External" /><Relationship Type="http://schemas.openxmlformats.org/officeDocument/2006/relationships/hyperlink" Id="rId176" Target="https://doi.org/10.1037/h0070288" TargetMode="External" /><Relationship Type="http://schemas.openxmlformats.org/officeDocument/2006/relationships/hyperlink" Id="rId172" Target="https://doi.org/10.1037/met0000275" TargetMode="External" /><Relationship Type="http://schemas.openxmlformats.org/officeDocument/2006/relationships/hyperlink" Id="rId164" Target="https://doi.org/10.1037/rev0000159" TargetMode="External" /><Relationship Type="http://schemas.openxmlformats.org/officeDocument/2006/relationships/hyperlink" Id="rId162" Target="https://doi.org/10.1037/rev0000328" TargetMode="External" /><Relationship Type="http://schemas.openxmlformats.org/officeDocument/2006/relationships/hyperlink" Id="rId154" Target="https://doi.org/10.1037/xlm0001585" TargetMode="External" /><Relationship Type="http://schemas.openxmlformats.org/officeDocument/2006/relationships/hyperlink" Id="rId142" Target="https://doi.org/10.1111/rssa.12378" TargetMode="External" /><Relationship Type="http://schemas.openxmlformats.org/officeDocument/2006/relationships/hyperlink" Id="rId157" Target="https://doi.org/10.1201/9780429029608" TargetMode="External" /><Relationship Type="http://schemas.openxmlformats.org/officeDocument/2006/relationships/hyperlink" Id="rId144" Target="https://doi.org/10.1214/ss/1177011136" TargetMode="External" /><Relationship Type="http://schemas.openxmlformats.org/officeDocument/2006/relationships/hyperlink" Id="rId134" Target="https://doi.org/10.18637/jss.v076.i01" TargetMode="External" /><Relationship Type="http://schemas.openxmlformats.org/officeDocument/2006/relationships/hyperlink" Id="rId130" Target="https://doi.org/10.18637/jss.v080.i01" TargetMode="External" /><Relationship Type="http://schemas.openxmlformats.org/officeDocument/2006/relationships/hyperlink" Id="rId136" Target="https://doi.org/10.20982/tqmp.16.4.p248" TargetMode="External" /><Relationship Type="http://schemas.openxmlformats.org/officeDocument/2006/relationships/hyperlink" Id="rId146" Target="https://doi.org/10.31234/osf.io/945d2" TargetMode="External" /><Relationship Type="http://schemas.openxmlformats.org/officeDocument/2006/relationships/hyperlink" Id="rId168" Target="https://doi.org/10.32614/CRAN.package.bmm" TargetMode="External" /><Relationship Type="http://schemas.openxmlformats.org/officeDocument/2006/relationships/hyperlink" Id="rId128" Target="https://doi.org/10.3758/BF03210812" TargetMode="External" /><Relationship Type="http://schemas.openxmlformats.org/officeDocument/2006/relationships/hyperlink" Id="rId182" Target="https://doi.org/10.3758/s13421-012-0205-5" TargetMode="External" /><Relationship Type="http://schemas.openxmlformats.org/officeDocument/2006/relationships/hyperlink" Id="rId150" Target="https://doi.org/10.3758/s13428-017-0869-7" TargetMode="External" /><Relationship Type="http://schemas.openxmlformats.org/officeDocument/2006/relationships/hyperlink" Id="rId140" Target="https://doi.org/10.3758/s13428-025-02643-0" TargetMode="External" /><Relationship Type="http://schemas.openxmlformats.org/officeDocument/2006/relationships/hyperlink" Id="rId160" Target="https://doi.org/10.5334/joc.86" TargetMode="External" /><Relationship Type="http://schemas.openxmlformats.org/officeDocument/2006/relationships/hyperlink" Id="rId178" Target="https://doi.org/10.7554/eLife.49547" TargetMode="External" /><Relationship Type="http://schemas.openxmlformats.org/officeDocument/2006/relationships/hyperlink" Id="rId125" Target="https://github.com/GidonFrischkorn/tutorial-m3-bmm" TargetMode="External" /><Relationship Type="http://schemas.openxmlformats.org/officeDocument/2006/relationships/hyperlink" Id="rId29"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124" Target="https://osf.io/yb7wm/" TargetMode="External" /><Relationship Type="http://schemas.openxmlformats.org/officeDocument/2006/relationships/hyperlink" Id="rId49" Target="https://venpopov.com/bmm/articles/bmm_bmmformula.html" TargetMode="External" /><Relationship Type="http://schemas.openxmlformats.org/officeDocument/2006/relationships/hyperlink" Id="rId123" Target="https://venpopov.github.io/bmm/articles/bmm_m3.html" TargetMode="External" /><Relationship Type="http://schemas.openxmlformats.org/officeDocument/2006/relationships/hyperlink" Id="rId30"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APPLYING M^3: A TUTORIAL</dc:description>
  <cp:keywords>working memory, measurement model, multinomial model, Bayesian estimation, categorical data</cp:keywords>
  <dcterms:created xsi:type="dcterms:W3CDTF">2026-03-17T07:38:16Z</dcterms:created>
  <dcterms:modified xsi:type="dcterms:W3CDTF">2026-03-17T07:38:16Z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This tutorial introduces the M^3 framework and demonstrates how to apply it to empirical data, covering model selection, parameter interpretation, custom model specification, and simulation-based validation. We use the bmm R package, which provides a standardized interface for fitting Bayesian hierarchical M^3. Four worked examples build progressively: fitting a simple span M^3 to cued recall data, where Bayes factor comparison favors the softmax over the simple choice rule; extending the analysis to a complex span task with distractor categories and a filtering parameter; defining a custom M^3 that relaxes assumptions of the standard version by separating item and binding transfer to distractors; and validating the custom specification through parameter recovery simulation. Complete R scripts accompany each tutorial. After completing the tutorials, readers will be able to apply standard and custom M^3 to their own data and validate new model specifications through simulation.</vt:lpwstr>
  </property>
  <property fmtid="{D5CDD505-2E9C-101B-9397-08002B2CF9AE}" pid="5" name="apaauthor">
    <vt:lpwstr/>
  </property>
  <property fmtid="{D5CDD505-2E9C-101B-9397-08002B2CF9AE}" pid="6" name="apatitle">
    <vt:lpwstr>Applying the Memory Measurement Model (M^3): A Tutorial Using the bmm R Package</vt:lpwstr>
  </property>
  <property fmtid="{D5CDD505-2E9C-101B-9397-08002B2CF9AE}" pid="7" name="apatitledisplay">
    <vt:lpwstr>Applying the Memory Measurement Model (M^3): A Tutorial Using the bmm R Package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output-dir">
    <vt:lpwstr>.</vt:lpwstr>
  </property>
  <property fmtid="{D5CDD505-2E9C-101B-9397-08002B2CF9AE}" pid="33" name="references">
    <vt:lpwstr/>
  </property>
  <property fmtid="{D5CDD505-2E9C-101B-9397-08002B2CF9AE}" pid="34" name="revealjs-plugins">
    <vt:lpwstr/>
  </property>
  <property fmtid="{D5CDD505-2E9C-101B-9397-08002B2CF9AE}" pid="35" name="shorttitle">
    <vt:lpwstr>APPLYING M^3: A TUTORIAL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7606</vt:lpwstr>
  </property>
  <property fmtid="{D5CDD505-2E9C-101B-9397-08002B2CF9AE}" pid="63" name="zerocitations">
    <vt:lpwstr>False</vt:lpwstr>
  </property>
</Properties>
</file>