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df" ContentType="application/pdf"/>
  <Override PartName="/word/media/rId36.pdf" ContentType="application/pdf"/>
  <Override PartName="/word/media/rId64.pdf" ContentType="application/pdf"/>
  <Override PartName="/word/media/rId59.pdf" ContentType="application/pdf"/>
  <Override PartName="/word/media/rId80.pdf" ContentType="application/pdf"/>
  <Override PartName="/word/media/rId75.pdf" ContentType="application/pdf"/>
  <Override PartName="/word/media/rId97.pdf" ContentType="application/pdf"/>
  <Override PartName="/word/media/rId90.pdf" ContentType="application/pdf"/>
  <Override PartName="/word/media/rId108.pdf" ContentType="application/pdf"/>
  <Override PartName="/word/media/rId113.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Fitting the Memory Measurement Model (</w:t>
      </w:r>
      <m:oMath>
        <m:sSup>
          <m:e>
            <m:r>
              <m:t>M</m:t>
            </m:r>
          </m:e>
          <m:sup>
            <m:r>
              <m:t>3</m:t>
            </m:r>
          </m:sup>
        </m:sSup>
      </m:oMath>
      <w:r>
        <w:t xml:space="preserve">) with the bmm R Package: A Tutorial</w:t>
      </w:r>
    </w:p>
    <w:p>
      <w:pPr>
        <w:pStyle w:val="Author"/>
      </w:pPr>
      <w:r>
        <w:t xml:space="preserve"> </w:t>
      </w:r>
    </w:p>
    <w:p>
      <w:pPr>
        <w:pStyle w:val="Author"/>
      </w:pPr>
      <w:r>
        <w:t xml:space="preserve">Gidon T. Frischkorn</w:t>
      </w:r>
      <w:r>
        <w:rPr>
          <w:vertAlign w:val="superscript"/>
        </w:rPr>
        <w:t xml:space="preserve">1</w:t>
      </w:r>
      <w:r>
        <w:t xml:space="preserve"> and Chenyu Li</w:t>
      </w:r>
      <w:r>
        <w:rPr>
          <w:vertAlign w:val="superscript"/>
        </w:rPr>
        <w:t xml:space="preserve">1,2</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Chenyu Li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0">
        <w:r>
          <w:rPr>
            <w:rStyle w:val="Hyperlink"/>
          </w:rPr>
          <w:t xml:space="preserve">gidon.frischkorn@psychologie.uzh.ch</w:t>
        </w:r>
      </w:hyperlink>
    </w:p>
    <w:p>
      <w:r>
        <w:br w:type="page"/>
      </w:r>
    </w:p>
    <w:bookmarkEnd w:id="31"/>
    <w:bookmarkStart w:id="32" w:name="abstract"/>
    <w:p>
      <w:pPr>
        <w:pStyle w:val="Heading1"/>
      </w:pPr>
      <w:r>
        <w:t xml:space="preserve">Abstract</w:t>
      </w:r>
    </w:p>
    <w:p>
      <w:pPr>
        <w:pStyle w:val="FirstParagraph"/>
      </w:pPr>
      <w:r>
        <w:rPr>
          <w:i/>
          <w:iCs/>
        </w:rPr>
        <w:t xml:space="preserve">Keywords</w:t>
      </w:r>
      <w:r>
        <w:t xml:space="preserve">: working memory, measurement model, multinomial model, Bayesian estimation, R package</w:t>
      </w:r>
    </w:p>
    <w:p>
      <w:r>
        <w:br w:type="page"/>
      </w:r>
    </w:p>
    <w:bookmarkEnd w:id="32"/>
    <w:bookmarkStart w:id="33" w:name="firstheader"/>
    <w:p>
      <w:pPr>
        <w:pStyle w:val="Heading1"/>
      </w:pPr>
      <w:r>
        <w:t xml:space="preserve">Fitting the Memory Measurement Model (</w:t>
      </w:r>
      <m:oMath>
        <m:sSup>
          <m:e>
            <m:r>
              <m:t>M</m:t>
            </m:r>
          </m:e>
          <m:sup>
            <m:r>
              <m:t>3</m:t>
            </m:r>
          </m:sup>
        </m:sSup>
      </m:oMath>
      <w:r>
        <w:t xml:space="preserve">) with the bmm R Package: A Tutorial</w:t>
      </w:r>
    </w:p>
    <w:bookmarkEnd w:id="33"/>
    <w:bookmarkStart w:id="35"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(a) multiple activation sources contribute to each response category and that (b)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4"/>
      </w:r>
    </w:p>
    <w:p>
      <w:pPr>
        <w:pStyle w:val="BodyText"/>
      </w:pPr>
      <w:r>
        <w:t xml:space="preserve">Because the</w:t>
      </w:r>
      <w:r>
        <w:t xml:space="preserve"> </w:t>
      </w:r>
      <m:oMath>
        <m:sSup>
          <m:e>
            <m:r>
              <m:t>M</m:t>
            </m:r>
          </m:e>
          <m:sup>
            <m:r>
              <m:t>3</m:t>
            </m:r>
          </m:sup>
        </m:sSup>
      </m:oMath>
      <w:r>
        <w:t xml:space="preserve"> </w:t>
      </w:r>
      <w:r>
        <w:t xml:space="preserve">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low-code workflow for specifying, fitting, and evaluating Bayesian hierarchical</w:t>
      </w:r>
      <w:r>
        <w:t xml:space="preserve"> </w:t>
      </w:r>
      <m:oMath>
        <m:sSup>
          <m:e>
            <m:r>
              <m:t>M</m:t>
            </m:r>
          </m:e>
          <m:sup>
            <m:r>
              <m:t>3</m:t>
            </m:r>
          </m:sup>
        </m:sSup>
      </m:oMath>
      <w:r>
        <w:t xml:space="preserve">,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bookmarkEnd w:id="35"/>
    <w:bookmarkStart w:id="52"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(e.g., remembering letters in serial positions or icons in spatial positions) in which a participant sees a retrieval cue and selects a response from a set containing the correct target, other studied items, and new lures. Each response falls into one of three categories:</w:t>
      </w:r>
      <w:r>
        <w:t xml:space="preserve"> </w:t>
      </w:r>
      <w:r>
        <w:rPr>
          <w:i/>
          <w:iCs/>
        </w:rPr>
        <w:t xml:space="preserve">correct</w:t>
      </w:r>
      <w:r>
        <w:t xml:space="preserve"> </w:t>
      </w:r>
      <w:r>
        <w:t xml:space="preserve">— the item associated with the probed position,</w:t>
      </w:r>
      <w:r>
        <w:t xml:space="preserve"> </w:t>
      </w:r>
      <w:r>
        <w:rPr>
          <w:i/>
          <w:iCs/>
        </w:rPr>
        <w:t xml:space="preserve">other-list intrusion</w:t>
      </w:r>
      <w:r>
        <w:t xml:space="preserve"> </w:t>
      </w:r>
      <w:r>
        <w:t xml:space="preserve">— a studied item from a different position, or</w:t>
      </w:r>
      <w:r>
        <w:t xml:space="preserve"> </w:t>
      </w:r>
      <w:r>
        <w:rPr>
          <w:i/>
          <w:iCs/>
        </w:rPr>
        <w:t xml:space="preserve">not-presented lure</w:t>
      </w:r>
      <w:r>
        <w:t xml:space="preserve"> </w:t>
      </w:r>
      <w:r>
        <w:t xml:space="preserve">(NPL) — an item not presented during the trial.</w:t>
      </w:r>
      <w:r>
        <w:t xml:space="preserve"> </w:t>
      </w:r>
      <w:hyperlink w:anchor="fig-task-example">
        <w:r>
          <w:rPr>
            <w:rStyle w:val="Hyperlink"/>
          </w:rPr>
          <w:t xml:space="preserve">Figure 1</w:t>
        </w:r>
      </w:hyperlink>
      <w:r>
        <w:t xml:space="preserve"> </w:t>
      </w:r>
      <w:r>
        <w:t xml:space="preserve">illustrates this task structure for a simple span paradigm.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39" w:name="fig-task-example"/>
    <w:p>
      <w:pPr>
        <w:pStyle w:val="FigureTitle"/>
      </w:pPr>
      <w:r>
        <w:t xml:space="preserve">Figure 1</w:t>
      </w:r>
    </w:p>
    <w:p>
      <w:pPr>
        <w:pStyle w:val="Caption"/>
      </w:pPr>
      <w:r>
        <w:t xml:space="preserve">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pPr>
        <w:pStyle w:val="FigureWithoutNote"/>
      </w:pPr>
      <w:r>
        <w:drawing>
          <wp:inline>
            <wp:extent cx="5943600" cy="2743200"/>
            <wp:effectExtent b="0" l="0" r="0" t="0"/>
            <wp:docPr descr="" title="" id="37" name="Picture"/>
            <a:graphic>
              <a:graphicData uri="http://schemas.openxmlformats.org/drawingml/2006/picture">
                <pic:pic>
                  <pic:nvPicPr>
                    <pic:cNvPr descr="../figures/task_example.pdf" id="38" name="Picture"/>
                    <pic:cNvPicPr>
                      <a:picLocks noChangeArrowheads="1" noChangeAspect="1"/>
                    </pic:cNvPicPr>
                  </pic:nvPicPr>
                  <pic:blipFill>
                    <a:blip r:embed="rId36"/>
                    <a:stretch>
                      <a:fillRect/>
                    </a:stretch>
                  </pic:blipFill>
                  <pic:spPr bwMode="auto">
                    <a:xfrm>
                      <a:off x="0" y="0"/>
                      <a:ext cx="5943600" cy="2743200"/>
                    </a:xfrm>
                    <a:prstGeom prst="rect">
                      <a:avLst/>
                    </a:prstGeom>
                    <a:noFill/>
                    <a:ln w="9525">
                      <a:noFill/>
                      <a:headEnd/>
                      <a:tailEnd/>
                    </a:ln>
                  </pic:spPr>
                </pic:pic>
              </a:graphicData>
            </a:graphic>
          </wp:inline>
        </w:drawing>
      </w:r>
    </w:p>
    <w:bookmarkEnd w:id="39"/>
    <w:bookmarkStart w:id="45"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hyperlink w:anchor="fig-m3-activations">
        <w:r>
          <w:rPr>
            <w:rStyle w:val="Hyperlink"/>
          </w:rPr>
          <w:t xml:space="preserve">Figure 2</w:t>
        </w:r>
      </w:hyperlink>
      <w:r>
        <w:t xml:space="preserve"> </w:t>
      </w:r>
      <w:r>
        <w:t xml:space="preserve">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w:t>
      </w:r>
      <w:r>
        <w:t xml:space="preserve"> </w:t>
      </w:r>
      <w:r>
        <w:rPr>
          <w:rStyle w:val="VerbatimChar"/>
        </w:rPr>
        <w:t xml:space="preserve">bmm</w:t>
      </w:r>
      <w:r>
        <w:t xml:space="preserve"> </w:t>
      </w:r>
      <w:r>
        <w:t xml:space="preserve">package provides pre-specified formulas for the simple span and complex span versions proposed by</w:t>
      </w:r>
      <w:r>
        <w:t xml:space="preserve"> </w:t>
      </w:r>
      <w:r>
        <w:t xml:space="preserve">Oberauer and Lewandowsky (</w:t>
      </w:r>
      <w:hyperlink w:anchor="ref-oberauer2019simple">
        <w:r>
          <w:rPr>
            <w:rStyle w:val="Hyperlink"/>
          </w:rPr>
          <w:t xml:space="preserve">2019</w:t>
        </w:r>
      </w:hyperlink>
      <w:r>
        <w:t xml:space="preserve">)</w:t>
      </w:r>
      <w:r>
        <w:t xml:space="preserve">, and also allows users to define custom formulas for novel task designs.</w:t>
      </w:r>
    </w:p>
    <w:bookmarkStart w:id="44" w:name="fig-m3-activations"/>
    <w:p>
      <w:pPr>
        <w:pStyle w:val="FigureTitle"/>
      </w:pPr>
      <w:r>
        <w:t xml:space="preserve">Figure 2</w:t>
      </w:r>
    </w:p>
    <w:p>
      <w:pPr>
        <w:pStyle w:val="Caption"/>
      </w:pPr>
      <w:r>
        <w:t xml:space="preserve">Activation decomposition for each response option in the simple span example from</w:t>
      </w:r>
      <w:r>
        <w:t xml:space="preserve"> </w:t>
      </w:r>
      <w:hyperlink w:anchor="fig-task-example">
        <w:r>
          <w:rPr>
            <w:rStyle w:val="Hyperlink"/>
          </w:rPr>
          <w:t xml:space="preserve">Figure 1</w:t>
        </w:r>
      </w:hyperlink>
      <w:r>
        <w:t xml:space="preserve">. Bars show the total activation for each option, decomposed into baseline (</w:t>
      </w:r>
      <m:oMath>
        <m:r>
          <m:t>b</m:t>
        </m:r>
      </m:oMath>
      <w:r>
        <w:t xml:space="preserve">, grey), item memory (</w:t>
      </w:r>
      <m:oMath>
        <m:r>
          <m:t>a</m:t>
        </m:r>
      </m:oMath>
      <w:r>
        <w:t xml:space="preserve">, blue), and context binding (</w:t>
      </w:r>
      <m:oMath>
        <m:r>
          <m:t>c</m:t>
        </m:r>
      </m:oMath>
      <w:r>
        <w:t xml:space="preserve">, orange). The correct target (D) receives all three sources (</w:t>
      </w:r>
      <m:oMath>
        <m:r>
          <m:t>b</m:t>
        </m:r>
        <m:r>
          <m:rPr>
            <m:sty m:val="p"/>
          </m:rPr>
          <m:t>+</m:t>
        </m:r>
        <m:r>
          <m:t>a</m:t>
        </m:r>
        <m:r>
          <m:rPr>
            <m:sty m:val="p"/>
          </m:rPr>
          <m:t>+</m:t>
        </m:r>
        <m:r>
          <m:t>c</m:t>
        </m:r>
      </m:oMath>
      <w:r>
        <w:t xml:space="preserve">), other studied items receive item memory and baseline (</w:t>
      </w:r>
      <m:oMath>
        <m:r>
          <m:t>b</m:t>
        </m:r>
        <m:r>
          <m:rPr>
            <m:sty m:val="p"/>
          </m:rPr>
          <m:t>+</m:t>
        </m:r>
        <m:r>
          <m:t>a</m:t>
        </m:r>
      </m:oMath>
      <w:r>
        <w:t xml:space="preserve">), and not-presented lures receive only baseline (</w:t>
      </w:r>
      <m:oMath>
        <m:r>
          <m:t>b</m:t>
        </m:r>
      </m:oMath>
      <w:r>
        <w:t xml:space="preserve">). A choice rule converts these activations into response probabilities.</w:t>
      </w:r>
    </w:p>
    <w:p>
      <w:pPr>
        <w:pStyle w:val="FigureWithoutNote"/>
      </w:pPr>
      <w:r>
        <w:drawing>
          <wp:inline>
            <wp:extent cx="5943600" cy="3657600"/>
            <wp:effectExtent b="0" l="0" r="0" t="0"/>
            <wp:docPr descr="" title="" id="42" name="Picture"/>
            <a:graphic>
              <a:graphicData uri="http://schemas.openxmlformats.org/drawingml/2006/picture">
                <pic:pic>
                  <pic:nvPicPr>
                    <pic:cNvPr descr="../figures/m3_activations.pdf" id="43" name="Picture"/>
                    <pic:cNvPicPr>
                      <a:picLocks noChangeArrowheads="1" noChangeAspect="1"/>
                    </pic:cNvPicPr>
                  </pic:nvPicPr>
                  <pic:blipFill>
                    <a:blip r:embed="rId41"/>
                    <a:stretch>
                      <a:fillRect/>
                    </a:stretch>
                  </pic:blipFill>
                  <pic:spPr bwMode="auto">
                    <a:xfrm>
                      <a:off x="0" y="0"/>
                      <a:ext cx="5943600" cy="3657600"/>
                    </a:xfrm>
                    <a:prstGeom prst="rect">
                      <a:avLst/>
                    </a:prstGeom>
                    <a:noFill/>
                    <a:ln w="9525">
                      <a:noFill/>
                      <a:headEnd/>
                      <a:tailEnd/>
                    </a:ln>
                  </pic:spPr>
                </pic:pic>
              </a:graphicData>
            </a:graphic>
          </wp:inline>
        </w:drawing>
      </w:r>
    </w:p>
    <w:bookmarkEnd w:id="44"/>
    <w:bookmarkEnd w:id="45"/>
    <w:bookmarkStart w:id="46"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2–4 use the softmax rule as the default.</w:t>
      </w:r>
    </w:p>
    <w:bookmarkEnd w:id="46"/>
    <w:bookmarkStart w:id="47" w:name="model-versions"/>
    <w:p>
      <w:pPr>
        <w:pStyle w:val="Heading2"/>
      </w:pPr>
      <w:r>
        <w:t xml:space="preserve">Model Versions</w:t>
      </w:r>
    </w:p>
    <w:p>
      <w:pPr>
        <w:pStyle w:val="FirstParagraph"/>
      </w:pPr>
      <w:r>
        <w:t xml:space="preserve">The</w:t>
      </w:r>
      <w:r>
        <w:t xml:space="preserve"> </w:t>
      </w:r>
      <w:r>
        <w:rPr>
          <w:rStyle w:val="VerbatimChar"/>
        </w:rPr>
        <w:t xml:space="preserve">bmm</w:t>
      </w:r>
      <w:r>
        <w:t xml:space="preserve"> </w:t>
      </w:r>
      <w:r>
        <w:t xml:space="preserve">package provides three</w:t>
      </w:r>
      <w:r>
        <w:t xml:space="preserve"> </w:t>
      </w:r>
      <m:oMath>
        <m:sSup>
          <m:e>
            <m:r>
              <m:t>M</m:t>
            </m:r>
          </m:e>
          <m:sup>
            <m:r>
              <m:t>3</m:t>
            </m:r>
          </m:sup>
        </m:sSup>
      </m:oMath>
      <w:r>
        <w:t xml:space="preserve"> </w:t>
      </w:r>
      <w:r>
        <w:t xml:space="preserve">versions, two of which implement canonical paradigms often used in working memory research. The versions differ in the response categories and estimated parameters. Here we shortly introduce them, the following tutorials provide more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This version allows researchers to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The</w:t>
      </w:r>
      <w:r>
        <w:t xml:space="preserve"> </w:t>
      </w:r>
      <w:r>
        <w:rPr>
          <w:rStyle w:val="VerbatimChar"/>
        </w:rPr>
        <w:t xml:space="preserve">bmm</w:t>
      </w:r>
      <w:r>
        <w:t xml:space="preserve"> </w:t>
      </w:r>
      <w:r>
        <w:t xml:space="preserve">package provides a flexible syntax for defining custom models. Tutorial 3 demonstrates how to define and fit a custom model, and Tutorial 4 shows how to validate custom models through parameter recovery simulations.</w:t>
      </w:r>
    </w:p>
    <w:bookmarkEnd w:id="47"/>
    <w:bookmarkStart w:id="51"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8"/>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50"/>
      </w:r>
    </w:p>
    <w:bookmarkEnd w:id="51"/>
    <w:bookmarkEnd w:id="52"/>
    <w:bookmarkStart w:id="71"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53" w:name="data"/>
    <w:p>
      <w:pPr>
        <w:pStyle w:val="Heading2"/>
      </w:pPr>
      <w:r>
        <w:t xml:space="preserve">Data</w:t>
      </w:r>
    </w:p>
    <w:p>
      <w:pPr>
        <w:pStyle w:val="FirstParagraph"/>
      </w:pPr>
      <w:r>
        <w:t xml:space="preserve">Each recognition trial presents a position probe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w:t>
      </w:r>
      <w:r>
        <w:t xml:space="preserve"> </w:t>
      </w:r>
      <m:oMath>
        <m:sSup>
          <m:e>
            <m:r>
              <m:t>M</m:t>
            </m:r>
          </m:e>
          <m:sup>
            <m:r>
              <m:t>3</m:t>
            </m:r>
          </m:sup>
        </m:sSup>
      </m:oMath>
      <w:r>
        <w:t xml:space="preserve"> </w:t>
      </w:r>
      <w:r>
        <w:t xml:space="preserve">in</w:t>
      </w:r>
      <w:r>
        <w:t xml:space="preserve"> </w:t>
      </w:r>
      <w:r>
        <w:rPr>
          <w:rStyle w:val="VerbatimChar"/>
        </w:rPr>
        <w:t xml:space="preserve">bmm</w:t>
      </w:r>
      <w:r>
        <w:t xml:space="preserve"> </w:t>
      </w:r>
      <w:r>
        <w:t xml:space="preserve">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w:t>
      </w:r>
      <w:r>
        <w:t xml:space="preserve"> </w:t>
      </w:r>
      <w:r>
        <w:rPr>
          <w:i/>
          <w:iCs/>
        </w:rPr>
        <w:t xml:space="preserve">correct</w:t>
      </w:r>
      <w:r>
        <w:t xml:space="preserve">,</w:t>
      </w:r>
      <w:r>
        <w:t xml:space="preserve"> </w:t>
      </w:r>
      <w:r>
        <w:rPr>
          <w:i/>
          <w:iCs/>
        </w:rPr>
        <w:t xml:space="preserve">other</w:t>
      </w:r>
      <w:r>
        <w:t xml:space="preserve">, and</w:t>
      </w:r>
      <w:r>
        <w:t xml:space="preserve"> </w:t>
      </w:r>
      <w:r>
        <w:rPr>
          <w:i/>
          <w:iCs/>
        </w:rPr>
        <w:t xml:space="preserve">NPL</w:t>
      </w:r>
      <w:r>
        <w:t xml:space="preserve">, so the dataset requires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are included as additional columns.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53"/>
    <w:bookmarkStart w:id="55"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R objects: (a) the</w:t>
      </w:r>
      <w:r>
        <w:t xml:space="preserve"> </w:t>
      </w:r>
      <m:oMath>
        <m:sSup>
          <m:e>
            <m:r>
              <m:t>M</m:t>
            </m:r>
          </m:e>
          <m:sup>
            <m:r>
              <m:t>3</m:t>
            </m:r>
          </m:sup>
        </m:sSup>
      </m:oMath>
      <w:r>
        <w:t xml:space="preserve"> </w:t>
      </w:r>
      <w:r>
        <w:t xml:space="preserve">object using the</w:t>
      </w:r>
      <w:r>
        <w:t xml:space="preserve"> </w:t>
      </w:r>
      <w:r>
        <w:rPr>
          <w:rStyle w:val="VerbatimChar"/>
        </w:rPr>
        <w:t xml:space="preserve">m3()</w:t>
      </w:r>
      <w:r>
        <w:t xml:space="preserve"> </w:t>
      </w:r>
      <w:r>
        <w:t xml:space="preserve">and (b) a predictor formula (</w:t>
      </w:r>
      <w:r>
        <w:rPr>
          <w:rStyle w:val="VerbatimChar"/>
        </w:rPr>
        <w:t xml:space="preserve">bmf()</w:t>
      </w:r>
      <w:r>
        <w:t xml:space="preserve">). For creating the</w:t>
      </w:r>
      <w:r>
        <w:t xml:space="preserve"> </w:t>
      </w:r>
      <m:oMath>
        <m:sSup>
          <m:e>
            <m:r>
              <m:t>M</m:t>
            </m:r>
          </m:e>
          <m:sup>
            <m:r>
              <m:t>3</m:t>
            </m:r>
          </m:sup>
        </m:sSup>
      </m:oMath>
      <w:r>
        <w:t xml:space="preserve"> </w:t>
      </w:r>
      <w:r>
        <w:t xml:space="preserve">object you need to call the</w:t>
      </w:r>
      <w:r>
        <w:t xml:space="preserve"> </w:t>
      </w:r>
      <w:r>
        <w:rPr>
          <w:rStyle w:val="VerbatimChar"/>
        </w:rPr>
        <w:t xml:space="preserve">m3()</w:t>
      </w:r>
      <w:r>
        <w:t xml:space="preserve"> </w:t>
      </w:r>
      <w:r>
        <w:t xml:space="preserve">model constructor and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w:t>
      </w:r>
      <w:r>
        <w:t xml:space="preserve"> </w:t>
      </w:r>
      <w:r>
        <w:rPr>
          <w:rStyle w:val="VerbatimChar"/>
        </w:rPr>
        <w:t xml:space="preserve">"custom"</w:t>
      </w:r>
      <w:r>
        <w:t xml:space="preserve"> </w:t>
      </w:r>
      <w:r>
        <w:t xml:space="preserve">version is used, and if no choice rule is specified the</w:t>
      </w:r>
      <w:r>
        <w:t xml:space="preserve"> </w:t>
      </w:r>
      <w:r>
        <w:rPr>
          <w:rStyle w:val="VerbatimChar"/>
        </w:rPr>
        <w:t xml:space="preserve">"softmax"</w:t>
      </w:r>
      <w:r>
        <w:t xml:space="preserve"> </w:t>
      </w:r>
      <w:r>
        <w:t xml:space="preserve">rule is used as default.</w:t>
      </w:r>
    </w:p>
    <w:p>
      <w:pPr>
        <w:pStyle w:val="BodyText"/>
      </w:pPr>
      <w:r>
        <w:t xml:space="preserve">When explicitly passing all arguments, the specification of the simple span model object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looks like this: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Once we have the model object specified, we can assess which parameters the model contains by calling</w:t>
      </w:r>
      <w:r>
        <w:t xml:space="preserve"> </w:t>
      </w:r>
      <w:r>
        <w:rPr>
          <w:rStyle w:val="VerbatimChar"/>
        </w:rPr>
        <w:t xml:space="preserve">m3_model_ss$parameters</w:t>
      </w:r>
      <w:r>
        <w:t xml:space="preserve">. For the simple span version, the parameters are</w:t>
      </w:r>
      <w:r>
        <w:t xml:space="preserve"> </w:t>
      </w:r>
      <w:r>
        <w:rPr>
          <w:rStyle w:val="VerbatimChar"/>
        </w:rPr>
        <w:t xml:space="preserve">a</w:t>
      </w:r>
      <w:r>
        <w:t xml:space="preserve"> </w:t>
      </w:r>
      <w:r>
        <w:t xml:space="preserve">(item activation) and</w:t>
      </w:r>
      <w:r>
        <w:t xml:space="preserve"> </w:t>
      </w:r>
      <w:r>
        <w:rPr>
          <w:rStyle w:val="VerbatimChar"/>
        </w:rPr>
        <w:t xml:space="preserve">c</w:t>
      </w:r>
      <w:r>
        <w:t xml:space="preserve"> </w:t>
      </w:r>
      <w:r>
        <w:t xml:space="preserve">(context binding). The baseline parameter</w:t>
      </w:r>
      <w:r>
        <w:t xml:space="preserve"> </w:t>
      </w:r>
      <w:r>
        <w:rPr>
          <w:rStyle w:val="VerbatimChar"/>
        </w:rPr>
        <w:t xml:space="preserve">b</w:t>
      </w:r>
      <w:r>
        <w:t xml:space="preserve"> </w:t>
      </w:r>
      <w:r>
        <w:t xml:space="preserve">is fixed and not estimated as can be seen in</w:t>
      </w:r>
      <w:r>
        <w:t xml:space="preserve"> </w:t>
      </w:r>
      <w:r>
        <w:rPr>
          <w:rStyle w:val="VerbatimChar"/>
        </w:rPr>
        <w:t xml:space="preserve">m3_model_ss$fixed_parameters</w:t>
      </w:r>
      <w:r>
        <w:t xml:space="preserve">.</w:t>
      </w:r>
    </w:p>
    <w:p>
      <w:pPr>
        <w:pStyle w:val="BodyText"/>
      </w:pPr>
      <w:r>
        <w:t xml:space="preserve">One important note applies to all pre-built</w:t>
      </w:r>
      <w:r>
        <w:t xml:space="preserve"> </w:t>
      </w:r>
      <w:r>
        <w:rPr>
          <w:rStyle w:val="VerbatimChar"/>
        </w:rPr>
        <w:t xml:space="preserve">m3()</w:t>
      </w:r>
      <w:r>
        <w:t xml:space="preserve"> </w:t>
      </w:r>
      <w:r>
        <w:t xml:space="preserve">versions: activation formulas are assigned to response categories</w:t>
      </w:r>
      <w:r>
        <w:t xml:space="preserve"> </w:t>
      </w:r>
      <w:r>
        <w:rPr>
          <w:i/>
          <w:iCs/>
        </w:rPr>
        <w:t xml:space="preserve">by position</w:t>
      </w:r>
      <w:r>
        <w:t xml:space="preserve">, not by name. The</w:t>
      </w:r>
      <w:r>
        <w:t xml:space="preserve"> </w:t>
      </w:r>
      <w:r>
        <w:rPr>
          <w:rStyle w:val="VerbatimChar"/>
        </w:rPr>
        <w:t xml:space="preserve">resp_cats</w:t>
      </w:r>
      <w:r>
        <w:t xml:space="preserve"> </w:t>
      </w:r>
      <w:r>
        <w:t xml:space="preserve">vector must therefore follow the canonical order for the chosen version — for</w:t>
      </w:r>
      <w:r>
        <w:t xml:space="preserve"> </w:t>
      </w:r>
      <w:r>
        <w:rPr>
          <w:rStyle w:val="VerbatimChar"/>
        </w:rPr>
        <w:t xml:space="preserve">ss</w:t>
      </w:r>
      <w:r>
        <w:t xml:space="preserve">:</w:t>
      </w:r>
      <w:r>
        <w:t xml:space="preserve"> </w:t>
      </w:r>
      <w:r>
        <w:rPr>
          <w:rStyle w:val="VerbatimChar"/>
        </w:rPr>
        <w:t xml:space="preserve">corr, other, npl</w:t>
      </w:r>
      <w:r>
        <w:t xml:space="preserve">. Supplying categories in a different order will silently assign the wrong activation formulas to the wrong categories, producing incorrect estimates without any warning. The same positional rule applies to</w:t>
      </w:r>
      <w:r>
        <w:t xml:space="preserve"> </w:t>
      </w:r>
      <w:r>
        <w:rPr>
          <w:rStyle w:val="VerbatimChar"/>
        </w:rPr>
        <w:t xml:space="preserve">num_options</w:t>
      </w:r>
      <w:r>
        <w:t xml:space="preserve">.</w:t>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4"/>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When using the softmax rule,</w:t>
      </w:r>
      <w:r>
        <w:t xml:space="preserve"> </w:t>
      </w:r>
      <m:oMath>
        <m:r>
          <m:t>a</m:t>
        </m:r>
      </m:oMath>
      <w:r>
        <w:t xml:space="preserve"> </w:t>
      </w:r>
      <w:r>
        <w:t xml:space="preserve">and</w:t>
      </w:r>
      <w:r>
        <w:t xml:space="preserve"> </w:t>
      </w:r>
      <m:oMath>
        <m:r>
          <m:t>c</m:t>
        </m:r>
      </m:oMath>
      <w:r>
        <w:t xml:space="preserve"> </w:t>
      </w:r>
      <w:r>
        <w:t xml:space="preserve">are estimated on the identity link (native activation scale) which can be seen via</w:t>
      </w:r>
      <w:r>
        <w:t xml:space="preserve"> </w:t>
      </w:r>
      <w:r>
        <w:rPr>
          <w:rStyle w:val="VerbatimChar"/>
        </w:rPr>
        <w:t xml:space="preserve">m3_model_ss$links</w:t>
      </w:r>
      <w:r>
        <w:t xml:space="preserve">. Because there is some information about parameter ranges available from previous literature,</w:t>
      </w:r>
      <w:r>
        <w:t xml:space="preserve"> </w:t>
      </w:r>
      <w:r>
        <w:rPr>
          <w:rStyle w:val="VerbatimChar"/>
        </w:rPr>
        <w:t xml:space="preserve">bmm</w:t>
      </w:r>
      <w:r>
        <w:t xml:space="preserve"> </w:t>
      </w:r>
      <w:r>
        <w:t xml:space="preserve">specifies weakly informative priors on the intercepts and effect parameters. This is different to</w:t>
      </w:r>
      <w:r>
        <w:t xml:space="preserve"> </w:t>
      </w:r>
      <w:r>
        <w:rPr>
          <w:rStyle w:val="VerbatimChar"/>
        </w:rPr>
        <w:t xml:space="preserve">brms</w:t>
      </w:r>
      <w:r>
        <w:t xml:space="preserve">, which uses flat priors for effects by default. These default priors can be inspected with</w:t>
      </w:r>
      <w:r>
        <w:t xml:space="preserve"> </w:t>
      </w:r>
      <w:r>
        <w:rPr>
          <w:rStyle w:val="VerbatimChar"/>
        </w:rPr>
        <w:t xml:space="preserve">default_prior(m3_formula, m3_model_ss, data = data_agg)</w:t>
      </w:r>
      <w:r>
        <w:t xml:space="preserve">. All these priors can be overridden if needed. Throughout this tutorial we use the defaults; Tutorial 2 shows how to set custom priors when needed.</w:t>
      </w:r>
    </w:p>
    <w:bookmarkEnd w:id="55"/>
    <w:bookmarkStart w:id="58"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combines the model definition and formula, and passes them together with the data to</w:t>
      </w:r>
      <w:r>
        <w:t xml:space="preserve"> </w:t>
      </w:r>
      <w:r>
        <w:rPr>
          <w:rStyle w:val="VerbatimChar"/>
        </w:rPr>
        <w:t xml:space="preserve">brms</w:t>
      </w:r>
      <w:r>
        <w:t xml:space="preserve"> </w:t>
      </w:r>
      <w:r>
        <w:t xml:space="preserve">and Stan, and returns a fitted model object. All models in this tutorial were estimated with the default setting of 4 chains of 2,000 iterations each (1,000 warmup), using</w:t>
      </w:r>
      <w:r>
        <w:t xml:space="preserve"> </w:t>
      </w:r>
      <w:r>
        <w:rPr>
          <w:rStyle w:val="VerbatimChar"/>
        </w:rPr>
        <w:t xml:space="preserve">cmdstanr</w:t>
      </w:r>
      <w:r>
        <w:t xml:space="preserve"> </w:t>
      </w:r>
      <w:r>
        <w:t xml:space="preserve">as the backend. We set</w:t>
      </w:r>
      <w:r>
        <w:t xml:space="preserve"> </w:t>
      </w:r>
      <w:r>
        <w:rPr>
          <w:rStyle w:val="VerbatimChar"/>
        </w:rPr>
        <w:t xml:space="preserve">sample_prior = "yes"</w:t>
      </w:r>
      <w:r>
        <w:t xml:space="preserve"> </w:t>
      </w:r>
      <w:r>
        <w:t xml:space="preserve">so that prior samples are available for later hypothesis tests. In addition,</w:t>
      </w:r>
      <w:r>
        <w:t xml:space="preserve"> </w:t>
      </w:r>
      <w:r>
        <w:rPr>
          <w:rStyle w:val="VerbatimChar"/>
        </w:rPr>
        <w:t xml:space="preserve">save_pars = save_pars(all = TRUE)</w:t>
      </w:r>
      <w:r>
        <w:t xml:space="preserve"> </w:t>
      </w:r>
      <w:r>
        <w:t xml:space="preserve">specifies that all model parameters and likelihood results should be saved, which is necessary to perfrom model comparisons via Bayes Factors. The</w:t>
      </w:r>
      <w:r>
        <w:t xml:space="preserve"> </w:t>
      </w:r>
      <w:r>
        <w:rPr>
          <w:rStyle w:val="VerbatimChar"/>
        </w:rPr>
        <w:t xml:space="preserve">file</w:t>
      </w:r>
      <w:r>
        <w:t xml:space="preserve"> </w:t>
      </w:r>
      <w:r>
        <w:t xml:space="preserve">argument caches the fitted model to disk; re-running the script loads the cached fit rather than re-fitting.</w:t>
      </w:r>
      <w:r>
        <w:rPr>
          <w:rStyle w:val="FootnoteReference"/>
        </w:rPr>
        <w:footnoteReference w:id="56"/>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As for all Bayesian models we should check convergence after fitting. The summary contains</w:t>
      </w:r>
      <w:r>
        <w:t xml:space="preserve"> </w:t>
      </w:r>
      <w:r>
        <w:rPr>
          <w:rStyle w:val="VerbatimChar"/>
        </w:rPr>
        <w:t xml:space="preserve">summary(fit_m3_ss_softmax)</w:t>
      </w:r>
      <w:r>
        <w:t xml:space="preserve"> </w:t>
      </w:r>
      <w:r>
        <w:t xml:space="preserve">convergence statistics</w:t>
      </w:r>
      <w:r>
        <w:t xml:space="preserve"> </w:t>
      </w:r>
      <m:oMath>
        <m:acc>
          <m:accPr>
            <m:chr m:val="̂"/>
          </m:accPr>
          <m:e>
            <m:r>
              <m:t>R</m:t>
            </m:r>
          </m:e>
        </m:acc>
      </m:oMath>
      <w:r>
        <w:t xml:space="preserve"> </w:t>
      </w:r>
      <w:r>
        <w:t xml:space="preserve">for all major model parameters. All</w:t>
      </w:r>
      <w:r>
        <w:t xml:space="preserve"> </w:t>
      </w:r>
      <m:oMath>
        <m:acc>
          <m:accPr>
            <m:chr m:val="̂"/>
          </m:accPr>
          <m:e>
            <m:r>
              <m:t>R</m:t>
            </m:r>
          </m:e>
        </m:acc>
      </m:oMath>
      <w:r>
        <w:t xml:space="preserve"> </w:t>
      </w:r>
      <w:r>
        <w:t xml:space="preserve">values</w:t>
      </w:r>
      <w:r>
        <w:t xml:space="preserve"> </w:t>
      </w:r>
      <w:r>
        <w:t xml:space="preserve">(</w:t>
      </w:r>
      <w:hyperlink w:anchor="ref-gelman1992inference">
        <w:r>
          <w:rPr>
            <w:rStyle w:val="Hyperlink"/>
          </w:rPr>
          <w:t xml:space="preserve">Gelman &amp; Rubin, 1992</w:t>
        </w:r>
      </w:hyperlink>
      <w:r>
        <w:t xml:space="preserve">)</w:t>
      </w:r>
      <w:r>
        <w:t xml:space="preserve"> </w:t>
      </w:r>
      <w:r>
        <w:t xml:space="preserve">should be below 1.01 and effective sample sizes should be adequate. For all models in this tutorial, these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w:t>
      </w:r>
      <w:r>
        <w:rPr>
          <w:rStyle w:val="FootnoteReference"/>
        </w:rPr>
        <w:footnoteReference w:id="57"/>
      </w:r>
      <w:r>
        <w:t xml:space="preserve"> </w:t>
      </w:r>
      <w:r>
        <w:t xml:space="preserve">Ocassionally, Stan may report warnings for divergent transitions, hitting the maximum tree depth, or low effective sample sizes. These issues can often be resolved by increasing the number of iterations, adjusting the</w:t>
      </w:r>
      <w:r>
        <w:t xml:space="preserve"> </w:t>
      </w:r>
      <w:r>
        <w:rPr>
          <w:rStyle w:val="VerbatimChar"/>
        </w:rPr>
        <w:t xml:space="preserve">adapt_delta</w:t>
      </w:r>
      <w:r>
        <w:t xml:space="preserve"> </w:t>
      </w:r>
      <w:r>
        <w:t xml:space="preserve">parameter, or reparameterizing the model. For guidance on addressing convergence issues, see the</w:t>
      </w:r>
      <w:r>
        <w:t xml:space="preserve"> </w:t>
      </w:r>
      <w:r>
        <w:rPr>
          <w:rStyle w:val="VerbatimChar"/>
        </w:rPr>
        <w:t xml:space="preserve">brms</w:t>
      </w:r>
      <w:r>
        <w:t xml:space="preserve"> </w:t>
      </w:r>
      <w:r>
        <w:t xml:space="preserve">documentation and resources on Bayesian modeling best practices. In cases where more samples and tuning do not resolve convergence issues, it may be necessary to simplify the model or reconsider the model specification.</w:t>
      </w:r>
    </w:p>
    <w:bookmarkEnd w:id="58"/>
    <w:bookmarkStart w:id="63" w:name="model-evaluation"/>
    <w:p>
      <w:pPr>
        <w:pStyle w:val="Heading2"/>
      </w:pPr>
      <w:r>
        <w:t xml:space="preserve">Model Evaluation</w:t>
      </w:r>
    </w:p>
    <w:p>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w:t>
      </w:r>
      <w:r>
        <w:t xml:space="preserve"> </w:t>
      </w:r>
      <w:r>
        <w:rPr>
          <w:rStyle w:val="VerbatimChar"/>
        </w:rPr>
        <w:t xml:space="preserve">posterior_epred()</w:t>
      </w:r>
      <w:r>
        <w:t xml:space="preserve"> </w:t>
      </w:r>
      <w:r>
        <w:t xml:space="preserve">provided from the</w:t>
      </w:r>
      <w:r>
        <w:t xml:space="preserve"> </w:t>
      </w:r>
      <w:r>
        <w:rPr>
          <w:rStyle w:val="VerbatimChar"/>
        </w:rPr>
        <w:t xml:space="preserve">brms</w:t>
      </w:r>
      <w:r>
        <w:t xml:space="preserve"> </w:t>
      </w:r>
      <w:r>
        <w:t xml:space="preserve">package to obtain expected counts per category for each observation. We then averaged across posterior draws, and aggregated to participant-level proportions by set size and experiment.</w:t>
      </w:r>
      <w:r>
        <w:t xml:space="preserve"> </w:t>
      </w:r>
      <w:hyperlink w:anchor="fig-t1-pp-check">
        <w:r>
          <w:rPr>
            <w:rStyle w:val="Hyperlink"/>
          </w:rPr>
          <w:t xml:space="preserve">Figure 3</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62" w:name="fig-t1-pp-check"/>
    <w:p>
      <w:pPr>
        <w:pStyle w:val="FigureTitle"/>
      </w:pPr>
      <w:r>
        <w:t xml:space="preserve">Figure 3</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60" name="Picture"/>
            <a:graphic>
              <a:graphicData uri="http://schemas.openxmlformats.org/drawingml/2006/picture">
                <pic:pic>
                  <pic:nvPicPr>
                    <pic:cNvPr descr="../figures/tutorial1_pp_check_softmax.pdf" id="61" name="Picture"/>
                    <pic:cNvPicPr>
                      <a:picLocks noChangeArrowheads="1" noChangeAspect="1"/>
                    </pic:cNvPicPr>
                  </pic:nvPicPr>
                  <pic:blipFill>
                    <a:blip r:embed="rId59"/>
                    <a:stretch>
                      <a:fillRect/>
                    </a:stretch>
                  </pic:blipFill>
                  <pic:spPr bwMode="auto">
                    <a:xfrm>
                      <a:off x="0" y="0"/>
                      <a:ext cx="5943600" cy="5486400"/>
                    </a:xfrm>
                    <a:prstGeom prst="rect">
                      <a:avLst/>
                    </a:prstGeom>
                    <a:noFill/>
                    <a:ln w="9525">
                      <a:noFill/>
                      <a:headEnd/>
                      <a:tailEnd/>
                    </a:ln>
                  </pic:spPr>
                </pic:pic>
              </a:graphicData>
            </a:graphic>
          </wp:inline>
        </w:drawing>
      </w:r>
    </w:p>
    <w:bookmarkEnd w:id="62"/>
    <w:bookmarkEnd w:id="63"/>
    <w:bookmarkStart w:id="68"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4</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This likely reflects cross-trial interference in the closed-set condition, where the same words recur across trials and become associated with multiple contexts, reducing effective item-specific memory strength. These resuls are consistent with the original findings by</w:t>
      </w:r>
      <w:r>
        <w:t xml:space="preserve"> </w:t>
      </w:r>
      <w:r>
        <w:t xml:space="preserve">Oberauer (</w:t>
      </w:r>
      <w:hyperlink w:anchor="ref-oberauer2019bindings">
        <w:r>
          <w:rPr>
            <w:rStyle w:val="Hyperlink"/>
          </w:rPr>
          <w:t xml:space="preserve">2019</w:t>
        </w:r>
      </w:hyperlink>
      <w:r>
        <w:t xml:space="preserve">)</w:t>
      </w:r>
      <w:r>
        <w:t xml:space="preserve">, who also found higher</w:t>
      </w:r>
      <w:r>
        <w:t xml:space="preserve"> </w:t>
      </w:r>
      <m:oMath>
        <m:r>
          <m:t>a</m:t>
        </m:r>
      </m:oMath>
      <w:r>
        <w:t xml:space="preserve"> </w:t>
      </w:r>
      <w:r>
        <w:t xml:space="preserve">in the open-set experiment and a steeper decline of</w:t>
      </w:r>
      <w:r>
        <w:t xml:space="preserve"> </w:t>
      </w:r>
      <m:oMath>
        <m:r>
          <m:t>c</m:t>
        </m:r>
      </m:oMath>
      <w:r>
        <w:t xml:space="preserve"> </w:t>
      </w:r>
      <w:r>
        <w:t xml:space="preserve">with set size.</w:t>
      </w:r>
    </w:p>
    <w:bookmarkStart w:id="67" w:name="fig-t1-param-estimates"/>
    <w:p>
      <w:pPr>
        <w:pStyle w:val="FigureTitle"/>
      </w:pPr>
      <w:r>
        <w:t xml:space="preserve">Figure 4</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3657600"/>
            <wp:effectExtent b="0" l="0" r="0" t="0"/>
            <wp:docPr descr="" title="" id="65" name="Picture"/>
            <a:graphic>
              <a:graphicData uri="http://schemas.openxmlformats.org/drawingml/2006/picture">
                <pic:pic>
                  <pic:nvPicPr>
                    <pic:cNvPr descr="../figures/tutorial1_param_estimates_softmax.pdf" id="66" name="Picture"/>
                    <pic:cNvPicPr>
                      <a:picLocks noChangeArrowheads="1" noChangeAspect="1"/>
                    </pic:cNvPicPr>
                  </pic:nvPicPr>
                  <pic:blipFill>
                    <a:blip r:embed="rId64"/>
                    <a:stretch>
                      <a:fillRect/>
                    </a:stretch>
                  </pic:blipFill>
                  <pic:spPr bwMode="auto">
                    <a:xfrm>
                      <a:off x="0" y="0"/>
                      <a:ext cx="5943600" cy="3657600"/>
                    </a:xfrm>
                    <a:prstGeom prst="rect">
                      <a:avLst/>
                    </a:prstGeom>
                    <a:noFill/>
                    <a:ln w="9525">
                      <a:noFill/>
                      <a:headEnd/>
                      <a:tailEnd/>
                    </a:ln>
                  </pic:spPr>
                </pic:pic>
              </a:graphicData>
            </a:graphic>
          </wp:inline>
        </w:drawing>
      </w:r>
    </w:p>
    <w:bookmarkEnd w:id="67"/>
    <w:bookmarkEnd w:id="68"/>
    <w:bookmarkStart w:id="69"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contains the full posterior predictive figures for both models.</w:t>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softmax to outperform the simple rule across different working memory tasks. We use the softmax rule as the default in the remaining tutorials.</w:t>
      </w:r>
    </w:p>
    <w:bookmarkEnd w:id="69"/>
    <w:bookmarkStart w:id="70"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context binding exceeds item memory within the open-set experiment:</w:t>
      </w:r>
    </w:p>
    <w:p>
      <w:pPr>
        <w:pStyle w:val="SourceCode"/>
      </w:pPr>
      <w:r>
        <w:rPr>
          <w:rStyle w:val="FunctionTok"/>
        </w:rPr>
        <w:t xml:space="preserve">hypothesis</w:t>
      </w:r>
      <w:r>
        <w:rPr>
          <w:rStyle w:val="NormalTok"/>
        </w:rPr>
        <w:t xml:space="preserve">(fit_m3_ss_softmax, </w:t>
      </w:r>
      <w:r>
        <w:rPr>
          <w:rStyle w:val="StringTok"/>
        </w:rPr>
        <w:t xml:space="preserve">"c_expopenset = a_expopenset"</w:t>
      </w:r>
      <w:r>
        <w:rPr>
          <w:rStyle w:val="NormalTok"/>
        </w:rPr>
        <w:t xml:space="preserve">)</w:t>
      </w:r>
    </w:p>
    <w:p>
      <w:pPr>
        <w:pStyle w:val="FirstParagraph"/>
      </w:pPr>
      <w:r>
        <w:t xml:space="preserve">This returns a Savage-Dickey density ratio: the ratio of prior to posterior density at the point null</w:t>
      </w:r>
      <w:r>
        <w:t xml:space="preserve"> </w:t>
      </w:r>
      <m:oMath>
        <m:r>
          <m:t>c</m:t>
        </m:r>
        <m:r>
          <m:rPr>
            <m:sty m:val="p"/>
          </m:rPr>
          <m:t>=</m:t>
        </m:r>
        <m:r>
          <m:t>a</m:t>
        </m:r>
      </m:oMath>
      <w:r>
        <w:t xml:space="preserve">. Values substantially greater than 1 indicate that the data have shifted belief away from equality; values near 1 indicate inconclusive evidence. In the open-set experiment, the result is inconclusive (BF</w:t>
      </w:r>
      <m:oMath>
        <m:sSub>
          <m:e>
            <m:r>
              <m:t>​</m:t>
            </m:r>
          </m:e>
          <m:sub>
            <m:r>
              <m:t>10</m:t>
            </m:r>
          </m:sub>
        </m:sSub>
      </m:oMath>
      <w:r>
        <w:t xml:space="preserve"> </w:t>
      </w:r>
      <w:r>
        <w:t xml:space="preserve">= 2.26), suggesting the data do not clearly distinguish whether</w:t>
      </w:r>
      <w:r>
        <w:t xml:space="preserve"> </w:t>
      </w:r>
      <m:oMath>
        <m:r>
          <m:t>c</m:t>
        </m:r>
      </m:oMath>
      <w:r>
        <w:t xml:space="preserve"> </w:t>
      </w:r>
      <w:r>
        <w:t xml:space="preserve">and</w:t>
      </w:r>
      <w:r>
        <w:t xml:space="preserve"> </w:t>
      </w:r>
      <m:oMath>
        <m:r>
          <m:t>a</m:t>
        </m:r>
      </m:oMath>
      <w:r>
        <w:t xml:space="preserve"> </w:t>
      </w:r>
      <w:r>
        <w:t xml:space="preserve">differ at the mean set size. We can similarly test whether set size reduces</w:t>
      </w:r>
      <w:r>
        <w:t xml:space="preserve"> </w:t>
      </w:r>
      <m:oMath>
        <m:r>
          <m:t>c</m:t>
        </m:r>
      </m:oMath>
      <w:r>
        <w:t xml:space="preserve"> </w:t>
      </w:r>
      <w:r>
        <w:t xml:space="preserve">(averaged across experiments) and whether set size effects differ between experiments:</w:t>
      </w:r>
    </w:p>
    <w:p>
      <w:pPr>
        <w:pStyle w:val="SourceCode"/>
      </w:pPr>
      <w:r>
        <w:rPr>
          <w:rStyle w:val="CommentTok"/>
        </w:rPr>
        <w:t xml:space="preserve"># Comparion of c and a for the closed-set experiment</w:t>
      </w:r>
      <w:r>
        <w:br/>
      </w:r>
      <w:r>
        <w:rPr>
          <w:rStyle w:val="FunctionTok"/>
        </w:rPr>
        <w:t xml:space="preserve">hypothesis</w:t>
      </w:r>
      <w:r>
        <w:rPr>
          <w:rStyle w:val="NormalTok"/>
        </w:rPr>
        <w:t xml:space="preserve">(fit_m3_ss_softmax, </w:t>
      </w:r>
      <w:r>
        <w:rPr>
          <w:rStyle w:val="StringTok"/>
        </w:rPr>
        <w:t xml:space="preserve">"c_expclosedset = a_expclosedset"</w:t>
      </w:r>
      <w:r>
        <w:rPr>
          <w:rStyle w:val="NormalTok"/>
        </w:rPr>
        <w:t xml:space="preserve">)</w:t>
      </w:r>
      <w:r>
        <w:br/>
      </w:r>
      <w:r>
        <w:br/>
      </w: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r>
        <w:br/>
      </w:r>
      <w:r>
        <w:br/>
      </w: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p>
    <w:p>
      <w:pPr>
        <w:pStyle w:val="FirstParagraph"/>
      </w:pPr>
      <w:r>
        <w:t xml:space="preserve">The closed-set experiment yields strong evidence that</w:t>
      </w:r>
      <w:r>
        <w:t xml:space="preserve"> </w:t>
      </w:r>
      <m:oMath>
        <m:r>
          <m:t>c</m:t>
        </m:r>
        <m:r>
          <m:rPr>
            <m:sty m:val="p"/>
          </m:rPr>
          <m:t>&gt;</m:t>
        </m:r>
        <m:r>
          <m:t>a</m:t>
        </m:r>
      </m:oMath>
      <w:r>
        <w:t xml:space="preserve"> </w:t>
      </w:r>
      <w:r>
        <w:t xml:space="preserve">(BF</w:t>
      </w:r>
      <m:oMath>
        <m:sSub>
          <m:e>
            <m:r>
              <m:t>​</m:t>
            </m:r>
          </m:e>
          <m:sub>
            <m:r>
              <m:t>10</m:t>
            </m:r>
          </m:sub>
        </m:sSub>
      </m:oMath>
      <w:r>
        <w:t xml:space="preserve"> </w:t>
      </w:r>
      <w:r>
        <w:t xml:space="preserve">= &gt; 10,000). However, there is moderate evidence is that set size reduces</w:t>
      </w:r>
      <w:r>
        <w:t xml:space="preserve"> </w:t>
      </w:r>
      <m:oMath>
        <m:r>
          <m:t>a</m:t>
        </m:r>
      </m:oMath>
      <w:r>
        <w:t xml:space="preserve"> </w:t>
      </w:r>
      <w:r>
        <w:t xml:space="preserve">(BF</w:t>
      </w:r>
      <m:oMath>
        <m:sSub>
          <m:e>
            <m:r>
              <m:t>​</m:t>
            </m:r>
          </m:e>
          <m:sub>
            <m:r>
              <m:t>10</m:t>
            </m:r>
          </m:sub>
        </m:sSub>
      </m:oMath>
      <w:r>
        <w:t xml:space="preserve"> </w:t>
      </w:r>
      <w:r>
        <w:t xml:space="preserve">= 5.76) and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 &gt; 10,000). There is also strong evidence that the set size effect on</w:t>
      </w:r>
      <w:r>
        <w:t xml:space="preserve"> </w:t>
      </w:r>
      <m:oMath>
        <m:r>
          <m:t>c</m:t>
        </m:r>
      </m:oMath>
      <w:r>
        <w:t xml:space="preserve"> </w:t>
      </w:r>
      <w:r>
        <w:t xml:space="preserve">is equal for the closed-set compared to the open-set experiment (BF</w:t>
      </w:r>
      <m:oMath>
        <m:sSub>
          <m:e>
            <m:r>
              <m:t>​</m:t>
            </m:r>
          </m:e>
          <m:sub>
            <m:r>
              <m:t>01</m:t>
            </m:r>
          </m:sub>
        </m:sSub>
      </m:oMath>
      <w:r>
        <w:t xml:space="preserve"> </w:t>
      </w:r>
      <w:r>
        <w:t xml:space="preserve">= 59.4). The companion script contains the full set of six hypothesis tests.</w:t>
      </w:r>
    </w:p>
    <w:bookmarkEnd w:id="70"/>
    <w:bookmarkEnd w:id="71"/>
    <w:bookmarkStart w:id="87"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72" w:name="what-makes-complex-span-different"/>
    <w:p>
      <w:pPr>
        <w:pStyle w:val="Heading2"/>
      </w:pPr>
      <w:r>
        <w:t xml:space="preserve">What makes complex span different</w:t>
      </w:r>
    </w:p>
    <w:p>
      <w:pPr>
        <w:pStyle w:val="FirstParagraph"/>
      </w:pPr>
      <w:r>
        <w:t xml:space="preserve">The simple span model has three response categories. When distractors are present, and parameters capturing the effect of distractors should be estimated, two more categories are needed: the distractor paired with respect to the context of the tested target (</w:t>
      </w:r>
      <w:r>
        <w:rPr>
          <w:i/>
          <w:iCs/>
        </w:rPr>
        <w:t xml:space="preserve">paired or close distractor</w:t>
      </w:r>
      <w:r>
        <w:t xml:space="preserve">) and distractors from other positions (</w:t>
      </w:r>
      <w:r>
        <w:rPr>
          <w:i/>
          <w:iCs/>
        </w:rPr>
        <w:t xml:space="preserve">other distractor</w:t>
      </w:r>
      <w:r>
        <w:t xml:space="preserve">). The complex span (</w:t>
      </w:r>
      <w:r>
        <w:rPr>
          <w:rStyle w:val="VerbatimChar"/>
        </w:rPr>
        <w:t xml:space="preserve">cs</w:t>
      </w:r>
      <w:r>
        <w:t xml:space="preserve">) model extends the activation formulas with a filtering parameter</w:t>
      </w:r>
      <w:r>
        <w:t xml:space="preserve"> </w:t>
      </w:r>
      <m:oMath>
        <m:r>
          <m:t>f</m:t>
        </m:r>
      </m:oMath>
      <w:r>
        <w:t xml:space="preserve"> </w:t>
      </w:r>
      <w:r>
        <w:t xml:space="preserve">that determines how much activation distractors receive relative to memoranda.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72"/>
    <w:bookmarkStart w:id="73"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73"/>
    <w:bookmarkStart w:id="74" w:name="model-specification-1"/>
    <w:p>
      <w:pPr>
        <w:pStyle w:val="Heading2"/>
      </w:pPr>
      <w:r>
        <w:t xml:space="preserve">Model specification</w:t>
      </w:r>
    </w:p>
    <w:p>
      <w:pPr>
        <w:pStyle w:val="FirstParagraph"/>
      </w:pPr>
      <w:r>
        <w:t xml:space="preserve">The model definition follows the same pattern as in Tutorial 1. As noted before, the</w:t>
      </w:r>
      <w:r>
        <w:t xml:space="preserve"> </w:t>
      </w:r>
      <w:r>
        <w:rPr>
          <w:rStyle w:val="VerbatimChar"/>
        </w:rPr>
        <w:t xml:space="preserve">cs</w:t>
      </w:r>
      <w:r>
        <w:t xml:space="preserve"> </w:t>
      </w:r>
      <w:r>
        <w:t xml:space="preserve">version also assigns activation formulas by position:</w:t>
      </w:r>
      <w:r>
        <w:t xml:space="preserve"> </w:t>
      </w:r>
      <w:r>
        <w:rPr>
          <w:rStyle w:val="VerbatimChar"/>
        </w:rPr>
        <w:t xml:space="preserve">resp_cats</w:t>
      </w:r>
      <w:r>
        <w:t xml:space="preserve"> </w:t>
      </w:r>
      <w:r>
        <w:t xml:space="preserve">must follow the order</w:t>
      </w:r>
      <w:r>
        <w:t xml:space="preserve"> </w:t>
      </w:r>
      <w:r>
        <w:rPr>
          <w:rStyle w:val="VerbatimChar"/>
        </w:rPr>
        <w:t xml:space="preserve">corr, distc, other, disto, npl</w:t>
      </w:r>
      <w:r>
        <w:t xml:space="preserve">. The model specification for the complex span version thus looks like this:</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Again, we can use the information from the model object that is returned by the</w:t>
      </w:r>
      <w:r>
        <w:t xml:space="preserve"> </w:t>
      </w:r>
      <w:r>
        <w:rPr>
          <w:rStyle w:val="VerbatimChar"/>
        </w:rPr>
        <w:t xml:space="preserve">m3</w:t>
      </w:r>
      <w:r>
        <w:t xml:space="preserve"> </w:t>
      </w:r>
      <w:r>
        <w:t xml:space="preserve">call to obtain information on the parameters that are estimated and can be predicted. For the</w:t>
      </w:r>
      <w:r>
        <w:t xml:space="preserve"> </w:t>
      </w:r>
      <w:r>
        <w:rPr>
          <w:rStyle w:val="VerbatimChar"/>
        </w:rPr>
        <w:t xml:space="preserve">cs</w:t>
      </w:r>
      <w:r>
        <w:t xml:space="preserve"> </w:t>
      </w:r>
      <w:r>
        <w:t xml:space="preserve">version, these are again context activation</w:t>
      </w:r>
      <w:r>
        <w:t xml:space="preserve"> </w:t>
      </w:r>
      <m:oMath>
        <m:r>
          <m:t>c</m:t>
        </m:r>
      </m:oMath>
      <w:r>
        <w:t xml:space="preserve">, general activation</w:t>
      </w:r>
      <w:r>
        <w:t xml:space="preserve"> </w:t>
      </w:r>
      <m:oMath>
        <m:r>
          <m:t>a</m:t>
        </m:r>
      </m:oMath>
      <w:r>
        <w:t xml:space="preserve">, and now also the filtering parameter</w:t>
      </w:r>
      <w:r>
        <w:t xml:space="preserve"> </w:t>
      </w:r>
      <m:oMath>
        <m:r>
          <m:t>f</m:t>
        </m:r>
      </m:oMath>
      <w:r>
        <w:t xml:space="preserve">. According to the experimental design of experiment 1 from</w:t>
      </w:r>
      <w:r>
        <w:t xml:space="preserve"> </w:t>
      </w:r>
      <w:r>
        <w:t xml:space="preserve">Li et al. (</w:t>
      </w:r>
      <w:hyperlink w:anchor="ref-li2026filtering">
        <w:r>
          <w:rPr>
            <w:rStyle w:val="Hyperlink"/>
          </w:rPr>
          <w:t xml:space="preserve">2026</w:t>
        </w:r>
      </w:hyperlink>
      <w:r>
        <w:t xml:space="preserve">)</w:t>
      </w:r>
      <w:r>
        <w:t xml:space="preserve">, the predictor formula specifies condition effects on all three parameters with cell means coding and uncorrelated random effects per condition:</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There is one complication that we should address for this data: in the control condition, no distractors are presented (</w:t>
      </w:r>
      <w:r>
        <w:rPr>
          <w:rStyle w:val="VerbatimChar"/>
        </w:rPr>
        <w:t xml:space="preserve">n_distc = 0</w:t>
      </w:r>
      <w:r>
        <w:t xml:space="preserve">,</w:t>
      </w:r>
      <w:r>
        <w:t xml:space="preserve"> </w:t>
      </w:r>
      <w:r>
        <w:rPr>
          <w:rStyle w:val="VerbatimChar"/>
        </w:rPr>
        <w:t xml:space="preserve">n_disto = 0</w:t>
      </w:r>
      <w:r>
        <w:t xml:space="preserve">), so</w:t>
      </w:r>
      <w:r>
        <w:t xml:space="preserve"> </w:t>
      </w:r>
      <m:oMath>
        <m:r>
          <m:t>f</m:t>
        </m:r>
      </m:oMath>
      <w:r>
        <w:t xml:space="preserve"> </w:t>
      </w:r>
      <w:r>
        <w:t xml:space="preserve">does not influence the likelihood and is not identified. If left free, the sampler will wander through the prior, which can slow down sampling. The solution is to fix</w:t>
      </w:r>
      <w:r>
        <w:t xml:space="preserve"> </w:t>
      </w:r>
      <m:oMath>
        <m:r>
          <m:t>f</m:t>
        </m:r>
      </m:oMath>
      <w:r>
        <w:t xml:space="preserve"> </w:t>
      </w:r>
      <w:r>
        <w:t xml:space="preserve">in the control condition using a</w:t>
      </w:r>
      <w:r>
        <w:t xml:space="preserve"> </w:t>
      </w:r>
      <w:r>
        <w:rPr>
          <w:rStyle w:val="VerbatimChar"/>
        </w:rPr>
        <w:t xml:space="preserve">constant()</w:t>
      </w:r>
      <w:r>
        <w:t xml:space="preserve"> </w:t>
      </w:r>
      <w:r>
        <w:t xml:space="preserve">prior on both the fixed effect and the random effect SD:</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The specific values are not critical, as</w:t>
      </w:r>
      <w:r>
        <w:t xml:space="preserve"> </w:t>
      </w:r>
      <m:oMath>
        <m:r>
          <m:t>f</m:t>
        </m:r>
      </m:oMath>
      <w:r>
        <w:t xml:space="preserve"> </w:t>
      </w:r>
      <w:r>
        <w:t xml:space="preserve">will not influence the likelihood in the control condition. Still, setting the fixed effect to 0 on the logit scale (effectively</w:t>
      </w:r>
      <w:r>
        <w:t xml:space="preserve"> </w:t>
      </w:r>
      <m:oMath>
        <m:r>
          <m:t>f</m:t>
        </m:r>
        <m:r>
          <m:rPr>
            <m:sty m:val="p"/>
          </m:rPr>
          <m:t>=</m:t>
        </m:r>
        <m:r>
          <m:t>0.5</m:t>
        </m:r>
      </m:oMath>
      <w:r>
        <w:t xml:space="preserve">) and the SD to 0 pins the control-condition filtering at a fixed value. The remaining conditions still estimate</w:t>
      </w:r>
      <w:r>
        <w:t xml:space="preserve"> </w:t>
      </w:r>
      <m:oMath>
        <m:r>
          <m:t>f</m:t>
        </m:r>
      </m:oMath>
      <w:r>
        <w:t xml:space="preserve"> </w:t>
      </w:r>
      <w:r>
        <w:t xml:space="preserve">freely. For more information on setting priors in</w:t>
      </w:r>
      <w:r>
        <w:t xml:space="preserve"> </w:t>
      </w:r>
      <w:r>
        <w:rPr>
          <w:rStyle w:val="VerbatimChar"/>
        </w:rPr>
        <w:t xml:space="preserve">bmm</w:t>
      </w:r>
      <w:r>
        <w:t xml:space="preserve">, you can check the</w:t>
      </w:r>
      <w:r>
        <w:t xml:space="preserve"> </w:t>
      </w:r>
      <w:r>
        <w:rPr>
          <w:rStyle w:val="VerbatimChar"/>
        </w:rPr>
        <w:t xml:space="preserve">brms</w:t>
      </w:r>
      <w:r>
        <w:t xml:space="preserve"> </w:t>
      </w:r>
      <w:r>
        <w:t xml:space="preserve">documentation. As</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the same syntax applies for setting priors. The companion script contains the full set of priors used for this model, which are mostly the default weakly informative priors.</w:t>
      </w:r>
    </w:p>
    <w:bookmarkEnd w:id="74"/>
    <w:bookmarkStart w:id="79"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1.005, bulk ESS</w:t>
      </w:r>
      <w:r>
        <w:t xml:space="preserve"> </w:t>
      </w:r>
      <m:oMath>
        <m:r>
          <m:rPr>
            <m:sty m:val="p"/>
          </m:rPr>
          <m:t>&gt;</m:t>
        </m:r>
      </m:oMath>
      <w:r>
        <w:t xml:space="preserve"> </w:t>
      </w:r>
      <w:r>
        <w:t xml:space="preserve">1,027, no divergent transitions).</w:t>
      </w:r>
      <w:r>
        <w:t xml:space="preserve"> </w:t>
      </w:r>
      <w:hyperlink w:anchor="fig-t2-pp-check">
        <w:r>
          <w:rPr>
            <w:rStyle w:val="Hyperlink"/>
          </w:rPr>
          <w:t xml:space="preserve">Figure 5</w:t>
        </w:r>
      </w:hyperlink>
      <w:r>
        <w:t xml:space="preserve"> </w:t>
      </w:r>
      <w:r>
        <w:t xml:space="preserve">shows the posterior predictive check. The model captured the observed response proportions well across all three conditions and five categories.</w:t>
      </w:r>
    </w:p>
    <w:bookmarkStart w:id="78" w:name="fig-t2-pp-check"/>
    <w:p>
      <w:pPr>
        <w:pStyle w:val="FigureTitle"/>
      </w:pPr>
      <w:r>
        <w:t xml:space="preserve">Figure 5</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3657600"/>
            <wp:effectExtent b="0" l="0" r="0" t="0"/>
            <wp:docPr descr="" title="" id="76" name="Picture"/>
            <a:graphic>
              <a:graphicData uri="http://schemas.openxmlformats.org/drawingml/2006/picture">
                <pic:pic>
                  <pic:nvPicPr>
                    <pic:cNvPr descr="../figures/tutorial2_pp_check.pdf" id="77" name="Picture"/>
                    <pic:cNvPicPr>
                      <a:picLocks noChangeArrowheads="1" noChangeAspect="1"/>
                    </pic:cNvPicPr>
                  </pic:nvPicPr>
                  <pic:blipFill>
                    <a:blip r:embed="rId75"/>
                    <a:stretch>
                      <a:fillRect/>
                    </a:stretch>
                  </pic:blipFill>
                  <pic:spPr bwMode="auto">
                    <a:xfrm>
                      <a:off x="0" y="0"/>
                      <a:ext cx="5943600" cy="3657600"/>
                    </a:xfrm>
                    <a:prstGeom prst="rect">
                      <a:avLst/>
                    </a:prstGeom>
                    <a:noFill/>
                    <a:ln w="9525">
                      <a:noFill/>
                      <a:headEnd/>
                      <a:tailEnd/>
                    </a:ln>
                  </pic:spPr>
                </pic:pic>
              </a:graphicData>
            </a:graphic>
          </wp:inline>
        </w:drawing>
      </w:r>
    </w:p>
    <w:bookmarkEnd w:id="78"/>
    <w:bookmarkEnd w:id="79"/>
    <w:bookmarkStart w:id="84"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83" w:name="fig-t2-param-estimates"/>
    <w:p>
      <w:pPr>
        <w:pStyle w:val="FigureTitle"/>
      </w:pPr>
      <w:r>
        <w:t xml:space="preserve">Figure 6</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3657600"/>
            <wp:effectExtent b="0" l="0" r="0" t="0"/>
            <wp:docPr descr="" title="" id="81" name="Picture"/>
            <a:graphic>
              <a:graphicData uri="http://schemas.openxmlformats.org/drawingml/2006/picture">
                <pic:pic>
                  <pic:nvPicPr>
                    <pic:cNvPr descr="../figures/tutorial2_param_estimates.pdf" id="82" name="Picture"/>
                    <pic:cNvPicPr>
                      <a:picLocks noChangeArrowheads="1" noChangeAspect="1"/>
                    </pic:cNvPicPr>
                  </pic:nvPicPr>
                  <pic:blipFill>
                    <a:blip r:embed="rId80"/>
                    <a:stretch>
                      <a:fillRect/>
                    </a:stretch>
                  </pic:blipFill>
                  <pic:spPr bwMode="auto">
                    <a:xfrm>
                      <a:off x="0" y="0"/>
                      <a:ext cx="5943600" cy="3657600"/>
                    </a:xfrm>
                    <a:prstGeom prst="rect">
                      <a:avLst/>
                    </a:prstGeom>
                    <a:noFill/>
                    <a:ln w="9525">
                      <a:noFill/>
                      <a:headEnd/>
                      <a:tailEnd/>
                    </a:ln>
                  </pic:spPr>
                </pic:pic>
              </a:graphicData>
            </a:graphic>
          </wp:inline>
        </w:drawing>
      </w:r>
    </w:p>
    <w:bookmarkEnd w:id="83"/>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0.63,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4"/>
    <w:bookmarkStart w:id="85"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(BF</w:t>
      </w:r>
      <m:oMath>
        <m:sSub>
          <m:e>
            <m:r>
              <m:t>​</m:t>
            </m:r>
          </m:e>
          <m:sub>
            <m:r>
              <m:t>01</m:t>
            </m:r>
          </m:sub>
        </m:sSub>
      </m:oMath>
      <w:r>
        <w:t xml:space="preserve"> </w:t>
      </w:r>
      <w:r>
        <w:t xml:space="preserve">= 9.54). There is inconclusive evidence for item memory</w:t>
      </w:r>
      <w:r>
        <w:t xml:space="preserve"> </w:t>
      </w:r>
      <m:oMath>
        <m:r>
          <m:t>a</m:t>
        </m:r>
      </m:oMath>
      <w:r>
        <w:t xml:space="preserve"> </w:t>
      </w:r>
      <w:r>
        <w:t xml:space="preserve">comparing the distractor conditions to the control (BF</w:t>
      </w:r>
      <m:oMath>
        <m:sSub>
          <m:e>
            <m:r>
              <m:t>​</m:t>
            </m:r>
          </m:e>
          <m:sub>
            <m:r>
              <m:t>10</m:t>
            </m:r>
          </m:sub>
        </m:sSub>
      </m:oMath>
      <w:r>
        <w:t xml:space="preserve"> </w:t>
      </w:r>
      <w:r>
        <w:t xml:space="preserve">= 0.44); however, context activation</w:t>
      </w:r>
      <w:r>
        <w:t xml:space="preserve"> </w:t>
      </w:r>
      <m:oMath>
        <m:r>
          <m:t>c</m:t>
        </m:r>
      </m:oMath>
      <w:r>
        <w:t xml:space="preserve"> </w:t>
      </w:r>
      <w:r>
        <w:t xml:space="preserve">is lower in the distractor conditions (BF</w:t>
      </w:r>
      <m:oMath>
        <m:sSub>
          <m:e>
            <m:r>
              <m:t>​</m:t>
            </m:r>
          </m:e>
          <m:sub>
            <m:r>
              <m:t>10</m:t>
            </m:r>
          </m:sub>
        </m:sSub>
      </m:oMath>
      <w:r>
        <w:t xml:space="preserve"> </w:t>
      </w:r>
      <w:r>
        <w:t xml:space="preserve">= 7.44).</w:t>
      </w:r>
    </w:p>
    <w:bookmarkEnd w:id="85"/>
    <w:bookmarkStart w:id="86" w:name="comparison-with-the-published-model"/>
    <w:p>
      <w:pPr>
        <w:pStyle w:val="Heading2"/>
      </w:pPr>
      <w:r>
        <w:t xml:space="preserve">Comparison with the published model</w:t>
      </w:r>
    </w:p>
    <w:p>
      <w:pPr>
        <w:pStyle w:val="FirstParagraph"/>
      </w:pPr>
      <w:r>
        <w:t xml:space="preserve">The standard</w:t>
      </w:r>
      <w:r>
        <w:t xml:space="preserve"> </w:t>
      </w:r>
      <w:r>
        <w:rPr>
          <w:rStyle w:val="VerbatimChar"/>
        </w:rPr>
        <w:t xml:space="preserve">cs</w:t>
      </w:r>
      <w:r>
        <w:t xml:space="preserve"> </w:t>
      </w:r>
      <w:r>
        <w:t xml:space="preserve">version makes a simplifying assumption: distractor attenuation is symmetric, with both item memory and context binding scaled by the single parameter</w:t>
      </w:r>
      <w:r>
        <w:t xml:space="preserve"> </w:t>
      </w:r>
      <m:oMath>
        <m:r>
          <m:t>f</m:t>
        </m:r>
      </m:oMath>
      <w:r>
        <w:t xml:space="preserve">. This is a reasonable default, but it rules out the possibility that item and context information transfer to distractors at different rates. 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exactly this distinction using a custom version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allowing item and binding activation to transfer differently to distractors. Their findings suggest that item memory is barely reduced, whereas context activation is more affected. When a research question requires this kind of flexibility — or when the task design does not map onto any pre-built version — a custom specification is needed. Tutorial 3 demonstrates how to define and fit such a custom version using the same data.</w:t>
      </w:r>
    </w:p>
    <w:bookmarkEnd w:id="86"/>
    <w:bookmarkEnd w:id="87"/>
    <w:bookmarkStart w:id="103" w:name="tutorial-3-custom-m3"/>
    <w:p>
      <w:pPr>
        <w:pStyle w:val="Heading1"/>
      </w:pPr>
      <w:r>
        <w:t xml:space="preserve">Tutorial 3: Custom</w:t>
      </w:r>
      <w:r>
        <w:t xml:space="preserve"> </w:t>
      </w:r>
      <m:oMath>
        <m:sSup>
          <m:e>
            <m:r>
              <m:t>M</m:t>
            </m:r>
          </m:e>
          <m:sup>
            <m:r>
              <m:t>3</m:t>
            </m:r>
          </m:sup>
        </m:sSup>
      </m:oMath>
    </w:p>
    <w:p>
      <w:pPr>
        <w:pStyle w:val="FirstParagraph"/>
      </w:pPr>
      <w:r>
        <w:t xml:space="preserve">The previous tutorials used pre-built versions (</w:t>
      </w:r>
      <w:r>
        <w:rPr>
          <w:rStyle w:val="VerbatimChar"/>
        </w:rPr>
        <w:t xml:space="preserve">ss</w:t>
      </w:r>
      <w:r>
        <w:t xml:space="preserve"> </w:t>
      </w:r>
      <w:r>
        <w:t xml:space="preserve">and</w:t>
      </w:r>
      <w:r>
        <w:t xml:space="preserve"> </w:t>
      </w:r>
      <w:r>
        <w:rPr>
          <w:rStyle w:val="VerbatimChar"/>
        </w:rPr>
        <w:t xml:space="preserve">cs</w:t>
      </w:r>
      <w:r>
        <w:t xml:space="preserve">) that ship with fixed activation formulas. When a research question requires different assumptions about how activation sources combine — as in the filtering example at the end of Tutorial 2 —</w:t>
      </w:r>
      <w:r>
        <w:t xml:space="preserve"> </w:t>
      </w:r>
      <w:r>
        <w:rPr>
          <w:rStyle w:val="VerbatimChar"/>
        </w:rPr>
        <w:t xml:space="preserve">bmm</w:t>
      </w:r>
      <w:r>
        <w:t xml:space="preserve"> </w:t>
      </w:r>
      <w:r>
        <w:t xml:space="preserve">allows defining a fully custom</w:t>
      </w:r>
      <w:r>
        <w:t xml:space="preserve"> </w:t>
      </w:r>
      <m:oMath>
        <m:sSup>
          <m:e>
            <m:r>
              <m:t>M</m:t>
            </m:r>
          </m:e>
          <m:sup>
            <m:r>
              <m:t>3</m:t>
            </m:r>
          </m:sup>
        </m:sSup>
      </m:oMath>
      <w:r>
        <w:t xml:space="preserve"> </w:t>
      </w:r>
      <w:r>
        <w:t xml:space="preserve">with user-specified response categories and activation formulas. This tutorial demonstrates how to define, fit, and compare a custom version using the same data as Tutorial 2. The companion script is</w:t>
      </w:r>
      <w:r>
        <w:t xml:space="preserve"> </w:t>
      </w:r>
      <w:r>
        <w:rPr>
          <w:rStyle w:val="VerbatimChar"/>
        </w:rPr>
        <w:t xml:space="preserve">scripts/tutorial3_custom_filtering.R</w:t>
      </w:r>
      <w:r>
        <w:t xml:space="preserve">.</w:t>
      </w:r>
    </w:p>
    <w:bookmarkStart w:id="88" w:name="X569044e46b75e58d7c86f00f9e1a6e4f76a6f72"/>
    <w:p>
      <w:pPr>
        <w:pStyle w:val="Heading2"/>
      </w:pPr>
      <w:r>
        <w:t xml:space="preserve">When standard versions are too restrictive</w:t>
      </w:r>
    </w:p>
    <w:p>
      <w:pPr>
        <w:pStyle w:val="FirstParagraph"/>
      </w:pPr>
      <w:r>
        <w:t xml:space="preserve">The</w:t>
      </w:r>
      <w:r>
        <w:t xml:space="preserve"> </w:t>
      </w:r>
      <w:r>
        <w:rPr>
          <w:rStyle w:val="VerbatimChar"/>
        </w:rPr>
        <w:t xml:space="preserve">cs</w:t>
      </w:r>
      <w:r>
        <w:t xml:space="preserve"> </w:t>
      </w:r>
      <w:r>
        <w:t xml:space="preserve">version assumes that distractor attenuation is symmetric: both item memory and context binding are scaled by the single parameter</w:t>
      </w:r>
      <w:r>
        <w:t xml:space="preserve"> </w:t>
      </w:r>
      <m:oMath>
        <m:r>
          <m:t>f</m:t>
        </m:r>
      </m:oMath>
      <w:r>
        <w:t xml:space="preserve">.</w:t>
      </w:r>
      <w:r>
        <w:t xml:space="preserve"> </w:t>
      </w:r>
      <w:r>
        <w:t xml:space="preserve">Li et al. (</w:t>
      </w:r>
      <w:hyperlink w:anchor="ref-li2026filtering">
        <w:r>
          <w:rPr>
            <w:rStyle w:val="Hyperlink"/>
          </w:rPr>
          <w:t xml:space="preserve">2026</w:t>
        </w:r>
      </w:hyperlink>
      <w:r>
        <w:t xml:space="preserve">)</w:t>
      </w:r>
      <w:r>
        <w:t xml:space="preserve">, however, hypothesized that item information and binding information may transfer to distractors at different rates. To test this, they replaced the single</w:t>
      </w:r>
      <w:r>
        <w:t xml:space="preserve"> </w:t>
      </w:r>
      <m:oMath>
        <m:r>
          <m:t>f</m:t>
        </m:r>
      </m:oMath>
      <w:r>
        <w:t xml:space="preserve"> </w:t>
      </w:r>
      <w:r>
        <w:t xml:space="preserve">with two separate ratio parameters:</w:t>
      </w:r>
      <w:r>
        <w:t xml:space="preserve"> </w:t>
      </w:r>
      <m:oMath>
        <m:sSub>
          <m:e>
            <m:r>
              <m:t>r</m:t>
            </m:r>
          </m:e>
          <m:sub>
            <m:r>
              <m:t>a</m:t>
            </m:r>
          </m:sub>
        </m:sSub>
      </m:oMath>
      <w:r>
        <w:t xml:space="preserve"> </w:t>
      </w:r>
      <w:r>
        <w:t xml:space="preserve">for item memory and</w:t>
      </w:r>
      <w:r>
        <w:t xml:space="preserve"> </w:t>
      </w:r>
      <m:oMath>
        <m:sSub>
          <m:e>
            <m:r>
              <m:t>r</m:t>
            </m:r>
          </m:e>
          <m:sub>
            <m:r>
              <m:t>c</m:t>
            </m:r>
          </m:sub>
        </m:sSub>
      </m:oMath>
      <w:r>
        <w:t xml:space="preserve"> </w:t>
      </w:r>
      <w:r>
        <w:t xml:space="preserve">for context binding. This produces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sSub>
                  <m:e>
                    <m:r>
                      <m:t>r</m:t>
                    </m:r>
                  </m:e>
                  <m:sub>
                    <m:r>
                      <m:t>a</m:t>
                    </m:r>
                  </m:sub>
                </m:sSub>
                <m:r>
                  <m:rPr>
                    <m:sty m:val="p"/>
                  </m:rPr>
                  <m:t>⋅</m:t>
                </m:r>
                <m:r>
                  <m:t>a</m:t>
                </m:r>
                <m:r>
                  <m:rPr>
                    <m:sty m:val="p"/>
                  </m:rPr>
                  <m:t>+</m:t>
                </m:r>
                <m:sSub>
                  <m:e>
                    <m:r>
                      <m:t>r</m:t>
                    </m:r>
                  </m:e>
                  <m:sub>
                    <m:r>
                      <m:t>c</m:t>
                    </m:r>
                  </m:sub>
                </m:sSub>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sSub>
                  <m:e>
                    <m:r>
                      <m:t>r</m:t>
                    </m:r>
                  </m:e>
                  <m:sub>
                    <m:r>
                      <m:t>a</m:t>
                    </m:r>
                  </m:sub>
                </m:sSub>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When</w:t>
      </w:r>
      <w:r>
        <w:t xml:space="preserve"> </w:t>
      </w:r>
      <m:oMath>
        <m:sSub>
          <m:e>
            <m:r>
              <m:t>r</m:t>
            </m:r>
          </m:e>
          <m:sub>
            <m:r>
              <m:t>a</m:t>
            </m:r>
          </m:sub>
        </m:sSub>
        <m:r>
          <m:rPr>
            <m:sty m:val="p"/>
          </m:rPr>
          <m:t>=</m:t>
        </m:r>
        <m:sSub>
          <m:e>
            <m:r>
              <m:t>r</m:t>
            </m:r>
          </m:e>
          <m:sub>
            <m:r>
              <m:t>c</m:t>
            </m:r>
          </m:sub>
        </m:sSub>
      </m:oMath>
      <w:r>
        <w:t xml:space="preserve">, this reduces to the standard</w:t>
      </w:r>
      <w:r>
        <w:t xml:space="preserve"> </w:t>
      </w:r>
      <w:r>
        <w:rPr>
          <w:rStyle w:val="VerbatimChar"/>
        </w:rPr>
        <w:t xml:space="preserve">cs</w:t>
      </w:r>
      <w:r>
        <w:t xml:space="preserve"> </w:t>
      </w:r>
      <w:r>
        <w:t xml:space="preserve">version with</w:t>
      </w:r>
      <w:r>
        <w:t xml:space="preserve"> </w:t>
      </w:r>
      <m:oMath>
        <m:r>
          <m:t>f</m:t>
        </m:r>
        <m:r>
          <m:rPr>
            <m:sty m:val="p"/>
          </m:rPr>
          <m:t>=</m:t>
        </m:r>
        <m:sSub>
          <m:e>
            <m:r>
              <m:t>r</m:t>
            </m:r>
          </m:e>
          <m:sub>
            <m:r>
              <m:t>a</m:t>
            </m:r>
          </m:sub>
        </m:sSub>
        <m:r>
          <m:rPr>
            <m:sty m:val="p"/>
          </m:rPr>
          <m:t>=</m:t>
        </m:r>
        <m:sSub>
          <m:e>
            <m:r>
              <m:t>r</m:t>
            </m:r>
          </m:e>
          <m:sub>
            <m:r>
              <m:t>c</m:t>
            </m:r>
          </m:sub>
        </m:sSub>
      </m:oMath>
      <w:r>
        <w:t xml:space="preserve">. The custom version relaxes this constraint and lets the data decide.</w:t>
      </w:r>
    </w:p>
    <w:bookmarkEnd w:id="88"/>
    <w:bookmarkStart w:id="89" w:name="defining-a-custom-m3"/>
    <w:p>
      <w:pPr>
        <w:pStyle w:val="Heading2"/>
      </w:pPr>
      <w:r>
        <w:t xml:space="preserve">Defining a custom</w:t>
      </w:r>
      <w:r>
        <w:t xml:space="preserve"> </w:t>
      </w:r>
      <m:oMath>
        <m:sSup>
          <m:e>
            <m:r>
              <m:t>M</m:t>
            </m:r>
          </m:e>
          <m:sup>
            <m:r>
              <m:t>3</m:t>
            </m:r>
          </m:sup>
        </m:sSup>
      </m:oMath>
    </w:p>
    <w:p>
      <w:pPr>
        <w:pStyle w:val="FirstParagraph"/>
      </w:pPr>
      <w:r>
        <w:t xml:space="preserve">Defining a custom</w:t>
      </w:r>
      <w:r>
        <w:t xml:space="preserve"> </w:t>
      </w:r>
      <m:oMath>
        <m:sSup>
          <m:e>
            <m:r>
              <m:t>M</m:t>
            </m:r>
          </m:e>
          <m:sup>
            <m:r>
              <m:t>3</m:t>
            </m:r>
          </m:sup>
        </m:sSup>
      </m:oMath>
      <w:r>
        <w:t xml:space="preserve"> </w:t>
      </w:r>
      <w:r>
        <w:t xml:space="preserve">requires specifying the response categories, the number of options per category, and — importantly — the link functions for each parameter. Because</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proportions bounded between 0 and 1, we use the logit link;</w:t>
      </w:r>
      <w:r>
        <w:t xml:space="preserve"> </w:t>
      </w:r>
      <m:oMath>
        <m:r>
          <m:t>a</m:t>
        </m:r>
      </m:oMath>
      <w:r>
        <w:t xml:space="preserve"> </w:t>
      </w:r>
      <w:r>
        <w:t xml:space="preserve">and</w:t>
      </w:r>
      <w:r>
        <w:t xml:space="preserve"> </w:t>
      </w:r>
      <m:oMath>
        <m:r>
          <m:t>c</m:t>
        </m:r>
      </m:oMath>
      <w:r>
        <w:t xml:space="preserve"> </w:t>
      </w:r>
      <w:r>
        <w:t xml:space="preserve">are unbounded activations and use the identity link:</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 =</w:t>
      </w:r>
      <w:r>
        <w:rPr>
          <w:rStyle w:val="NormalTok"/>
        </w:rPr>
        <w:t xml:space="preserve"> </w:t>
      </w:r>
      <w:r>
        <w:rPr>
          <w:rStyle w:val="StringTok"/>
        </w:rPr>
        <w:t xml:space="preserve">"logit"</w:t>
      </w:r>
      <w:r>
        <w:rPr>
          <w:rStyle w:val="NormalTok"/>
        </w:rPr>
        <w:t xml:space="preserve">,    </w:t>
      </w:r>
      <w:r>
        <w:rPr>
          <w:rStyle w:val="AttributeTok"/>
        </w:rPr>
        <w:t xml:space="preserve">rc =</w:t>
      </w:r>
      <w:r>
        <w:rPr>
          <w:rStyle w:val="NormalTok"/>
        </w:rPr>
        <w:t xml:space="preserve"> </w:t>
      </w:r>
      <w:r>
        <w:rPr>
          <w:rStyle w:val="StringTok"/>
        </w:rPr>
        <w:t xml:space="preserve">"logit"</w:t>
      </w:r>
      <w:r>
        <w:br/>
      </w:r>
      <w:r>
        <w:rPr>
          <w:rStyle w:val="NormalTok"/>
        </w:rPr>
        <w:t xml:space="preserve">  )</w:t>
      </w:r>
      <w:r>
        <w:br/>
      </w:r>
      <w:r>
        <w:rPr>
          <w:rStyle w:val="NormalTok"/>
        </w:rPr>
        <w:t xml:space="preserve">)</w:t>
      </w:r>
    </w:p>
    <w:p>
      <w:pPr>
        <w:pStyle w:val="FirstParagraph"/>
      </w:pPr>
      <w:r>
        <w:t xml:space="preserve">For custom versions,</w:t>
      </w:r>
      <w:r>
        <w:t xml:space="preserve"> </w:t>
      </w:r>
      <w:r>
        <w:rPr>
          <w:rStyle w:val="VerbatimChar"/>
        </w:rPr>
        <w:t xml:space="preserve">bmf()</w:t>
      </w:r>
      <w:r>
        <w:t xml:space="preserve"> </w:t>
      </w:r>
      <w:r>
        <w:t xml:space="preserve">specifies both the activation formulas (how parameters combine into category activations) and the regression formulas (how experimental conditions predict each parameter). The activation formulas translate the equations above into R formula syntax:</w:t>
      </w:r>
    </w:p>
    <w:p>
      <w:pPr>
        <w:pStyle w:val="SourceCode"/>
      </w:pPr>
      <w:r>
        <w:rPr>
          <w:rStyle w:val="NormalTok"/>
        </w:rPr>
        <w:t xml:space="preserve">m3_formula_custom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distc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rc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disto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As in Tutorial 2,</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not identified in the control condition (no distractors present), so we fix them with constant priors on both the fixed effect and the random effect SD:</w:t>
      </w:r>
    </w:p>
    <w:p>
      <w:pPr>
        <w:pStyle w:val="SourceCode"/>
      </w:pPr>
      <w:r>
        <w:rPr>
          <w:rStyle w:val="NormalTok"/>
        </w:rPr>
        <w:t xml:space="preserve">priors_custom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bookmarkEnd w:id="89"/>
    <w:bookmarkStart w:id="94" w:name="model-fitting-and-evaluation-1"/>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the previous tutorials. The model converged without issues (</w:t>
      </w:r>
      <m:oMath>
        <m:acc>
          <m:accPr>
            <m:chr m:val="̂"/>
          </m:accPr>
          <m:e>
            <m:r>
              <m:t>R</m:t>
            </m:r>
          </m:e>
        </m:acc>
        <m:r>
          <m:rPr>
            <m:sty m:val="p"/>
          </m:rPr>
          <m:t>≤</m:t>
        </m:r>
      </m:oMath>
      <w:r>
        <w:t xml:space="preserve"> </w:t>
      </w:r>
      <w:r>
        <w:t xml:space="preserve">1.007, bulk ESS</w:t>
      </w:r>
      <w:r>
        <w:t xml:space="preserve"> </w:t>
      </w:r>
      <m:oMath>
        <m:r>
          <m:rPr>
            <m:sty m:val="p"/>
          </m:rPr>
          <m:t>&gt;</m:t>
        </m:r>
      </m:oMath>
      <w:r>
        <w:t xml:space="preserve"> </w:t>
      </w:r>
      <w:r>
        <w:t xml:space="preserve">794, no divergent transitions).</w:t>
      </w:r>
      <w:r>
        <w:t xml:space="preserve"> </w:t>
      </w:r>
      <w:hyperlink w:anchor="fig-t3-pp-check">
        <w:r>
          <w:rPr>
            <w:rStyle w:val="Hyperlink"/>
          </w:rPr>
          <w:t xml:space="preserve">Figure 7</w:t>
        </w:r>
      </w:hyperlink>
      <w:r>
        <w:t xml:space="preserve"> </w:t>
      </w:r>
      <w:r>
        <w:t xml:space="preserve">shows the posterior predictive check. Predicted proportions closely match the observed data across all conditions and categories, comparable to the</w:t>
      </w:r>
      <w:r>
        <w:t xml:space="preserve"> </w:t>
      </w:r>
      <w:r>
        <w:rPr>
          <w:rStyle w:val="VerbatimChar"/>
        </w:rPr>
        <w:t xml:space="preserve">cs</w:t>
      </w:r>
      <w:r>
        <w:t xml:space="preserve"> </w:t>
      </w:r>
      <w:r>
        <w:t xml:space="preserve">fit in Tutorial 2.</w:t>
      </w:r>
    </w:p>
    <w:bookmarkStart w:id="93" w:name="fig-t3-pp-check"/>
    <w:p>
      <w:pPr>
        <w:pStyle w:val="FigureTitle"/>
      </w:pPr>
      <w:r>
        <w:t xml:space="preserve">Figure 7</w:t>
      </w:r>
    </w:p>
    <w:p>
      <w:pPr>
        <w:pStyle w:val="Caption"/>
      </w:pPr>
      <w:r>
        <w:t xml:space="preserve">Posterior predictive check for the custom filtering</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3657600"/>
            <wp:effectExtent b="0" l="0" r="0" t="0"/>
            <wp:docPr descr="" title="" id="91" name="Picture"/>
            <a:graphic>
              <a:graphicData uri="http://schemas.openxmlformats.org/drawingml/2006/picture">
                <pic:pic>
                  <pic:nvPicPr>
                    <pic:cNvPr descr="../figures/tutorial3_pp_check.pdf" id="92" name="Picture"/>
                    <pic:cNvPicPr>
                      <a:picLocks noChangeArrowheads="1" noChangeAspect="1"/>
                    </pic:cNvPicPr>
                  </pic:nvPicPr>
                  <pic:blipFill>
                    <a:blip r:embed="rId90"/>
                    <a:stretch>
                      <a:fillRect/>
                    </a:stretch>
                  </pic:blipFill>
                  <pic:spPr bwMode="auto">
                    <a:xfrm>
                      <a:off x="0" y="0"/>
                      <a:ext cx="5943600" cy="3657600"/>
                    </a:xfrm>
                    <a:prstGeom prst="rect">
                      <a:avLst/>
                    </a:prstGeom>
                    <a:noFill/>
                    <a:ln w="9525">
                      <a:noFill/>
                      <a:headEnd/>
                      <a:tailEnd/>
                    </a:ln>
                  </pic:spPr>
                </pic:pic>
              </a:graphicData>
            </a:graphic>
          </wp:inline>
        </w:drawing>
      </w:r>
    </w:p>
    <w:bookmarkEnd w:id="93"/>
    <w:bookmarkEnd w:id="94"/>
    <w:bookmarkStart w:id="95" w:name="model-comparison"/>
    <w:p>
      <w:pPr>
        <w:pStyle w:val="Heading2"/>
      </w:pPr>
      <w:r>
        <w:t xml:space="preserve">Model comparison</w:t>
      </w:r>
    </w:p>
    <w:p>
      <w:pPr>
        <w:pStyle w:val="FirstParagraph"/>
      </w:pPr>
      <w:r>
        <w:t xml:space="preserve">To evaluate whether separating</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improves on the standard</w:t>
      </w:r>
      <w:r>
        <w:t xml:space="preserve"> </w:t>
      </w:r>
      <w:r>
        <w:rPr>
          <w:rStyle w:val="VerbatimChar"/>
        </w:rPr>
        <w:t xml:space="preserve">cs</w:t>
      </w:r>
      <w:r>
        <w:t xml:space="preserve"> </w:t>
      </w:r>
      <w:r>
        <w:t xml:space="preserve">version, we compared the two using bridge sampling</w:t>
      </w:r>
      <w:r>
        <w:t xml:space="preserve"> </w:t>
      </w:r>
      <w:r>
        <w:t xml:space="preserve">(</w:t>
      </w:r>
      <w:hyperlink w:anchor="ref-gronau2017bridge">
        <w:r>
          <w:rPr>
            <w:rStyle w:val="Hyperlink"/>
          </w:rPr>
          <w:t xml:space="preserve">Gronau et al., 2017</w:t>
        </w:r>
      </w:hyperlink>
      <w:r>
        <w:t xml:space="preserve">)</w:t>
      </w:r>
      <w:r>
        <w:t xml:space="preserve">:</w:t>
      </w:r>
    </w:p>
    <w:p>
      <w:pPr>
        <w:pStyle w:val="SourceCode"/>
      </w:pPr>
      <w:r>
        <w:rPr>
          <w:rStyle w:val="NormalTok"/>
        </w:rPr>
        <w:t xml:space="preserve">bridge_cs     </w:t>
      </w:r>
      <w:r>
        <w:rPr>
          <w:rStyle w:val="OtherTok"/>
        </w:rPr>
        <w:t xml:space="preserve">&lt;-</w:t>
      </w:r>
      <w:r>
        <w:rPr>
          <w:rStyle w:val="NormalTok"/>
        </w:rPr>
        <w:t xml:space="preserve"> </w:t>
      </w:r>
      <w:r>
        <w:rPr>
          <w:rStyle w:val="FunctionTok"/>
        </w:rPr>
        <w:t xml:space="preserve">bridge_sampler</w:t>
      </w:r>
      <w:r>
        <w:rPr>
          <w:rStyle w:val="NormalTok"/>
        </w:rPr>
        <w:t xml:space="preserve">(fit_m3_cs,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bridge_custom </w:t>
      </w:r>
      <w:r>
        <w:rPr>
          <w:rStyle w:val="OtherTok"/>
        </w:rPr>
        <w:t xml:space="preserve">&lt;-</w:t>
      </w:r>
      <w:r>
        <w:rPr>
          <w:rStyle w:val="NormalTok"/>
        </w:rPr>
        <w:t xml:space="preserve"> </w:t>
      </w:r>
      <w:r>
        <w:rPr>
          <w:rStyle w:val="FunctionTok"/>
        </w:rPr>
        <w:t xml:space="preserve">bridge_sampler</w:t>
      </w:r>
      <w:r>
        <w:rPr>
          <w:rStyle w:val="NormalTok"/>
        </w:rPr>
        <w:t xml:space="preserve">(fit_m3_custom,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(bridge_custom, bridge_cs)</w:t>
      </w:r>
    </w:p>
    <w:p>
      <w:pPr>
        <w:pStyle w:val="FirstParagraph"/>
      </w:pPr>
      <w:r>
        <w:t xml:space="preserve">The Bayes factor strongly favored the custom version (median BF</w:t>
      </w:r>
      <m:oMath>
        <m:sSub>
          <m:e>
            <m:r>
              <m:t>​</m:t>
            </m:r>
          </m:e>
          <m:sub>
            <m:r>
              <m:t>10</m:t>
            </m:r>
          </m:sub>
        </m:sSub>
      </m:oMath>
      <w:r>
        <w:t xml:space="preserve"> </w:t>
      </w:r>
      <w:r>
        <w:t xml:space="preserve">=</w:t>
      </w:r>
      <w:r>
        <w:t xml:space="preserve"> </w:t>
      </w:r>
      <m:oMath>
        <m:r>
          <m:t>2.1</m:t>
        </m:r>
        <m:r>
          <m:rPr>
            <m:sty m:val="p"/>
          </m:rPr>
          <m:t>×</m:t>
        </m:r>
        <m:sSup>
          <m:e>
            <m:r>
              <m:t>10</m:t>
            </m:r>
          </m:e>
          <m:sup>
            <m:r>
              <m:t>17</m:t>
            </m:r>
          </m:sup>
        </m:sSup>
      </m:oMath>
      <w:r>
        <w:t xml:space="preserve"> </w:t>
      </w:r>
      <w:r>
        <w:t xml:space="preserve">across 10 bridge sampling repetitions), indicating that the data warrant separate ratio parameters rather than a single</w:t>
      </w:r>
      <w:r>
        <w:t xml:space="preserve"> </w:t>
      </w:r>
      <m:oMath>
        <m:r>
          <m:t>f</m:t>
        </m:r>
      </m:oMath>
      <w:r>
        <w:t xml:space="preserve">.</w:t>
      </w:r>
    </w:p>
    <w:bookmarkEnd w:id="95"/>
    <w:bookmarkStart w:id="96" w:name="parameter-estimates-1"/>
    <w:p>
      <w:pPr>
        <w:pStyle w:val="Heading2"/>
      </w:pPr>
      <w:r>
        <w:t xml:space="preserve">Parameter estimates</w:t>
      </w:r>
    </w:p>
    <w:p>
      <w:pPr>
        <w:pStyle w:val="FirstParagraph"/>
      </w:pPr>
      <w:hyperlink w:anchor="fig-t3-param-estimates">
        <w:r>
          <w:rPr>
            <w:rStyle w:val="Hyperlink"/>
          </w:rPr>
          <w:t xml:space="preserve">Figure 8</w:t>
        </w:r>
      </w:hyperlink>
      <w:r>
        <w:t xml:space="preserve"> </w:t>
      </w:r>
      <w:r>
        <w:t xml:space="preserve">shows the posterior estimates. Item memory (</w:t>
      </w:r>
      <m:oMath>
        <m:r>
          <m:t>a</m:t>
        </m:r>
      </m:oMath>
      <w:r>
        <w:t xml:space="preserve">) and context binding (</w:t>
      </w:r>
      <m:oMath>
        <m:r>
          <m:t>c</m:t>
        </m:r>
      </m:oMath>
      <w:r>
        <w:t xml:space="preserve">) are similar to the</w:t>
      </w:r>
      <w:r>
        <w:t xml:space="preserve"> </w:t>
      </w:r>
      <w:r>
        <w:rPr>
          <w:rStyle w:val="VerbatimChar"/>
        </w:rPr>
        <w:t xml:space="preserve">cs</w:t>
      </w:r>
      <w:r>
        <w:t xml:space="preserve"> </w:t>
      </w:r>
      <w:r>
        <w:t xml:space="preserve">estimates from Tutorial 2. The ratio parameters reveal an asymmetry: on the probability scale,</w:t>
      </w:r>
      <w:r>
        <w:t xml:space="preserve"> </w:t>
      </w:r>
      <m:oMath>
        <m:sSub>
          <m:e>
            <m:r>
              <m:t>r</m:t>
            </m:r>
          </m:e>
          <m:sub>
            <m:r>
              <m:t>a</m:t>
            </m:r>
          </m:sub>
        </m:sSub>
      </m:oMath>
      <w:r>
        <w:t xml:space="preserve"> </w:t>
      </w:r>
      <w:r>
        <w:t xml:space="preserve">is high in both conditions (pre-cue:</w:t>
      </w:r>
      <w:r>
        <w:t xml:space="preserve"> </w:t>
      </w:r>
      <m:oMath>
        <m:r>
          <m:t>M</m:t>
        </m:r>
      </m:oMath>
      <w:r>
        <w:t xml:space="preserve"> </w:t>
      </w:r>
      <w:r>
        <w:t xml:space="preserve">= 0.84, 95% HDI [0.78, 0.89]; retro-cue:</w:t>
      </w:r>
      <w:r>
        <w:t xml:space="preserve"> </w:t>
      </w:r>
      <m:oMath>
        <m:r>
          <m:t>M</m:t>
        </m:r>
      </m:oMath>
      <w:r>
        <w:t xml:space="preserve"> </w:t>
      </w:r>
      <w:r>
        <w:t xml:space="preserve">= 0.81, 95% HDI [0.74, 0.87]), meaning item memory transfers almost fully to distractors.</w:t>
      </w:r>
      <w:r>
        <w:t xml:space="preserve"> </w:t>
      </w:r>
      <m:oMath>
        <m:sSub>
          <m:e>
            <m:r>
              <m:t>r</m:t>
            </m:r>
          </m:e>
          <m:sub>
            <m:r>
              <m:t>c</m:t>
            </m:r>
          </m:sub>
        </m:sSub>
      </m:oMath>
      <w:r>
        <w:t xml:space="preserve"> </w:t>
      </w:r>
      <w:r>
        <w:t xml:space="preserve">is substantially lower (pre-cue:</w:t>
      </w:r>
      <w:r>
        <w:t xml:space="preserve"> </w:t>
      </w:r>
      <m:oMath>
        <m:r>
          <m:t>M</m:t>
        </m:r>
      </m:oMath>
      <w:r>
        <w:t xml:space="preserve"> </w:t>
      </w:r>
      <w:r>
        <w:t xml:space="preserve">= 0.35, 95% HDI [0.26, 0.45]; retro-cue:</w:t>
      </w:r>
      <w:r>
        <w:t xml:space="preserve"> </w:t>
      </w:r>
      <m:oMath>
        <m:r>
          <m:t>M</m:t>
        </m:r>
      </m:oMath>
      <w:r>
        <w:t xml:space="preserve"> </w:t>
      </w:r>
      <w:r>
        <w:t xml:space="preserve">= 0.32, 95% HDI [0.22, 0.42]), meaning context binding is more attenuated for distractors. This pattern matches the published findings of</w:t>
      </w:r>
      <w:r>
        <w:t xml:space="preserve"> </w:t>
      </w:r>
      <w:r>
        <w:t xml:space="preserve">Li et al. (</w:t>
      </w:r>
      <w:hyperlink w:anchor="ref-li2026filtering">
        <w:r>
          <w:rPr>
            <w:rStyle w:val="Hyperlink"/>
          </w:rPr>
          <w:t xml:space="preserve">2026</w:t>
        </w:r>
      </w:hyperlink>
      <w:r>
        <w:t xml:space="preserve">)</w:t>
      </w:r>
      <w:r>
        <w:t xml:space="preserve">.</w:t>
      </w:r>
    </w:p>
    <w:bookmarkEnd w:id="96"/>
    <w:bookmarkStart w:id="101" w:name="hypothesis-tests-1"/>
    <w:p>
      <w:pPr>
        <w:pStyle w:val="Heading2"/>
      </w:pPr>
      <w:r>
        <w:t xml:space="preserve">Hypothesis tests</w:t>
      </w:r>
    </w:p>
    <w:p>
      <w:pPr>
        <w:pStyle w:val="FirstParagraph"/>
      </w:pPr>
      <w:r>
        <w:t xml:space="preserve">As in Tutorial 2, we can test parameter differences formally. Within both the pre-cue (BF</w:t>
      </w:r>
      <m:oMath>
        <m:sSub>
          <m:e>
            <m:r>
              <m:t>​</m:t>
            </m:r>
          </m:e>
          <m:sub>
            <m:r>
              <m:t>10</m:t>
            </m:r>
          </m:sub>
        </m:sSub>
      </m:oMath>
      <w:r>
        <w:t xml:space="preserve"> </w:t>
      </w:r>
      <w:r>
        <w:t xml:space="preserve">= &gt; 10,000) and retro-cue condition (BF</w:t>
      </w:r>
      <m:oMath>
        <m:sSub>
          <m:e>
            <m:r>
              <m:t>​</m:t>
            </m:r>
          </m:e>
          <m:sub>
            <m:r>
              <m:t>10</m:t>
            </m:r>
          </m:sub>
        </m:sSub>
      </m:oMath>
      <w:r>
        <w:t xml:space="preserve"> </w:t>
      </w:r>
      <w:r>
        <w:t xml:space="preserve">= &gt; 10,000), there is strong evidence that</w:t>
      </w:r>
      <w:r>
        <w:t xml:space="preserve"> </w:t>
      </w:r>
      <m:oMath>
        <m:sSub>
          <m:e>
            <m:r>
              <m:t>r</m:t>
            </m:r>
          </m:e>
          <m:sub>
            <m:r>
              <m:t>a</m:t>
            </m:r>
          </m:sub>
        </m:sSub>
        <m:r>
          <m:rPr>
            <m:sty m:val="p"/>
          </m:rPr>
          <m:t>&gt;</m:t>
        </m:r>
        <m:sSub>
          <m:e>
            <m:r>
              <m:t>r</m:t>
            </m:r>
          </m:e>
          <m:sub>
            <m:r>
              <m:t>c</m:t>
            </m:r>
          </m:sub>
        </m:sSub>
      </m:oMath>
      <w:r>
        <w:t xml:space="preserve">. Across conditions,</w:t>
      </w:r>
      <w:r>
        <w:t xml:space="preserve"> </w:t>
      </w:r>
      <m:oMath>
        <m:sSub>
          <m:e>
            <m:r>
              <m:t>r</m:t>
            </m:r>
          </m:e>
          <m:sub>
            <m:r>
              <m:t>a</m:t>
            </m:r>
          </m:sub>
        </m:sSub>
      </m:oMath>
      <w:r>
        <w:t xml:space="preserve"> </w:t>
      </w:r>
      <w:r>
        <w:t xml:space="preserve">does not differ between pre-cue and retro-cue (BF</w:t>
      </w:r>
      <m:oMath>
        <m:sSub>
          <m:e>
            <m:r>
              <m:t>​</m:t>
            </m:r>
          </m:e>
          <m:sub>
            <m:r>
              <m:t>01</m:t>
            </m:r>
          </m:sub>
        </m:sSub>
      </m:oMath>
      <w:r>
        <w:t xml:space="preserve"> </w:t>
      </w:r>
      <w:r>
        <w:t xml:space="preserve">= 6.13), and the same holds for</w:t>
      </w:r>
      <w:r>
        <w:t xml:space="preserve"> </w:t>
      </w:r>
      <m:oMath>
        <m:sSub>
          <m:e>
            <m:r>
              <m:t>r</m:t>
            </m:r>
          </m:e>
          <m:sub>
            <m:r>
              <m:t>c</m:t>
            </m:r>
          </m:sub>
        </m:sSub>
      </m:oMath>
      <w:r>
        <w:t xml:space="preserve"> </w:t>
      </w:r>
      <w:r>
        <w:t xml:space="preserve">(BF</w:t>
      </w:r>
      <m:oMath>
        <m:sSub>
          <m:e>
            <m:r>
              <m:t>​</m:t>
            </m:r>
          </m:e>
          <m:sub>
            <m:r>
              <m:t>01</m:t>
            </m:r>
          </m:sub>
        </m:sSub>
      </m:oMath>
      <w:r>
        <w:t xml:space="preserve"> </w:t>
      </w:r>
      <w:r>
        <w:t xml:space="preserve">= 7.45). Item memory transfers to distractors regardless of cue timing, while context binding is selectively attenuated, consistent with the view that filtering operates on binding rather than item activation.</w:t>
      </w:r>
    </w:p>
    <w:bookmarkStart w:id="100" w:name="fig-t3-param-estimates"/>
    <w:p>
      <w:pPr>
        <w:pStyle w:val="FigureTitle"/>
      </w:pPr>
      <w:r>
        <w:t xml:space="preserve">Figure 8</w:t>
      </w:r>
    </w:p>
    <w:p>
      <w:pPr>
        <w:pStyle w:val="Caption"/>
      </w:pPr>
      <w:r>
        <w:t xml:space="preserve">Posterior parameter estimates for the custom filtering</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panels show the ratio parameters</w:t>
      </w:r>
      <w:r>
        <w:t xml:space="preserve"> </w:t>
      </w:r>
      <m:oMath>
        <m:sSub>
          <m:e>
            <m:r>
              <m:t>r</m:t>
            </m:r>
          </m:e>
          <m:sub>
            <m:r>
              <m:t>a</m:t>
            </m:r>
          </m:sub>
        </m:sSub>
      </m:oMath>
      <w:r>
        <w:t xml:space="preserve"> </w:t>
      </w:r>
      <w:r>
        <w:t xml:space="preserve">(item) and</w:t>
      </w:r>
      <w:r>
        <w:t xml:space="preserve"> </w:t>
      </w:r>
      <m:oMath>
        <m:sSub>
          <m:e>
            <m:r>
              <m:t>r</m:t>
            </m:r>
          </m:e>
          <m:sub>
            <m:r>
              <m:t>c</m:t>
            </m:r>
          </m:sub>
        </m:sSub>
      </m:oMath>
      <w:r>
        <w:t xml:space="preserve"> </w:t>
      </w:r>
      <w:r>
        <w:t xml:space="preserve">(binding) for pre-cue and retro-cue conditions, transformed to the probability scale.</w:t>
      </w:r>
    </w:p>
    <w:p>
      <w:pPr>
        <w:pStyle w:val="FigureWithoutNote"/>
      </w:pPr>
      <w:r>
        <w:drawing>
          <wp:inline>
            <wp:extent cx="5943600" cy="3657600"/>
            <wp:effectExtent b="0" l="0" r="0" t="0"/>
            <wp:docPr descr="" title="" id="98" name="Picture"/>
            <a:graphic>
              <a:graphicData uri="http://schemas.openxmlformats.org/drawingml/2006/picture">
                <pic:pic>
                  <pic:nvPicPr>
                    <pic:cNvPr descr="../figures/tutorial3_param_estimates.pdf" id="99" name="Picture"/>
                    <pic:cNvPicPr>
                      <a:picLocks noChangeArrowheads="1" noChangeAspect="1"/>
                    </pic:cNvPicPr>
                  </pic:nvPicPr>
                  <pic:blipFill>
                    <a:blip r:embed="rId97"/>
                    <a:stretch>
                      <a:fillRect/>
                    </a:stretch>
                  </pic:blipFill>
                  <pic:spPr bwMode="auto">
                    <a:xfrm>
                      <a:off x="0" y="0"/>
                      <a:ext cx="5943600" cy="3657600"/>
                    </a:xfrm>
                    <a:prstGeom prst="rect">
                      <a:avLst/>
                    </a:prstGeom>
                    <a:noFill/>
                    <a:ln w="9525">
                      <a:noFill/>
                      <a:headEnd/>
                      <a:tailEnd/>
                    </a:ln>
                  </pic:spPr>
                </pic:pic>
              </a:graphicData>
            </a:graphic>
          </wp:inline>
        </w:drawing>
      </w:r>
    </w:p>
    <w:bookmarkEnd w:id="100"/>
    <w:bookmarkEnd w:id="101"/>
    <w:bookmarkStart w:id="102" w:name="X075ad64b0db91a3cd0eec1300001e99e712de29"/>
    <w:p>
      <w:pPr>
        <w:pStyle w:val="Heading2"/>
      </w:pPr>
      <w:r>
        <w:t xml:space="preserve">Going further: more complex custom versions</w:t>
      </w:r>
    </w:p>
    <w:p>
      <w:pPr>
        <w:pStyle w:val="FirstParagraph"/>
      </w:pPr>
      <w:r>
        <w:t xml:space="preserve">The filtering example modifies only the distractor categories, keeping the same five-category structure as the</w:t>
      </w:r>
      <w:r>
        <w:t xml:space="preserve"> </w:t>
      </w:r>
      <w:r>
        <w:rPr>
          <w:rStyle w:val="VerbatimChar"/>
        </w:rPr>
        <w:t xml:space="preserve">cs</w:t>
      </w:r>
      <w:r>
        <w:t xml:space="preserve"> </w:t>
      </w:r>
      <w:r>
        <w:t xml:space="preserve">version. Custom specifications can go much further: entirely new response categories, nonlinear activation formulas with design variables, and additional parameters with different link functions. The Appendix presents a more complex example — a memory updating task from</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with five estimated parameters and experimentally manipulated timing variables — to illustrate the full range of custom specifications. The accompanying scripts (</w:t>
      </w:r>
      <w:r>
        <w:rPr>
          <w:rStyle w:val="VerbatimChar"/>
        </w:rPr>
        <w:t xml:space="preserve">scripts/tutorial3_parameter_recovery_simple.R</w:t>
      </w:r>
      <w:r>
        <w:t xml:space="preserve"> </w:t>
      </w:r>
      <w:r>
        <w:t xml:space="preserve">and</w:t>
      </w:r>
      <w:r>
        <w:t xml:space="preserve"> </w:t>
      </w:r>
      <w:r>
        <w:rPr>
          <w:rStyle w:val="VerbatimChar"/>
        </w:rPr>
        <w:t xml:space="preserve">scripts/tutorial3_parameter_recovery.R</w:t>
      </w:r>
      <w:r>
        <w:t xml:space="preserve">) provide the complete code for this advanced example.</w:t>
      </w:r>
    </w:p>
    <w:bookmarkEnd w:id="102"/>
    <w:bookmarkEnd w:id="103"/>
    <w:bookmarkStart w:id="120" w:name="tutorial-4-parameter-recovery"/>
    <w:p>
      <w:pPr>
        <w:pStyle w:val="Heading1"/>
      </w:pPr>
      <w:r>
        <w:t xml:space="preserve">Tutorial 4: Parameter Recovery</w:t>
      </w:r>
    </w:p>
    <w:p>
      <w:pPr>
        <w:pStyle w:val="FirstParagraph"/>
      </w:pPr>
      <w:r>
        <w:t xml:space="preserve">Before applying a custom</w:t>
      </w:r>
      <w:r>
        <w:t xml:space="preserve"> </w:t>
      </w:r>
      <m:oMath>
        <m:sSup>
          <m:e>
            <m:r>
              <m:t>M</m:t>
            </m:r>
          </m:e>
          <m:sup>
            <m:r>
              <m:t>3</m:t>
            </m:r>
          </m:sup>
        </m:sSup>
      </m:oMath>
      <w:r>
        <w:t xml:space="preserve"> </w:t>
      </w:r>
      <w:r>
        <w:t xml:space="preserve">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w:t>
      </w:r>
      <w:r>
        <w:t xml:space="preserve"> </w:t>
      </w:r>
      <w:r>
        <w:rPr>
          <w:rStyle w:val="VerbatimChar"/>
        </w:rPr>
        <w:t xml:space="preserve">scripts/tutorial4_parameter_recovery.R</w:t>
      </w:r>
      <w:r>
        <w:t xml:space="preserve">.</w:t>
      </w:r>
    </w:p>
    <w:bookmarkStart w:id="104" w:name="when-to-assess-parameter-recovery"/>
    <w:p>
      <w:pPr>
        <w:pStyle w:val="Heading2"/>
      </w:pPr>
      <w:r>
        <w:t xml:space="preserve">When to assess parameter recovery</w:t>
      </w:r>
    </w:p>
    <w:p>
      <w:pPr>
        <w:pStyle w:val="FirstParagraph"/>
      </w:pPr>
      <w:r>
        <w:t xml:space="preserve">Parameter recovery is not mandatory for every analysis, but it is informative as part of a principled Bayesian workflow</w:t>
      </w:r>
      <w:r>
        <w:t xml:space="preserve"> </w:t>
      </w:r>
      <w:r>
        <w:t xml:space="preserve">(</w:t>
      </w:r>
      <w:hyperlink w:anchor="ref-schad2021toward">
        <w:r>
          <w:rPr>
            <w:rStyle w:val="Hyperlink"/>
          </w:rPr>
          <w:t xml:space="preserve">Schad et al., 2021</w:t>
        </w:r>
      </w:hyperlink>
      <w:r>
        <w:t xml:space="preserve">;</w:t>
      </w:r>
      <w:r>
        <w:t xml:space="preserve"> </w:t>
      </w:r>
      <w:hyperlink w:anchor="ref-wilson2019ten">
        <w:r>
          <w:rPr>
            <w:rStyle w:val="Hyperlink"/>
          </w:rPr>
          <w:t xml:space="preserve">Wilson &amp; Collins, 2019</w:t>
        </w:r>
      </w:hyperlink>
      <w:r>
        <w:t xml:space="preserve">)</w:t>
      </w:r>
      <w:r>
        <w:t xml:space="preserve"> </w:t>
      </w:r>
      <w:r>
        <w:t xml:space="preserve">— particularly when using a custom specification for the first time, when the design has unusual trial counts, or when individual-level estimates will be used for correlations. Even a single recovery run is practically feasible (one to two hours of computation) and reveals how well the design can distinguish the parameters of interest</w:t>
      </w:r>
      <w:r>
        <w:t xml:space="preserve"> </w:t>
      </w:r>
      <w:r>
        <w:t xml:space="preserve">(for a systematic treatment, see</w:t>
      </w:r>
      <w:r>
        <w:t xml:space="preserve"> </w:t>
      </w:r>
      <w:hyperlink w:anchor="ref-goettmann2025recovery">
        <w:r>
          <w:rPr>
            <w:rStyle w:val="Hyperlink"/>
          </w:rPr>
          <w:t xml:space="preserve">Göttmann et al., 2025</w:t>
        </w:r>
      </w:hyperlink>
      <w:r>
        <w:t xml:space="preserve">)</w:t>
      </w:r>
      <w:r>
        <w:t xml:space="preserve">.</w:t>
      </w:r>
    </w:p>
    <w:bookmarkEnd w:id="104"/>
    <w:bookmarkStart w:id="107" w:name="simulation-workflow"/>
    <w:p>
      <w:pPr>
        <w:pStyle w:val="Heading2"/>
      </w:pPr>
      <w:r>
        <w:t xml:space="preserve">Simulation workflow</w:t>
      </w:r>
    </w:p>
    <w:p>
      <w:pPr>
        <w:pStyle w:val="FirstParagraph"/>
      </w:pPr>
      <w:r>
        <w:t xml:space="preserve">We simulate data from the custom filtering version (Tutorial 3) with known parameter values and then fit the same specification to the simulated data. For each of the four parameters (</w:t>
      </w:r>
      <m:oMath>
        <m:r>
          <m:t>a</m:t>
        </m:r>
      </m:oMath>
      <w:r>
        <w:t xml:space="preserve">,</w:t>
      </w:r>
      <w:r>
        <w:t xml:space="preserve"> </w:t>
      </w:r>
      <m:oMath>
        <m:r>
          <m:t>c</m:t>
        </m:r>
      </m:oMath>
      <w:r>
        <w:t xml:space="preserve">,</w:t>
      </w:r>
      <w:r>
        <w:t xml:space="preserve"> </w:t>
      </w:r>
      <m:oMath>
        <m:sSub>
          <m:e>
            <m:r>
              <m:t>r</m:t>
            </m:r>
          </m:e>
          <m:sub>
            <m:r>
              <m:t>a</m:t>
            </m:r>
          </m:sub>
        </m:sSub>
      </m:oMath>
      <w:r>
        <w:t xml:space="preserve">,</w:t>
      </w:r>
      <w:r>
        <w:t xml:space="preserve"> </w:t>
      </w:r>
      <m:oMath>
        <m:sSub>
          <m:e>
            <m:r>
              <m:t>r</m:t>
            </m:r>
          </m:e>
          <m:sub>
            <m:r>
              <m:t>c</m:t>
            </m:r>
          </m:sub>
        </m:sSub>
      </m:oMath>
      <w:r>
        <w:t xml:space="preserve">), we specify group-level means and between-person standard deviations on the link scale.</w:t>
      </w:r>
      <w:r>
        <w:t xml:space="preserve"> </w:t>
      </w:r>
      <w:hyperlink w:anchor="tbl-gen-pars">
        <w:r>
          <w:rPr>
            <w:rStyle w:val="Hyperlink"/>
          </w:rPr>
          <w:t xml:space="preserve">Table 1</w:t>
        </w:r>
      </w:hyperlink>
      <w:r>
        <w:t xml:space="preserve"> </w:t>
      </w:r>
      <w:r>
        <w:t xml:space="preserve">lists the generating values, chosen to approximate the empirical estimates from</w:t>
      </w:r>
      <w:r>
        <w:t xml:space="preserve"> </w:t>
      </w:r>
      <w:r>
        <w:t xml:space="preserve">Li et al. (</w:t>
      </w:r>
      <w:hyperlink w:anchor="ref-li2026filtering">
        <w:r>
          <w:rPr>
            <w:rStyle w:val="Hyperlink"/>
          </w:rPr>
          <w:t xml:space="preserve">2026</w:t>
        </w:r>
      </w:hyperlink>
      <w:r>
        <w:t xml:space="preserve">)</w:t>
      </w:r>
      <w:r>
        <w:t xml:space="preserve">.</w:t>
      </w:r>
    </w:p>
    <w:bookmarkStart w:id="106" w:name="tbl-gen-pars"/>
    <w:p>
      <w:pPr>
        <w:pStyle w:val="FigureTitle"/>
      </w:pPr>
      <w:r>
        <w:t xml:space="preserve">Table 1</w:t>
      </w:r>
    </w:p>
    <w:p>
      <w:pPr>
        <w:pStyle w:val="Caption"/>
      </w:pPr>
      <w:r>
        <w:t xml:space="preserve">Generating parameter values for the recovery simulation. All values are on the link scale.</w:t>
      </w:r>
    </w:p>
    <w:bookmarkStart w:id="105"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a</m:t>
              </m:r>
            </m:oMath>
          </w:p>
        </w:tc>
        <w:tc>
          <w:tcPr/>
          <w:p>
            <w:pPr>
              <w:pStyle w:val="Compact"/>
            </w:pPr>
            <w:r>
              <w:t xml:space="preserve">identity</w:t>
            </w:r>
          </w:p>
        </w:tc>
        <w:tc>
          <w:tcPr/>
          <w:p>
            <w:pPr>
              <w:pStyle w:val="Compact"/>
            </w:pPr>
            <w:r>
              <w:t xml:space="preserve">1.5</w:t>
            </w:r>
          </w:p>
        </w:tc>
        <w:tc>
          <w:tcPr/>
          <w:p>
            <w:pPr>
              <w:pStyle w:val="Compact"/>
            </w:pPr>
            <w:r>
              <w:t xml:space="preserve">0.50</w:t>
            </w:r>
          </w:p>
        </w:tc>
        <w:tc>
          <w:tcPr/>
          <w:p>
            <w:pPr>
              <w:pStyle w:val="Compact"/>
            </w:pPr>
            <w:r>
              <w:t xml:space="preserve">0.50 – 2.50</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1.00 – 3.00</w:t>
            </w:r>
          </w:p>
        </w:tc>
      </w:tr>
      <w:tr>
        <w:tc>
          <w:tcPr/>
          <w:p>
            <w:pPr>
              <w:pStyle w:val="Compact"/>
            </w:pPr>
            <m:oMath>
              <m:sSub>
                <m:e>
                  <m:r>
                    <m:t>r</m:t>
                  </m:r>
                </m:e>
                <m:sub>
                  <m:r>
                    <m:t>a</m:t>
                  </m:r>
                </m:sub>
              </m:sSub>
            </m:oMath>
          </w:p>
        </w:tc>
        <w:tc>
          <w:tcPr/>
          <w:p>
            <w:pPr>
              <w:pStyle w:val="Compact"/>
            </w:pPr>
            <w:r>
              <w:t xml:space="preserve">logit</w:t>
            </w:r>
          </w:p>
        </w:tc>
        <w:tc>
          <w:tcPr/>
          <w:p>
            <w:pPr>
              <w:pStyle w:val="Compact"/>
            </w:pPr>
            <w:r>
              <w:t xml:space="preserve">0.85</w:t>
            </w:r>
          </w:p>
        </w:tc>
        <w:tc>
          <w:tcPr/>
          <w:p>
            <w:pPr>
              <w:pStyle w:val="Compact"/>
            </w:pPr>
            <w:r>
              <w:t xml:space="preserve">0.40</w:t>
            </w:r>
          </w:p>
        </w:tc>
        <w:tc>
          <w:tcPr/>
          <w:p>
            <w:pPr>
              <w:pStyle w:val="Compact"/>
            </w:pPr>
            <w:r>
              <w:t xml:space="preserve">0.51 – 0.84</w:t>
            </w:r>
          </w:p>
        </w:tc>
      </w:tr>
      <w:tr>
        <w:tc>
          <w:tcPr/>
          <w:p>
            <w:pPr>
              <w:pStyle w:val="Compact"/>
            </w:pPr>
            <m:oMath>
              <m:sSub>
                <m:e>
                  <m:r>
                    <m:t>r</m:t>
                  </m:r>
                </m:e>
                <m:sub>
                  <m:r>
                    <m:t>c</m:t>
                  </m:r>
                </m:sub>
              </m:sSub>
            </m:oMath>
          </w:p>
        </w:tc>
        <w:tc>
          <w:tcPr/>
          <w:p>
            <w:pPr>
              <w:pStyle w:val="Compact"/>
            </w:pPr>
            <w:r>
              <w:t xml:space="preserve">logit</w:t>
            </w:r>
          </w:p>
        </w:tc>
        <w:tc>
          <w:tcPr/>
          <w:p>
            <w:pPr>
              <w:pStyle w:val="Compact"/>
            </w:pPr>
            <w:r>
              <w:t xml:space="preserve">0.25</w:t>
            </w:r>
          </w:p>
        </w:tc>
        <w:tc>
          <w:tcPr/>
          <w:p>
            <w:pPr>
              <w:pStyle w:val="Compact"/>
            </w:pPr>
            <w:r>
              <w:t xml:space="preserve">0.40</w:t>
            </w:r>
          </w:p>
        </w:tc>
        <w:tc>
          <w:tcPr/>
          <w:p>
            <w:pPr>
              <w:pStyle w:val="Compact"/>
            </w:pPr>
            <w:r>
              <w:t xml:space="preserve">0.37 – 0.74</w:t>
            </w:r>
          </w:p>
        </w:tc>
      </w:tr>
    </w:tbl>
    <w:bookmarkEnd w:id="105"/>
    <w:bookmarkEnd w:id="106"/>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60 trials per participant. The</w:t>
      </w:r>
      <w:r>
        <w:t xml:space="preserve"> </w:t>
      </w:r>
      <w:r>
        <w:rPr>
          <w:rStyle w:val="VerbatimChar"/>
        </w:rPr>
        <w:t xml:space="preserve">bmm</w:t>
      </w:r>
      <w:r>
        <w:t xml:space="preserve"> </w:t>
      </w:r>
      <w:r>
        <w:t xml:space="preserve">package provides</w:t>
      </w:r>
      <w:r>
        <w:t xml:space="preserve"> </w:t>
      </w:r>
      <w:r>
        <w:rPr>
          <w:rStyle w:val="VerbatimChar"/>
        </w:rPr>
        <w:t xml:space="preserve">rm3()</w:t>
      </w:r>
      <w:r>
        <w:t xml:space="preserve"> </w:t>
      </w:r>
      <w:r>
        <w:t xml:space="preserve">as the data-generating counterpart to the fitting workflow:</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1.5</w:t>
      </w:r>
      <w:r>
        <w:rPr>
          <w:rStyle w:val="NormalTok"/>
        </w:rPr>
        <w:t xml:space="preserve">, </w:t>
      </w:r>
      <w:r>
        <w:rPr>
          <w:rStyle w:val="AttributeTok"/>
        </w:rPr>
        <w:t xml:space="preserve">c =</w:t>
      </w:r>
      <w:r>
        <w:rPr>
          <w:rStyle w:val="NormalTok"/>
        </w:rPr>
        <w:t xml:space="preserve"> </w:t>
      </w:r>
      <w:r>
        <w:rPr>
          <w:rStyle w:val="FloatTok"/>
        </w:rPr>
        <w:t xml:space="preserve">2.0</w:t>
      </w:r>
      <w:r>
        <w:rPr>
          <w:rStyle w:val="NormalTok"/>
        </w:rPr>
        <w:t xml:space="preserve">, </w:t>
      </w:r>
      <w:r>
        <w:rPr>
          <w:rStyle w:val="AttributeTok"/>
        </w:rPr>
        <w:t xml:space="preserve">ra =</w:t>
      </w:r>
      <w:r>
        <w:rPr>
          <w:rStyle w:val="NormalTok"/>
        </w:rPr>
        <w:t xml:space="preserve"> </w:t>
      </w:r>
      <w:r>
        <w:rPr>
          <w:rStyle w:val="FloatTok"/>
        </w:rPr>
        <w:t xml:space="preserve">0.70</w:t>
      </w:r>
      <w:r>
        <w:rPr>
          <w:rStyle w:val="NormalTok"/>
        </w:rPr>
        <w:t xml:space="preserve">, </w:t>
      </w:r>
      <w:r>
        <w:rPr>
          <w:rStyle w:val="AttributeTok"/>
        </w:rPr>
        <w:t xml:space="preserve">rc =</w:t>
      </w:r>
      <w:r>
        <w:rPr>
          <w:rStyle w:val="NormalTok"/>
        </w:rPr>
        <w:t xml:space="preserve"> </w:t>
      </w:r>
      <w:r>
        <w:rPr>
          <w:rStyle w:val="FloatTok"/>
        </w:rPr>
        <w:t xml:space="preserve">0.56</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producing 50 rows. The companion script contains the complete generation and fitting code.</w:t>
      </w:r>
    </w:p>
    <w:bookmarkEnd w:id="107"/>
    <w:bookmarkStart w:id="118" w:name="recovery-evaluation"/>
    <w:p>
      <w:pPr>
        <w:pStyle w:val="Heading2"/>
      </w:pPr>
      <w:r>
        <w:t xml:space="preserve">Recovery evaluation</w:t>
      </w:r>
    </w:p>
    <w:bookmarkStart w:id="112" w:name="group-level-recovery"/>
    <w:p>
      <w:pPr>
        <w:pStyle w:val="Heading3"/>
      </w:pPr>
      <w:r>
        <w:t xml:space="preserve">Group-level recovery</w:t>
      </w:r>
    </w:p>
    <w:p>
      <w:pPr>
        <w:pStyle w:val="FirstParagraph"/>
      </w:pPr>
      <w:hyperlink w:anchor="fig-t4-group-recovery">
        <w:r>
          <w:rPr>
            <w:rStyle w:val="Hyperlink"/>
          </w:rPr>
          <w:t xml:space="preserve">Figure 9</w:t>
        </w:r>
      </w:hyperlink>
      <w:r>
        <w:t xml:space="preserve"> </w:t>
      </w:r>
      <w:r>
        <w:t xml:space="preserve">shows the group-level results. All 4 of 4 population means fell within their 95% credible intervals, and 4 of 4 between-person SDs were recovered accurately. Bias was negligible for all parameters. The companion script extracts these values from</w:t>
      </w:r>
      <w:r>
        <w:t xml:space="preserve"> </w:t>
      </w:r>
      <w:r>
        <w:rPr>
          <w:rStyle w:val="VerbatimChar"/>
        </w:rPr>
        <w:t xml:space="preserve">fixef()</w:t>
      </w:r>
      <w:r>
        <w:t xml:space="preserve"> </w:t>
      </w:r>
      <w:r>
        <w:t xml:space="preserve">and</w:t>
      </w:r>
      <w:r>
        <w:t xml:space="preserve"> </w:t>
      </w:r>
      <w:r>
        <w:rPr>
          <w:rStyle w:val="VerbatimChar"/>
        </w:rPr>
        <w:t xml:space="preserve">brms::VarCorr()</w:t>
      </w:r>
      <w:r>
        <w:t xml:space="preserve">.</w:t>
      </w:r>
    </w:p>
    <w:bookmarkStart w:id="111" w:name="fig-t4-group-recovery"/>
    <w:p>
      <w:pPr>
        <w:pStyle w:val="FigureTitle"/>
      </w:pPr>
      <w:r>
        <w:t xml:space="preserve">Figure 9</w:t>
      </w:r>
    </w:p>
    <w:p>
      <w:pPr>
        <w:pStyle w:val="Caption"/>
      </w:pPr>
      <w:r>
        <w:t xml:space="preserve">Group-level parameter recovery. Points show recovered posterior medians; error bars show 95% credible intervals. The dashed line indicates perfect recovery.</w:t>
      </w:r>
    </w:p>
    <w:p>
      <w:pPr>
        <w:pStyle w:val="FigureWithoutNote"/>
      </w:pPr>
      <w:r>
        <w:drawing>
          <wp:inline>
            <wp:extent cx="4572000" cy="4572000"/>
            <wp:effectExtent b="0" l="0" r="0" t="0"/>
            <wp:docPr descr="" title="" id="109" name="Picture"/>
            <a:graphic>
              <a:graphicData uri="http://schemas.openxmlformats.org/drawingml/2006/picture">
                <pic:pic>
                  <pic:nvPicPr>
                    <pic:cNvPr descr="../figures/tutorial4_group_recovery.pdf" id="110" name="Picture"/>
                    <pic:cNvPicPr>
                      <a:picLocks noChangeArrowheads="1" noChangeAspect="1"/>
                    </pic:cNvPicPr>
                  </pic:nvPicPr>
                  <pic:blipFill>
                    <a:blip r:embed="rId108"/>
                    <a:stretch>
                      <a:fillRect/>
                    </a:stretch>
                  </pic:blipFill>
                  <pic:spPr bwMode="auto">
                    <a:xfrm>
                      <a:off x="0" y="0"/>
                      <a:ext cx="4572000" cy="4572000"/>
                    </a:xfrm>
                    <a:prstGeom prst="rect">
                      <a:avLst/>
                    </a:prstGeom>
                    <a:noFill/>
                    <a:ln w="9525">
                      <a:noFill/>
                      <a:headEnd/>
                      <a:tailEnd/>
                    </a:ln>
                  </pic:spPr>
                </pic:pic>
              </a:graphicData>
            </a:graphic>
          </wp:inline>
        </w:drawing>
      </w:r>
    </w:p>
    <w:bookmarkEnd w:id="111"/>
    <w:bookmarkEnd w:id="112"/>
    <w:bookmarkStart w:id="117" w:name="individual-level-recovery"/>
    <w:p>
      <w:pPr>
        <w:pStyle w:val="Heading3"/>
      </w:pPr>
      <w:r>
        <w:t xml:space="preserve">Individual-level recovery</w:t>
      </w:r>
    </w:p>
    <w:p>
      <w:pPr>
        <w:pStyle w:val="FirstParagraph"/>
      </w:pPr>
      <w:hyperlink w:anchor="fig-t4-indiv-scatter">
        <w:r>
          <w:rPr>
            <w:rStyle w:val="Hyperlink"/>
          </w:rPr>
          <w:t xml:space="preserve">Figure 10</w:t>
        </w:r>
      </w:hyperlink>
      <w:r>
        <w:t xml:space="preserve"> </w:t>
      </w:r>
      <w:r>
        <w:t xml:space="preserve">shows scatter plots of true versus recovered individual parameters (</w:t>
      </w:r>
      <m:oMath>
        <m:r>
          <m:t>N</m:t>
        </m:r>
        <m:r>
          <m:rPr>
            <m:sty m:val="p"/>
          </m:rPr>
          <m:t>=</m:t>
        </m:r>
        <m:r>
          <m:t>50</m:t>
        </m:r>
      </m:oMath>
      <w:r>
        <w:t xml:space="preserve">, 60 trials per participant). Context binding (</w:t>
      </w:r>
      <m:oMath>
        <m:r>
          <m:t>c</m:t>
        </m:r>
      </m:oMath>
      <w:r>
        <w:t xml:space="preserve">) was recovered well (</w:t>
      </w:r>
      <m:oMath>
        <m:r>
          <m:t>r</m:t>
        </m:r>
      </m:oMath>
      <w:r>
        <w:t xml:space="preserve"> </w:t>
      </w:r>
      <w:r>
        <w:t xml:space="preserve">= 0.92), and item memory (</w:t>
      </w:r>
      <m:oMath>
        <m:r>
          <m:t>a</m:t>
        </m:r>
      </m:oMath>
      <w:r>
        <w:t xml:space="preserve">) showed adequate recovery (</w:t>
      </w:r>
      <m:oMath>
        <m:r>
          <m:t>r</m:t>
        </m:r>
      </m:oMath>
      <w:r>
        <w:t xml:space="preserve"> </w:t>
      </w:r>
      <w:r>
        <w:t xml:space="preserve">= 0.72). The ratio parameters were harder to recover individually (</w:t>
      </w:r>
      <m:oMath>
        <m:sSub>
          <m:e>
            <m:r>
              <m:t>r</m:t>
            </m:r>
          </m:e>
          <m:sub>
            <m:r>
              <m:t>a</m:t>
            </m:r>
          </m:sub>
        </m:sSub>
      </m:oMath>
      <w:r>
        <w:t xml:space="preserve">:</w:t>
      </w:r>
      <w:r>
        <w:t xml:space="preserve"> </w:t>
      </w:r>
      <m:oMath>
        <m:r>
          <m:t>r</m:t>
        </m:r>
      </m:oMath>
      <w:r>
        <w:t xml:space="preserve"> </w:t>
      </w:r>
      <w:r>
        <w:t xml:space="preserve">= 0.35;</w:t>
      </w:r>
      <w:r>
        <w:t xml:space="preserve"> </w:t>
      </w:r>
      <m:oMath>
        <m:sSub>
          <m:e>
            <m:r>
              <m:t>r</m:t>
            </m:r>
          </m:e>
          <m:sub>
            <m:r>
              <m:t>c</m:t>
            </m:r>
          </m:sub>
        </m:sSub>
      </m:oMath>
      <w:r>
        <w:t xml:space="preserve">:</w:t>
      </w:r>
      <w:r>
        <w:t xml:space="preserve"> </w:t>
      </w:r>
      <m:oMath>
        <m:r>
          <m:t>r</m:t>
        </m:r>
      </m:oMath>
      <w:r>
        <w:t xml:space="preserve"> </w:t>
      </w:r>
      <w:r>
        <w:t xml:space="preserve">= 0.20). This is expected: ratio parameters appear only in distractor categories, which have lower base rates and therefore carry less information per trial.</w:t>
      </w:r>
    </w:p>
    <w:bookmarkStart w:id="116" w:name="fig-t4-indiv-scatter"/>
    <w:p>
      <w:pPr>
        <w:pStyle w:val="FigureTitle"/>
      </w:pPr>
      <w:r>
        <w:t xml:space="preserve">Figure 10</w:t>
      </w:r>
    </w:p>
    <w:p>
      <w:pPr>
        <w:pStyle w:val="Caption"/>
      </w:pPr>
      <w:r>
        <w:t xml:space="preserve">Individual-level parameter recovery (</w:t>
      </w:r>
      <m:oMath>
        <m:r>
          <m:t>N</m:t>
        </m:r>
        <m:r>
          <m:rPr>
            <m:sty m:val="p"/>
          </m:rPr>
          <m:t>=</m:t>
        </m:r>
        <m:r>
          <m:t>50</m:t>
        </m:r>
      </m:oMath>
      <w:r>
        <w:t xml:space="preserve">, 60 trials per participant). Each point is one participant; the dashed line indicates perfect recovery. Pearson correlations are shown per parameter.</w:t>
      </w:r>
    </w:p>
    <w:p>
      <w:pPr>
        <w:pStyle w:val="FigureWithoutNote"/>
      </w:pPr>
      <w:r>
        <w:drawing>
          <wp:inline>
            <wp:extent cx="5943600" cy="4572000"/>
            <wp:effectExtent b="0" l="0" r="0" t="0"/>
            <wp:docPr descr="" title="" id="114" name="Picture"/>
            <a:graphic>
              <a:graphicData uri="http://schemas.openxmlformats.org/drawingml/2006/picture">
                <pic:pic>
                  <pic:nvPicPr>
                    <pic:cNvPr descr="../figures/tutorial4_indiv_scatter.pdf" id="115" name="Picture"/>
                    <pic:cNvPicPr>
                      <a:picLocks noChangeArrowheads="1" noChangeAspect="1"/>
                    </pic:cNvPicPr>
                  </pic:nvPicPr>
                  <pic:blipFill>
                    <a:blip r:embed="rId113"/>
                    <a:stretch>
                      <a:fillRect/>
                    </a:stretch>
                  </pic:blipFill>
                  <pic:spPr bwMode="auto">
                    <a:xfrm>
                      <a:off x="0" y="0"/>
                      <a:ext cx="5943600" cy="4572000"/>
                    </a:xfrm>
                    <a:prstGeom prst="rect">
                      <a:avLst/>
                    </a:prstGeom>
                    <a:noFill/>
                    <a:ln w="9525">
                      <a:noFill/>
                      <a:headEnd/>
                      <a:tailEnd/>
                    </a:ln>
                  </pic:spPr>
                </pic:pic>
              </a:graphicData>
            </a:graphic>
          </wp:inline>
        </w:drawing>
      </w:r>
    </w:p>
    <w:bookmarkEnd w:id="116"/>
    <w:bookmarkEnd w:id="117"/>
    <w:bookmarkEnd w:id="118"/>
    <w:bookmarkStart w:id="119" w:name="practical-guidance"/>
    <w:p>
      <w:pPr>
        <w:pStyle w:val="Heading2"/>
      </w:pPr>
      <w:r>
        <w:t xml:space="preserve">Practical guidance</w:t>
      </w:r>
    </w:p>
    <w:p>
      <w:pPr>
        <w:pStyle w:val="FirstParagraph"/>
      </w:pPr>
      <w:r>
        <w:t xml:space="preserve">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w:t>
      </w:r>
      <w:r>
        <w:t xml:space="preserve"> </w:t>
      </w:r>
      <w:r>
        <w:t xml:space="preserve">Talts et al. (</w:t>
      </w:r>
      <w:hyperlink w:anchor="ref-talts2018validating">
        <w:r>
          <w:rPr>
            <w:rStyle w:val="Hyperlink"/>
          </w:rPr>
          <w:t xml:space="preserve">2018</w:t>
        </w:r>
      </w:hyperlink>
      <w:r>
        <w:t xml:space="preserve">)</w:t>
      </w:r>
      <w:r>
        <w:t xml:space="preserve">.</w:t>
      </w:r>
    </w:p>
    <w:bookmarkEnd w:id="119"/>
    <w:bookmarkEnd w:id="120"/>
    <w:bookmarkStart w:id="123" w:name="summary-and-additional-resources"/>
    <w:p>
      <w:pPr>
        <w:pStyle w:val="Heading1"/>
      </w:pPr>
      <w:r>
        <w:t xml:space="preserve">Summary and Additional Resources</w:t>
      </w:r>
    </w:p>
    <w:p>
      <w:pPr>
        <w:pStyle w:val="FirstParagraph"/>
      </w:pPr>
      <w:r>
        <w:t xml:space="preserve">This tutorial covered four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 specification, fitting, evaluation, and hypothesis testing — and compared the two choice rules. The complex span example (Tutorial 2) added distractor categories, the filtering parameter</w:t>
      </w:r>
      <w:r>
        <w:t xml:space="preserve"> </w:t>
      </w:r>
      <m:oMath>
        <m: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w:t>
      </w:r>
      <w:r>
        <w:t xml:space="preserve"> </w:t>
      </w:r>
      <w:r>
        <w:rPr>
          <w:rStyle w:val="VerbatimChar"/>
        </w:rPr>
        <w:t xml:space="preserve">cs</w:t>
      </w:r>
      <w:r>
        <w:t xml:space="preserve"> </w:t>
      </w:r>
      <w:r>
        <w:t xml:space="preserve">version. The parameter recovery tutorial (Tutorial 4) demonstrated how to validate a custom specification through simulation before applying it to empirical data.</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modeling approach accessible to a wide range of researchers. As noted before,</w:t>
      </w:r>
      <w:r>
        <w:t xml:space="preserve"> </w:t>
      </w:r>
      <m:oMath>
        <m:sSup>
          <m:e>
            <m:r>
              <m:t>M</m:t>
            </m:r>
          </m:e>
          <m:sup>
            <m:r>
              <m:t>3</m:t>
            </m:r>
          </m:sup>
        </m:sSup>
      </m:oMath>
      <w:r>
        <w:t xml:space="preserve"> </w:t>
      </w:r>
      <w:r>
        <w:t xml:space="preserve">is not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We encourage users to explore the package documentation, experiment with different model specifications, and contribute to the ongoing development of this tool.</w:t>
      </w:r>
    </w:p>
    <w:bookmarkStart w:id="122" w:name="additional-resources"/>
    <w:p>
      <w:pPr>
        <w:pStyle w:val="Heading2"/>
      </w:pPr>
      <w:r>
        <w:t xml:space="preserve">Additional resources</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21">
        <w:r>
          <w:rPr>
            <w:rStyle w:val="Hyperlink"/>
          </w:rPr>
          <w:t xml:space="preserve">https://venpopov.github.io/bmm/articles/bmm_m3.html</w:t>
        </w:r>
      </w:hyperlink>
    </w:p>
    <w:p>
      <w:pPr>
        <w:pStyle w:val="Compact"/>
        <w:numPr>
          <w:ilvl w:val="0"/>
          <w:numId w:val="1003"/>
        </w:numPr>
      </w:pPr>
      <w:r>
        <w:t xml:space="preserve">Full companion scripts for all four tutorials: [repository link]</w:t>
      </w:r>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bookmarkEnd w:id="122"/>
    <w:bookmarkEnd w:id="123"/>
    <w:bookmarkStart w:id="124" w:name="Xea2674722472200de450cfebb7bfa916d1f1ed7"/>
    <w:p>
      <w:pPr>
        <w:pStyle w:val="Heading1"/>
      </w:pPr>
      <w:r>
        <w:t xml:space="preserve">Appendix: Memory Updating — A More Complex Custom</w:t>
      </w:r>
      <w:r>
        <w:t xml:space="preserve"> </w:t>
      </w:r>
      <m:oMath>
        <m:sSup>
          <m:e>
            <m:r>
              <m:t>M</m:t>
            </m:r>
          </m:e>
          <m:sup>
            <m:r>
              <m:t>3</m:t>
            </m:r>
          </m:sup>
        </m:sSup>
      </m:oMath>
    </w:p>
    <w:p>
      <w:pPr>
        <w:pStyle w:val="FirstParagraph"/>
      </w:pPr>
      <w:r>
        <w:t xml:space="preserve">To illustrate how custom specifications can accommodate more complex task designs, we present a memory updating example based on</w:t>
      </w:r>
      <w:r>
        <w:t xml:space="preserve"> </w:t>
      </w:r>
      <w:r>
        <w:t xml:space="preserve">Oberauer and Lewandowsky (</w:t>
      </w:r>
      <w:hyperlink w:anchor="ref-oberauer2019simple">
        <w:r>
          <w:rPr>
            <w:rStyle w:val="Hyperlink"/>
          </w:rPr>
          <w:t xml:space="preserve">2019</w:t>
        </w:r>
      </w:hyperlink>
      <w:r>
        <w:t xml:space="preserve">)</w:t>
      </w:r>
      <w:r>
        <w:t xml:space="preserve">. Unlike the filtering example in Tutorial 3 (which modifies only the distractor categories of the</w:t>
      </w:r>
      <w:r>
        <w:t xml:space="preserve"> </w:t>
      </w:r>
      <w:r>
        <w:rPr>
          <w:rStyle w:val="VerbatimChar"/>
        </w:rPr>
        <w:t xml:space="preserve">cs</w:t>
      </w:r>
      <w:r>
        <w:t xml:space="preserve"> </w:t>
      </w:r>
      <w:r>
        <w:t xml:space="preserve">version), this example introduces entirely new response categories, nonlinear activation formulas with design variables, and three additional parameters beyond</w:t>
      </w:r>
      <w:r>
        <w:t xml:space="preserve"> </w:t>
      </w:r>
      <m:oMath>
        <m:r>
          <m:t>a</m:t>
        </m:r>
      </m:oMath>
      <w:r>
        <w:t xml:space="preserve"> </w:t>
      </w:r>
      <w:r>
        <w:t xml:space="preserve">and</w:t>
      </w:r>
      <w:r>
        <w:t xml:space="preserve"> </w:t>
      </w:r>
      <m:oMath>
        <m:r>
          <m:t>c</m:t>
        </m:r>
      </m:oMath>
      <w:r>
        <w:t xml:space="preserve">.</w:t>
      </w:r>
    </w:p>
    <w:p>
      <w:pPr>
        <w:pStyle w:val="BodyText"/>
      </w:pPr>
      <w:r>
        <w:t xml:space="preserve">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Three new parameters appear:</w:t>
      </w:r>
      <w:r>
        <w:t xml:space="preserve"> </w:t>
      </w:r>
      <m:oMath>
        <m:r>
          <m:t>d</m:t>
        </m:r>
      </m:oMath>
      <w:r>
        <w:t xml:space="preserve"> </w:t>
      </w:r>
      <w:r>
        <w:t xml:space="preserve">captures the residual activation of replaced items (logit link, bounded 0–1),</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w:t>
      </w:r>
      <w:r>
        <w:t xml:space="preserve">(log link, positive), and</w:t>
      </w:r>
      <w:r>
        <w:t xml:space="preserve"> </w:t>
      </w:r>
      <m:oMath>
        <m:r>
          <m:t>r</m:t>
        </m:r>
      </m:oMath>
      <w:r>
        <w:t xml:space="preserve"> </w:t>
      </w:r>
      <w:r>
        <w:t xml:space="preserve">governs how quickly old-item activation decays with removal time</w:t>
      </w:r>
      <w:r>
        <w:t xml:space="preserve"> </w:t>
      </w:r>
      <m:oMath>
        <m:sSub>
          <m:e>
            <m:r>
              <m:t>t</m:t>
            </m:r>
          </m:e>
          <m:sub>
            <m:r>
              <m:t>r</m:t>
            </m:r>
          </m:sub>
        </m:sSub>
      </m:oMath>
      <w:r>
        <w:t xml:space="preserve"> </w:t>
      </w:r>
      <w:r>
        <w:t xml:space="preserve">(log link, positive). The terms</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(each at 0.25, 0.5, and 1.0 s), producing a</w:t>
      </w:r>
      <w:r>
        <w:t xml:space="preserve"> </w:t>
      </w:r>
      <m:oMath>
        <m:r>
          <m:t>3</m:t>
        </m:r>
        <m:r>
          <m:rPr>
            <m:sty m:val="p"/>
          </m:rPr>
          <m:t>×</m:t>
        </m:r>
        <m:r>
          <m:t>3</m:t>
        </m:r>
      </m:oMath>
      <w:r>
        <w:t xml:space="preserve"> </w:t>
      </w:r>
      <w:r>
        <w:t xml:space="preserve">within-subjects design with 9 conditions.</w:t>
      </w:r>
    </w:p>
    <w:p>
      <w:pPr>
        <w:pStyle w:val="BodyText"/>
      </w:pPr>
      <w:r>
        <w:t xml:space="preserve">The model definition in</w:t>
      </w:r>
      <w:r>
        <w:t xml:space="preserve"> </w:t>
      </w:r>
      <w:r>
        <w:rPr>
          <w:rStyle w:val="VerbatimChar"/>
        </w:rPr>
        <w:t xml:space="preserve">bmm</w:t>
      </w:r>
      <w:r>
        <w:t xml:space="preserve">:</w:t>
      </w:r>
    </w:p>
    <w:p>
      <w:pPr>
        <w:pStyle w:val="SourceCode"/>
      </w:pPr>
      <w:r>
        <w:rPr>
          <w:rStyle w:val="NormalTok"/>
        </w:rPr>
        <w:t xml:space="preserve">m3_model_updating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r>
        <w:br/>
      </w:r>
      <w:r>
        <w:br/>
      </w:r>
      <w:r>
        <w:rPr>
          <w:rStyle w:val="NormalTok"/>
        </w:rPr>
        <w:t xml:space="preserve">m3_act_funs_updating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activation formulas that are not listed as model parameters, it treats them as data columns. This allows custom specifications to incorporate experimentally manipulated design variables directly into the activation equations.</w:t>
      </w:r>
    </w:p>
    <w:p>
      <w:pPr>
        <w:pStyle w:val="BodyText"/>
      </w:pPr>
      <w:r>
        <w:t xml:space="preserve">Complete parameter recovery simulations for this model — varying sample size (</w:t>
      </w:r>
      <m:oMath>
        <m:r>
          <m:t>N</m:t>
        </m:r>
        <m:r>
          <m:rPr>
            <m:sty m:val="p"/>
          </m:rPr>
          <m:t>∈</m:t>
        </m:r>
        <m:r>
          <m:rPr>
            <m:sty m:val="p"/>
          </m:rPr>
          <m:t>{</m:t>
        </m:r>
        <m:r>
          <m:t>25</m:t>
        </m:r>
        <m:r>
          <m:rPr>
            <m:sty m:val="p"/>
          </m:rPr>
          <m:t>,</m:t>
        </m:r>
        <m:r>
          <m:t>50</m:t>
        </m:r>
        <m:r>
          <m:rPr>
            <m:sty m:val="p"/>
          </m:rPr>
          <m:t>,</m:t>
        </m:r>
        <m:r>
          <m:t>100</m:t>
        </m:r>
        <m:r>
          <m:rPr>
            <m:sty m:val="p"/>
          </m:rPr>
          <m:t>}</m:t>
        </m:r>
      </m:oMath>
      <w:r>
        <w:t xml:space="preserve">) and trials per condition (</w:t>
      </w:r>
      <m:oMath>
        <m:r>
          <m:rPr>
            <m:sty m:val="p"/>
          </m:rPr>
          <m:t>{</m:t>
        </m:r>
        <m:r>
          <m:t>5</m:t>
        </m:r>
        <m:r>
          <m:rPr>
            <m:sty m:val="p"/>
          </m:rPr>
          <m:t>,</m:t>
        </m:r>
        <m:r>
          <m:t>10</m:t>
        </m:r>
        <m:r>
          <m:rPr>
            <m:sty m:val="p"/>
          </m:rPr>
          <m:t>,</m:t>
        </m:r>
        <m:r>
          <m:t>25</m:t>
        </m:r>
        <m:r>
          <m:rPr>
            <m:sty m:val="p"/>
          </m:rPr>
          <m:t>}</m:t>
        </m:r>
      </m:oMath>
      <w:r>
        <w:t xml:space="preserve">) — are available in the companion scripts (</w:t>
      </w:r>
      <w:r>
        <w:rPr>
          <w:rStyle w:val="VerbatimChar"/>
        </w:rPr>
        <w:t xml:space="preserve">scripts/tutorial3_parameter_recovery_simple.R</w:t>
      </w:r>
      <w:r>
        <w:t xml:space="preserve"> </w:t>
      </w:r>
      <w:r>
        <w:t xml:space="preserve">for a single cell walkthrough,</w:t>
      </w:r>
      <w:r>
        <w:t xml:space="preserve"> </w:t>
      </w:r>
      <w:r>
        <w:rPr>
          <w:rStyle w:val="VerbatimChar"/>
        </w:rPr>
        <w:t xml:space="preserve">scripts/tutorial3_parameter_recovery.R</w:t>
      </w:r>
      <w:r>
        <w:t xml:space="preserve"> </w:t>
      </w:r>
      <w:r>
        <w:t xml:space="preserve">for the full design grid). These scripts demonstrate how recovery quality depends on both the number of participants and the amount of data per participant, and can serve as templates for validating other custom specifications.</w:t>
      </w:r>
    </w:p>
    <w:bookmarkEnd w:id="124"/>
    <w:bookmarkStart w:id="182" w:name="references"/>
    <w:p>
      <w:pPr>
        <w:pStyle w:val="Heading1"/>
      </w:pPr>
      <w:r>
        <w:t xml:space="preserve">References</w:t>
      </w:r>
    </w:p>
    <w:bookmarkStart w:id="181" w:name="refs"/>
    <w:bookmarkStart w:id="126"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25">
        <w:r>
          <w:rPr>
            <w:rStyle w:val="Hyperlink"/>
          </w:rPr>
          <w:t xml:space="preserve">https://doi.org/10.3758/BF03210812</w:t>
        </w:r>
      </w:hyperlink>
    </w:p>
    <w:bookmarkEnd w:id="126"/>
    <w:bookmarkStart w:id="128"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27">
        <w:r>
          <w:rPr>
            <w:rStyle w:val="Hyperlink"/>
          </w:rPr>
          <w:t xml:space="preserve">https://doi.org/10.18637/jss.v080.i01</w:t>
        </w:r>
      </w:hyperlink>
    </w:p>
    <w:bookmarkEnd w:id="128"/>
    <w:bookmarkStart w:id="130"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29">
        <w:r>
          <w:rPr>
            <w:rStyle w:val="Hyperlink"/>
          </w:rPr>
          <w:t xml:space="preserve">https://doi.org/10.1037/0033-295X.100.3.432</w:t>
        </w:r>
      </w:hyperlink>
    </w:p>
    <w:bookmarkEnd w:id="130"/>
    <w:bookmarkStart w:id="132"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31">
        <w:r>
          <w:rPr>
            <w:rStyle w:val="Hyperlink"/>
          </w:rPr>
          <w:t xml:space="preserve">https://doi.org/10.18637/jss.v076.i01</w:t>
        </w:r>
      </w:hyperlink>
    </w:p>
    <w:bookmarkEnd w:id="132"/>
    <w:bookmarkStart w:id="134"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33">
        <w:r>
          <w:rPr>
            <w:rStyle w:val="Hyperlink"/>
          </w:rPr>
          <w:t xml:space="preserve">https://doi.org/10.20982/tqmp.16.4.p248</w:t>
        </w:r>
      </w:hyperlink>
    </w:p>
    <w:bookmarkEnd w:id="134"/>
    <w:bookmarkStart w:id="136"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35">
        <w:r>
          <w:rPr>
            <w:rStyle w:val="Hyperlink"/>
          </w:rPr>
          <w:t xml:space="preserve">https://doi.org/10.1027/0044-3409.217.3.108</w:t>
        </w:r>
      </w:hyperlink>
    </w:p>
    <w:bookmarkEnd w:id="136"/>
    <w:bookmarkStart w:id="138"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37">
        <w:r>
          <w:rPr>
            <w:rStyle w:val="Hyperlink"/>
          </w:rPr>
          <w:t xml:space="preserve">https://doi.org/10.3758/s13428-025-02643-0</w:t>
        </w:r>
      </w:hyperlink>
    </w:p>
    <w:bookmarkEnd w:id="138"/>
    <w:bookmarkStart w:id="140"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39">
        <w:r>
          <w:rPr>
            <w:rStyle w:val="Hyperlink"/>
          </w:rPr>
          <w:t xml:space="preserve">https://doi.org/10.1111/rssa.12378</w:t>
        </w:r>
      </w:hyperlink>
    </w:p>
    <w:bookmarkEnd w:id="140"/>
    <w:bookmarkStart w:id="142"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41">
        <w:r>
          <w:rPr>
            <w:rStyle w:val="Hyperlink"/>
          </w:rPr>
          <w:t xml:space="preserve">https://doi.org/10.1214/ss/1177011136</w:t>
        </w:r>
      </w:hyperlink>
    </w:p>
    <w:bookmarkEnd w:id="142"/>
    <w:bookmarkStart w:id="144"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43">
        <w:r>
          <w:rPr>
            <w:rStyle w:val="Hyperlink"/>
          </w:rPr>
          <w:t xml:space="preserve">https://doi.org/10.31234/osf.io/945d2</w:t>
        </w:r>
      </w:hyperlink>
    </w:p>
    <w:bookmarkEnd w:id="144"/>
    <w:bookmarkStart w:id="146"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45">
        <w:r>
          <w:rPr>
            <w:rStyle w:val="Hyperlink"/>
          </w:rPr>
          <w:t xml:space="preserve">https://doi.org/10.1016/j.jmp.2017.09.005</w:t>
        </w:r>
      </w:hyperlink>
    </w:p>
    <w:bookmarkEnd w:id="146"/>
    <w:bookmarkStart w:id="148"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47">
        <w:r>
          <w:rPr>
            <w:rStyle w:val="Hyperlink"/>
          </w:rPr>
          <w:t xml:space="preserve">https://doi.org/10.3758/s13428-017-0869-7</w:t>
        </w:r>
      </w:hyperlink>
    </w:p>
    <w:bookmarkEnd w:id="148"/>
    <w:bookmarkStart w:id="150"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49">
        <w:r>
          <w:rPr>
            <w:rStyle w:val="Hyperlink"/>
          </w:rPr>
          <w:t xml:space="preserve">https://doi.org/10.1016/0749-596X(91)90025-F</w:t>
        </w:r>
      </w:hyperlink>
    </w:p>
    <w:bookmarkEnd w:id="150"/>
    <w:bookmarkStart w:id="152"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51">
        <w:r>
          <w:rPr>
            <w:rStyle w:val="Hyperlink"/>
          </w:rPr>
          <w:t xml:space="preserve">https://doi.org/10.1037/xlm0001585</w:t>
        </w:r>
      </w:hyperlink>
    </w:p>
    <w:bookmarkEnd w:id="152"/>
    <w:bookmarkStart w:id="153"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53"/>
    <w:bookmarkStart w:id="155"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54">
        <w:r>
          <w:rPr>
            <w:rStyle w:val="Hyperlink"/>
          </w:rPr>
          <w:t xml:space="preserve">https://doi.org/10.1201/9780429029608</w:t>
        </w:r>
      </w:hyperlink>
    </w:p>
    <w:bookmarkEnd w:id="155"/>
    <w:bookmarkStart w:id="156"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56"/>
    <w:bookmarkStart w:id="158"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57">
        <w:r>
          <w:rPr>
            <w:rStyle w:val="Hyperlink"/>
          </w:rPr>
          <w:t xml:space="preserve">https://doi.org/10.5334/joc.86</w:t>
        </w:r>
      </w:hyperlink>
    </w:p>
    <w:bookmarkEnd w:id="158"/>
    <w:bookmarkStart w:id="160"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59">
        <w:r>
          <w:rPr>
            <w:rStyle w:val="Hyperlink"/>
          </w:rPr>
          <w:t xml:space="preserve">https://doi.org/10.1037/rev0000328</w:t>
        </w:r>
      </w:hyperlink>
    </w:p>
    <w:bookmarkEnd w:id="160"/>
    <w:bookmarkStart w:id="162"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61">
        <w:r>
          <w:rPr>
            <w:rStyle w:val="Hyperlink"/>
          </w:rPr>
          <w:t xml:space="preserve">https://doi.org/10.1037/rev0000159</w:t>
        </w:r>
      </w:hyperlink>
    </w:p>
    <w:bookmarkEnd w:id="162"/>
    <w:bookmarkStart w:id="164"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63">
        <w:r>
          <w:rPr>
            <w:rStyle w:val="Hyperlink"/>
          </w:rPr>
          <w:t xml:space="preserve">https://doi.org/10.1037/bul0000153</w:t>
        </w:r>
      </w:hyperlink>
    </w:p>
    <w:bookmarkEnd w:id="164"/>
    <w:bookmarkStart w:id="166"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65">
        <w:r>
          <w:rPr>
            <w:rStyle w:val="Hyperlink"/>
          </w:rPr>
          <w:t xml:space="preserve">https://doi.org/10.32614/CRAN.package.bmm</w:t>
        </w:r>
      </w:hyperlink>
    </w:p>
    <w:bookmarkEnd w:id="166"/>
    <w:bookmarkStart w:id="168"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67">
        <w:r>
          <w:rPr>
            <w:rStyle w:val="Hyperlink"/>
          </w:rPr>
          <w:t xml:space="preserve">https://doi.org/10.1037/0033-295X.108.2.370</w:t>
        </w:r>
      </w:hyperlink>
    </w:p>
    <w:bookmarkEnd w:id="168"/>
    <w:bookmarkStart w:id="170"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69">
        <w:r>
          <w:rPr>
            <w:rStyle w:val="Hyperlink"/>
          </w:rPr>
          <w:t xml:space="preserve">https://doi.org/10.1037/met0000275</w:t>
        </w:r>
      </w:hyperlink>
    </w:p>
    <w:bookmarkEnd w:id="170"/>
    <w:bookmarkStart w:id="172"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71">
        <w:r>
          <w:rPr>
            <w:rStyle w:val="Hyperlink"/>
          </w:rPr>
          <w:t xml:space="preserve">https://arxiv.org/abs/1804.06788</w:t>
        </w:r>
      </w:hyperlink>
    </w:p>
    <w:bookmarkEnd w:id="172"/>
    <w:bookmarkStart w:id="174"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73">
        <w:r>
          <w:rPr>
            <w:rStyle w:val="Hyperlink"/>
          </w:rPr>
          <w:t xml:space="preserve">https://doi.org/10.1037/h0070288</w:t>
        </w:r>
      </w:hyperlink>
    </w:p>
    <w:bookmarkEnd w:id="174"/>
    <w:bookmarkStart w:id="176"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75">
        <w:r>
          <w:rPr>
            <w:rStyle w:val="Hyperlink"/>
          </w:rPr>
          <w:t xml:space="preserve">https://doi.org/10.7554/eLife.49547</w:t>
        </w:r>
      </w:hyperlink>
    </w:p>
    <w:bookmarkEnd w:id="176"/>
    <w:bookmarkStart w:id="178"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77">
        <w:r>
          <w:rPr>
            <w:rStyle w:val="Hyperlink"/>
          </w:rPr>
          <w:t xml:space="preserve">https://doi.org/10.1016/0022-2496(77)90026-8</w:t>
        </w:r>
      </w:hyperlink>
    </w:p>
    <w:bookmarkEnd w:id="178"/>
    <w:bookmarkStart w:id="180"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79">
        <w:r>
          <w:rPr>
            <w:rStyle w:val="Hyperlink"/>
          </w:rPr>
          <w:t xml:space="preserve">https://doi.org/10.3758/s13421-012-0205-5</w:t>
        </w:r>
      </w:hyperlink>
    </w:p>
    <w:bookmarkEnd w:id="180"/>
    <w:bookmarkEnd w:id="181"/>
    <w:bookmarkEnd w:id="18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8">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9">
        <w:r>
          <w:rPr>
            <w:rStyle w:val="Hyperlink"/>
          </w:rPr>
          <w:t xml:space="preserve">https://venpopov.com/bmm/articles/bmm_bmmformula.html</w:t>
        </w:r>
      </w:hyperlink>
      <w:r>
        <w:t xml:space="preserve">.</w:t>
      </w:r>
    </w:p>
  </w:footnote>
  <w:footnote w:id="50">
    <w:p>
      <w:pPr>
        <w:pStyle w:val="FootnoteText"/>
      </w:pPr>
      <w:r>
        <w:rPr>
          <w:rStyle w:val="FootnoteReference"/>
        </w:rPr>
        <w:footnoteRef/>
      </w:r>
      <w:r>
        <w:t xml:space="preserve"> </w:t>
      </w:r>
      <w:r>
        <w:t xml:space="preserve">We are continuously working on extending the post-processing functions to accommodate the specific requirements of the measurement models implemented in the</w:t>
      </w:r>
      <w:r>
        <w:t xml:space="preserve"> </w:t>
      </w:r>
      <w:r>
        <w:rPr>
          <w:rStyle w:val="VerbatimChar"/>
        </w:rPr>
        <w:t xml:space="preserve">bmm</w:t>
      </w:r>
      <w:r>
        <w:t xml:space="preserve"> </w:t>
      </w:r>
      <w:r>
        <w:t xml:space="preserve">R package.</w:t>
      </w:r>
    </w:p>
  </w:footnote>
  <w:footnote w:id="54">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6">
    <w:p>
      <w:pPr>
        <w:pStyle w:val="FootnoteText"/>
      </w:pPr>
      <w:r>
        <w:rPr>
          <w:rStyle w:val="FootnoteReference"/>
        </w:rPr>
        <w:footnoteRef/>
      </w:r>
      <w:r>
        <w:t xml:space="preserve"> </w:t>
      </w:r>
      <w:r>
        <w:t xml:space="preserve">These are all additional options that are passed to</w:t>
      </w:r>
      <w:r>
        <w:t xml:space="preserve"> </w:t>
      </w:r>
      <w:r>
        <w:rPr>
          <w:rStyle w:val="VerbatimChar"/>
        </w:rPr>
        <w:t xml:space="preserve">brms</w:t>
      </w:r>
      <w:r>
        <w:t xml:space="preserve"> </w:t>
      </w:r>
      <w:r>
        <w:t xml:space="preserve">and can be modified as needed. For details on these additional arguments, please refer to</w:t>
      </w:r>
      <w:r>
        <w:t xml:space="preserve"> </w:t>
      </w:r>
      <w:r>
        <w:rPr>
          <w:rStyle w:val="VerbatimChar"/>
        </w:rPr>
        <w:t xml:space="preserve">brm()</w:t>
      </w:r>
      <w:r>
        <w:t xml:space="preserve"> </w:t>
      </w:r>
      <w:r>
        <w:t xml:space="preserve">documentation.</w:t>
      </w:r>
    </w:p>
  </w:footnote>
  <w:footnote w:id="57">
    <w:p>
      <w:pPr>
        <w:pStyle w:val="FootnoteText"/>
      </w:pPr>
      <w:r>
        <w:rPr>
          <w:rStyle w:val="FootnoteReference"/>
        </w:rPr>
        <w:footnoteRef/>
      </w:r>
      <w:r>
        <w:t xml:space="preserve"> </w:t>
      </w:r>
      <w:r>
        <w:t xml:space="preserve">In principle, the measurement models implemented in</w:t>
      </w:r>
      <w:r>
        <w:t xml:space="preserve"> </w:t>
      </w:r>
      <w:r>
        <w:rPr>
          <w:rStyle w:val="VerbatimChar"/>
        </w:rPr>
        <w:t xml:space="preserve">bmm</w:t>
      </w:r>
      <w:r>
        <w:t xml:space="preserve"> </w:t>
      </w:r>
      <w:r>
        <w:t xml:space="preserve">are similar to all other Bayesian generalized linear models and thus similar criteria for convergence apply. For guidance on Bayesian convergence diagnostics, see</w:t>
      </w:r>
      <w:r>
        <w:t xml:space="preserve"> </w:t>
      </w:r>
      <w:r>
        <w:t xml:space="preserve">Gabry et al. (</w:t>
      </w:r>
      <w:hyperlink w:anchor="ref-gabry2019visualization">
        <w:r>
          <w:rPr>
            <w:rStyle w:val="Hyperlink"/>
          </w:rPr>
          <w:t xml:space="preserve">2019</w:t>
        </w:r>
      </w:hyperlink>
      <w:r>
        <w:t xml:space="preserve">)</w:t>
      </w:r>
      <w:r>
        <w:t xml:space="preserve"> </w:t>
      </w:r>
      <w:r>
        <w:t xml:space="preserve">and the</w:t>
      </w:r>
      <w:r>
        <w:t xml:space="preserve"> </w:t>
      </w:r>
      <w:r>
        <w:rPr>
          <w:rStyle w:val="VerbatimChar"/>
        </w:rPr>
        <w:t xml:space="preserve">brms</w:t>
      </w:r>
      <w:r>
        <w:t xml:space="preserve"> </w:t>
      </w:r>
      <w:r>
        <w:t xml:space="preserve">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df" /><Relationship Type="http://schemas.openxmlformats.org/officeDocument/2006/relationships/image" Id="rId36" Target="media/rId36.pdf" /><Relationship Type="http://schemas.openxmlformats.org/officeDocument/2006/relationships/image" Id="rId64" Target="media/rId64.pdf" /><Relationship Type="http://schemas.openxmlformats.org/officeDocument/2006/relationships/image" Id="rId59" Target="media/rId59.pdf" /><Relationship Type="http://schemas.openxmlformats.org/officeDocument/2006/relationships/image" Id="rId80" Target="media/rId80.pdf" /><Relationship Type="http://schemas.openxmlformats.org/officeDocument/2006/relationships/image" Id="rId75" Target="media/rId75.pdf" /><Relationship Type="http://schemas.openxmlformats.org/officeDocument/2006/relationships/image" Id="rId97" Target="media/rId97.pdf" /><Relationship Type="http://schemas.openxmlformats.org/officeDocument/2006/relationships/image" Id="rId90" Target="media/rId90.pdf" /><Relationship Type="http://schemas.openxmlformats.org/officeDocument/2006/relationships/image" Id="rId108" Target="media/rId108.pdf" /><Relationship Type="http://schemas.openxmlformats.org/officeDocument/2006/relationships/image" Id="rId113" Target="media/rId113.pdf" /><Relationship Type="http://schemas.openxmlformats.org/officeDocument/2006/relationships/image" Id="rId21" Target="media/rId21.svg" /><Relationship Type="http://schemas.openxmlformats.org/officeDocument/2006/relationships/hyperlink" Id="rId171" Target="https://arxiv.org/abs/1804.06788" TargetMode="External" /><Relationship Type="http://schemas.openxmlformats.org/officeDocument/2006/relationships/hyperlink" Id="rId177" Target="https://doi.org/10.1016/0022-2496(77)90026-8" TargetMode="External" /><Relationship Type="http://schemas.openxmlformats.org/officeDocument/2006/relationships/hyperlink" Id="rId149" Target="https://doi.org/10.1016/0749-596X(91)90025-F" TargetMode="External" /><Relationship Type="http://schemas.openxmlformats.org/officeDocument/2006/relationships/hyperlink" Id="rId145" Target="https://doi.org/10.1016/j.jmp.2017.09.005" TargetMode="External" /><Relationship Type="http://schemas.openxmlformats.org/officeDocument/2006/relationships/hyperlink" Id="rId135" Target="https://doi.org/10.1027/0044-3409.217.3.108" TargetMode="External" /><Relationship Type="http://schemas.openxmlformats.org/officeDocument/2006/relationships/hyperlink" Id="rId129" Target="https://doi.org/10.1037/0033-295X.100.3.432" TargetMode="External" /><Relationship Type="http://schemas.openxmlformats.org/officeDocument/2006/relationships/hyperlink" Id="rId167" Target="https://doi.org/10.1037/0033-295X.108.2.370" TargetMode="External" /><Relationship Type="http://schemas.openxmlformats.org/officeDocument/2006/relationships/hyperlink" Id="rId163" Target="https://doi.org/10.1037/bul0000153" TargetMode="External" /><Relationship Type="http://schemas.openxmlformats.org/officeDocument/2006/relationships/hyperlink" Id="rId173" Target="https://doi.org/10.1037/h0070288" TargetMode="External" /><Relationship Type="http://schemas.openxmlformats.org/officeDocument/2006/relationships/hyperlink" Id="rId169" Target="https://doi.org/10.1037/met0000275" TargetMode="External" /><Relationship Type="http://schemas.openxmlformats.org/officeDocument/2006/relationships/hyperlink" Id="rId161" Target="https://doi.org/10.1037/rev0000159" TargetMode="External" /><Relationship Type="http://schemas.openxmlformats.org/officeDocument/2006/relationships/hyperlink" Id="rId159" Target="https://doi.org/10.1037/rev0000328" TargetMode="External" /><Relationship Type="http://schemas.openxmlformats.org/officeDocument/2006/relationships/hyperlink" Id="rId151" Target="https://doi.org/10.1037/xlm0001585" TargetMode="External" /><Relationship Type="http://schemas.openxmlformats.org/officeDocument/2006/relationships/hyperlink" Id="rId139" Target="https://doi.org/10.1111/rssa.12378" TargetMode="External" /><Relationship Type="http://schemas.openxmlformats.org/officeDocument/2006/relationships/hyperlink" Id="rId154" Target="https://doi.org/10.1201/9780429029608" TargetMode="External" /><Relationship Type="http://schemas.openxmlformats.org/officeDocument/2006/relationships/hyperlink" Id="rId141" Target="https://doi.org/10.1214/ss/1177011136" TargetMode="External" /><Relationship Type="http://schemas.openxmlformats.org/officeDocument/2006/relationships/hyperlink" Id="rId131" Target="https://doi.org/10.18637/jss.v076.i01" TargetMode="External" /><Relationship Type="http://schemas.openxmlformats.org/officeDocument/2006/relationships/hyperlink" Id="rId127" Target="https://doi.org/10.18637/jss.v080.i01" TargetMode="External" /><Relationship Type="http://schemas.openxmlformats.org/officeDocument/2006/relationships/hyperlink" Id="rId133" Target="https://doi.org/10.20982/tqmp.16.4.p248" TargetMode="External" /><Relationship Type="http://schemas.openxmlformats.org/officeDocument/2006/relationships/hyperlink" Id="rId143" Target="https://doi.org/10.31234/osf.io/945d2" TargetMode="External" /><Relationship Type="http://schemas.openxmlformats.org/officeDocument/2006/relationships/hyperlink" Id="rId165" Target="https://doi.org/10.32614/CRAN.package.bmm" TargetMode="External" /><Relationship Type="http://schemas.openxmlformats.org/officeDocument/2006/relationships/hyperlink" Id="rId125" Target="https://doi.org/10.3758/BF03210812" TargetMode="External" /><Relationship Type="http://schemas.openxmlformats.org/officeDocument/2006/relationships/hyperlink" Id="rId179" Target="https://doi.org/10.3758/s13421-012-0205-5" TargetMode="External" /><Relationship Type="http://schemas.openxmlformats.org/officeDocument/2006/relationships/hyperlink" Id="rId147" Target="https://doi.org/10.3758/s13428-017-0869-7" TargetMode="External" /><Relationship Type="http://schemas.openxmlformats.org/officeDocument/2006/relationships/hyperlink" Id="rId137" Target="https://doi.org/10.3758/s13428-025-02643-0" TargetMode="External" /><Relationship Type="http://schemas.openxmlformats.org/officeDocument/2006/relationships/hyperlink" Id="rId157" Target="https://doi.org/10.5334/joc.86" TargetMode="External" /><Relationship Type="http://schemas.openxmlformats.org/officeDocument/2006/relationships/hyperlink" Id="rId175" Target="https://doi.org/10.7554/eLife.49547"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71" Target="https://arxiv.org/abs/1804.06788" TargetMode="External" /><Relationship Type="http://schemas.openxmlformats.org/officeDocument/2006/relationships/hyperlink" Id="rId177" Target="https://doi.org/10.1016/0022-2496(77)90026-8" TargetMode="External" /><Relationship Type="http://schemas.openxmlformats.org/officeDocument/2006/relationships/hyperlink" Id="rId149" Target="https://doi.org/10.1016/0749-596X(91)90025-F" TargetMode="External" /><Relationship Type="http://schemas.openxmlformats.org/officeDocument/2006/relationships/hyperlink" Id="rId145" Target="https://doi.org/10.1016/j.jmp.2017.09.005" TargetMode="External" /><Relationship Type="http://schemas.openxmlformats.org/officeDocument/2006/relationships/hyperlink" Id="rId135" Target="https://doi.org/10.1027/0044-3409.217.3.108" TargetMode="External" /><Relationship Type="http://schemas.openxmlformats.org/officeDocument/2006/relationships/hyperlink" Id="rId129" Target="https://doi.org/10.1037/0033-295X.100.3.432" TargetMode="External" /><Relationship Type="http://schemas.openxmlformats.org/officeDocument/2006/relationships/hyperlink" Id="rId167" Target="https://doi.org/10.1037/0033-295X.108.2.370" TargetMode="External" /><Relationship Type="http://schemas.openxmlformats.org/officeDocument/2006/relationships/hyperlink" Id="rId163" Target="https://doi.org/10.1037/bul0000153" TargetMode="External" /><Relationship Type="http://schemas.openxmlformats.org/officeDocument/2006/relationships/hyperlink" Id="rId173" Target="https://doi.org/10.1037/h0070288" TargetMode="External" /><Relationship Type="http://schemas.openxmlformats.org/officeDocument/2006/relationships/hyperlink" Id="rId169" Target="https://doi.org/10.1037/met0000275" TargetMode="External" /><Relationship Type="http://schemas.openxmlformats.org/officeDocument/2006/relationships/hyperlink" Id="rId161" Target="https://doi.org/10.1037/rev0000159" TargetMode="External" /><Relationship Type="http://schemas.openxmlformats.org/officeDocument/2006/relationships/hyperlink" Id="rId159" Target="https://doi.org/10.1037/rev0000328" TargetMode="External" /><Relationship Type="http://schemas.openxmlformats.org/officeDocument/2006/relationships/hyperlink" Id="rId151" Target="https://doi.org/10.1037/xlm0001585" TargetMode="External" /><Relationship Type="http://schemas.openxmlformats.org/officeDocument/2006/relationships/hyperlink" Id="rId139" Target="https://doi.org/10.1111/rssa.12378" TargetMode="External" /><Relationship Type="http://schemas.openxmlformats.org/officeDocument/2006/relationships/hyperlink" Id="rId154" Target="https://doi.org/10.1201/9780429029608" TargetMode="External" /><Relationship Type="http://schemas.openxmlformats.org/officeDocument/2006/relationships/hyperlink" Id="rId141" Target="https://doi.org/10.1214/ss/1177011136" TargetMode="External" /><Relationship Type="http://schemas.openxmlformats.org/officeDocument/2006/relationships/hyperlink" Id="rId131" Target="https://doi.org/10.18637/jss.v076.i01" TargetMode="External" /><Relationship Type="http://schemas.openxmlformats.org/officeDocument/2006/relationships/hyperlink" Id="rId127" Target="https://doi.org/10.18637/jss.v080.i01" TargetMode="External" /><Relationship Type="http://schemas.openxmlformats.org/officeDocument/2006/relationships/hyperlink" Id="rId133" Target="https://doi.org/10.20982/tqmp.16.4.p248" TargetMode="External" /><Relationship Type="http://schemas.openxmlformats.org/officeDocument/2006/relationships/hyperlink" Id="rId143" Target="https://doi.org/10.31234/osf.io/945d2" TargetMode="External" /><Relationship Type="http://schemas.openxmlformats.org/officeDocument/2006/relationships/hyperlink" Id="rId165" Target="https://doi.org/10.32614/CRAN.package.bmm" TargetMode="External" /><Relationship Type="http://schemas.openxmlformats.org/officeDocument/2006/relationships/hyperlink" Id="rId125" Target="https://doi.org/10.3758/BF03210812" TargetMode="External" /><Relationship Type="http://schemas.openxmlformats.org/officeDocument/2006/relationships/hyperlink" Id="rId179" Target="https://doi.org/10.3758/s13421-012-0205-5" TargetMode="External" /><Relationship Type="http://schemas.openxmlformats.org/officeDocument/2006/relationships/hyperlink" Id="rId147" Target="https://doi.org/10.3758/s13428-017-0869-7" TargetMode="External" /><Relationship Type="http://schemas.openxmlformats.org/officeDocument/2006/relationships/hyperlink" Id="rId137" Target="https://doi.org/10.3758/s13428-025-02643-0" TargetMode="External" /><Relationship Type="http://schemas.openxmlformats.org/officeDocument/2006/relationships/hyperlink" Id="rId157" Target="https://doi.org/10.5334/joc.86" TargetMode="External" /><Relationship Type="http://schemas.openxmlformats.org/officeDocument/2006/relationships/hyperlink" Id="rId175" Target="https://doi.org/10.7554/eLife.49547"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49" Target="https://venpopov.com/bmm/articles/bmm_bmmformula.html" TargetMode="External" /><Relationship Type="http://schemas.openxmlformats.org/officeDocument/2006/relationships/hyperlink" Id="rId121" Target="https://venpopov.github.io/bmm/articles/bmm_m3.html" TargetMode="External" /><Relationship Type="http://schemas.openxmlformats.org/officeDocument/2006/relationships/hyperlink" Id="rId30"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FITTING THE M^3 WITH THE BMM R PACKAGE</dc:description>
  <cp:keywords>working memory, measurement model, multinomial model, Bayesian estimation, R package</cp:keywords>
  <dcterms:created xsi:type="dcterms:W3CDTF">2026-03-05T13:01:00Z</dcterms:created>
  <dcterms:modified xsi:type="dcterms:W3CDTF">2026-03-05T13:01:00Z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four worked examples: fitting a simple span M^3 to cued recall data, where Bayes factor model comparison favors the softmax over the simple choice rule; extending the workflow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FITTING THE M^3 WITH THE BMM R PACKAGE</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7972</vt:lpwstr>
  </property>
  <property fmtid="{D5CDD505-2E9C-101B-9397-08002B2CF9AE}" pid="62" name="zerocitations">
    <vt:lpwstr>False</vt:lpwstr>
  </property>
</Properties>
</file>