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B7FCA" w14:textId="77777777" w:rsidR="007B6D37" w:rsidRDefault="00000000">
      <w:pPr>
        <w:pStyle w:val="FirstParagraph"/>
      </w:pPr>
      <w:r>
        <w:t xml:space="preserve"> </w:t>
      </w:r>
    </w:p>
    <w:p w14:paraId="16D25209" w14:textId="77777777" w:rsidR="007B6D37" w:rsidRDefault="00000000">
      <w:pPr>
        <w:pStyle w:val="BodyText"/>
      </w:pPr>
      <w:r>
        <w:t xml:space="preserve"> </w:t>
      </w:r>
    </w:p>
    <w:p w14:paraId="1DA1DB18" w14:textId="77777777" w:rsidR="007B6D37" w:rsidRDefault="00000000">
      <w:pPr>
        <w:pStyle w:val="Heading1"/>
      </w:pPr>
      <w:bookmarkStart w:id="0" w:name="title"/>
      <w:r>
        <w:t>Fitting the Memory Measurement Model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with the bmm R Package: A Tutorial</w:t>
      </w:r>
    </w:p>
    <w:p w14:paraId="655EE78E" w14:textId="77777777" w:rsidR="007B6D37" w:rsidRDefault="00000000">
      <w:pPr>
        <w:pStyle w:val="Author"/>
      </w:pPr>
      <w:r>
        <w:t xml:space="preserve"> </w:t>
      </w:r>
    </w:p>
    <w:p w14:paraId="04E62980" w14:textId="77777777" w:rsidR="007B6D37" w:rsidRDefault="00000000">
      <w:pPr>
        <w:pStyle w:val="Author"/>
      </w:pPr>
      <w:r>
        <w:t>Gidon T. Frischkorn</w:t>
      </w:r>
      <w:r>
        <w:rPr>
          <w:vertAlign w:val="superscript"/>
        </w:rPr>
        <w:t>1</w:t>
      </w:r>
      <w:r>
        <w:t xml:space="preserve"> and Chenyu Li</w:t>
      </w:r>
      <w:r>
        <w:rPr>
          <w:vertAlign w:val="superscript"/>
        </w:rPr>
        <w:t>2,3</w:t>
      </w:r>
    </w:p>
    <w:p w14:paraId="0CD2D118" w14:textId="77777777" w:rsidR="007B6D37" w:rsidRDefault="00000000">
      <w:pPr>
        <w:pStyle w:val="Author"/>
      </w:pPr>
      <w:r>
        <w:rPr>
          <w:vertAlign w:val="superscript"/>
        </w:rPr>
        <w:t>1</w:t>
      </w:r>
      <w:r>
        <w:t>Department of Psychology, University of Zurich</w:t>
      </w:r>
    </w:p>
    <w:p w14:paraId="0EAC4509" w14:textId="77777777" w:rsidR="007B6D37" w:rsidRDefault="00000000">
      <w:pPr>
        <w:pStyle w:val="Author"/>
      </w:pPr>
      <w:r>
        <w:rPr>
          <w:vertAlign w:val="superscript"/>
        </w:rPr>
        <w:t>2</w:t>
      </w:r>
      <w:r>
        <w:t>Department of Psychology, University of Chicago</w:t>
      </w:r>
    </w:p>
    <w:p w14:paraId="01E13068" w14:textId="632F1429" w:rsidR="007B6D37" w:rsidRDefault="00000000">
      <w:pPr>
        <w:pStyle w:val="Author"/>
      </w:pPr>
      <w:r>
        <w:rPr>
          <w:vertAlign w:val="superscript"/>
        </w:rPr>
        <w:t>3</w:t>
      </w:r>
      <w:r>
        <w:t>Institution for Mind and Biology, University of Chicago</w:t>
      </w:r>
    </w:p>
    <w:p w14:paraId="370AB9DB" w14:textId="77777777" w:rsidR="007B6D37" w:rsidRDefault="00000000">
      <w:pPr>
        <w:pStyle w:val="BodyText"/>
      </w:pPr>
      <w:r>
        <w:t xml:space="preserve"> </w:t>
      </w:r>
    </w:p>
    <w:p w14:paraId="3188E99E" w14:textId="77777777" w:rsidR="007B6D37" w:rsidRDefault="00000000">
      <w:pPr>
        <w:pStyle w:val="BodyText"/>
      </w:pPr>
      <w:r>
        <w:t xml:space="preserve"> </w:t>
      </w:r>
    </w:p>
    <w:p w14:paraId="6C7721D2" w14:textId="77777777" w:rsidR="007B6D37" w:rsidRDefault="00000000">
      <w:pPr>
        <w:pStyle w:val="Heading1"/>
      </w:pPr>
      <w:bookmarkStart w:id="1" w:name="author-note"/>
      <w:bookmarkEnd w:id="0"/>
      <w:r>
        <w:t>Author Note</w:t>
      </w:r>
    </w:p>
    <w:p w14:paraId="315963CF" w14:textId="77777777" w:rsidR="007B6D37" w:rsidRDefault="00000000">
      <w:pPr>
        <w:pStyle w:val="FirstParagraph"/>
      </w:pPr>
      <w:r>
        <w:t xml:space="preserve">Gidon T. Frischkorn </w:t>
      </w:r>
      <w:r>
        <w:rPr>
          <w:noProof/>
        </w:rPr>
        <w:drawing>
          <wp:inline distT="0" distB="0" distL="0" distR="0" wp14:anchorId="7E47DF18" wp14:editId="2646A1FE">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9">
        <w:r>
          <w:rPr>
            <w:rStyle w:val="Hyperlink"/>
          </w:rPr>
          <w:t>https://orcid.org/0000-0002-5055-9764</w:t>
        </w:r>
      </w:hyperlink>
    </w:p>
    <w:p w14:paraId="4D56D30A" w14:textId="77777777" w:rsidR="007B6D37" w:rsidRDefault="00000000">
      <w:pPr>
        <w:pStyle w:val="BodyText"/>
      </w:pPr>
      <w:r>
        <w:t xml:space="preserve">Chenyu Li </w:t>
      </w:r>
      <w:bookmarkStart w:id="2" w:name="orchid"/>
      <w:r>
        <w:rPr>
          <w:noProof/>
        </w:rPr>
        <w:drawing>
          <wp:inline distT="0" distB="0" distL="0" distR="0" wp14:anchorId="7EC153ED" wp14:editId="59BDB650">
            <wp:extent cx="152279" cy="152279"/>
            <wp:effectExtent l="0" t="0" r="0" b="0"/>
            <wp:docPr id="26"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7"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t xml:space="preserve"> </w:t>
      </w:r>
      <w:hyperlink r:id="rId10">
        <w:r>
          <w:rPr>
            <w:rStyle w:val="Hyperlink"/>
          </w:rPr>
          <w:t>https://orcid.org/0000-0001-8815-6189</w:t>
        </w:r>
      </w:hyperlink>
    </w:p>
    <w:p w14:paraId="16EB147B" w14:textId="77777777" w:rsidR="007B6D37" w:rsidRDefault="00000000">
      <w:pPr>
        <w:pStyle w:val="BodyText"/>
      </w:pPr>
      <w:r>
        <w:t xml:space="preserve">Correspondence concerning this article should be addressed to Gidon T. Frischkorn, Department of Psychology, University of Zurich, Email: </w:t>
      </w:r>
      <w:hyperlink r:id="rId11">
        <w:r>
          <w:rPr>
            <w:rStyle w:val="Hyperlink"/>
          </w:rPr>
          <w:t>gidon.frischkorn@psychologie.uzh.ch</w:t>
        </w:r>
      </w:hyperlink>
    </w:p>
    <w:p w14:paraId="537D7119" w14:textId="77777777" w:rsidR="007B6D37" w:rsidRDefault="00000000">
      <w:r>
        <w:br w:type="page"/>
      </w:r>
    </w:p>
    <w:p w14:paraId="0E68B1B0" w14:textId="77777777" w:rsidR="007B6D37" w:rsidRDefault="00000000">
      <w:pPr>
        <w:pStyle w:val="Heading1"/>
      </w:pPr>
      <w:bookmarkStart w:id="3" w:name="abstract"/>
      <w:bookmarkEnd w:id="1"/>
      <w:r>
        <w:lastRenderedPageBreak/>
        <w:t>Abstract</w:t>
      </w:r>
    </w:p>
    <w:p w14:paraId="61756C1A" w14:textId="77777777" w:rsidR="007B6D37" w:rsidRDefault="00000000">
      <w:pPr>
        <w:pStyle w:val="AbstractFirstParagraph"/>
      </w:pPr>
      <w:r>
        <w:t>The memory measurement model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decomposes categorical response data from memory tasks into latent activation parameters, separating item memory from context-specific binding via competitive retrieval. Fitting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has so far required custom JAGS or Stan code for each task design. The bmm R package provides a standardized interface to specify, fit, and evaluate Bayesian hierarchical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minimal code. This tutorial demonstrates the bmm workflow through four worked examples: fitting a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to cued recall data, where Bayes factor model comparison favors the softmax over the simple choice rule; extending the workflow to a complex span task with distractor categories and a filtering parameter; defining a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that relaxes assumptions of the standard version by separating item and binding transfer to distractors; and validating the custom specification through parameter recovery simulation. Complete R scripts accompany each tutorial. After completing the tutorials, readers will be able to fit standard and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to their own data and validate new model specifications through simulation.</w:t>
      </w:r>
    </w:p>
    <w:p w14:paraId="70C10001" w14:textId="77777777" w:rsidR="007B6D37" w:rsidRDefault="00000000">
      <w:pPr>
        <w:pStyle w:val="BodyText"/>
      </w:pPr>
      <w:r>
        <w:rPr>
          <w:i/>
          <w:iCs/>
        </w:rPr>
        <w:t>Keywords</w:t>
      </w:r>
      <w:r>
        <w:t>: working memory, measurement model, multinomial model, Bayesian estimation, R package</w:t>
      </w:r>
    </w:p>
    <w:p w14:paraId="372A090B" w14:textId="77777777" w:rsidR="007B6D37" w:rsidRDefault="00000000">
      <w:r>
        <w:br w:type="page"/>
      </w:r>
    </w:p>
    <w:p w14:paraId="62A9CD60" w14:textId="77777777" w:rsidR="007B6D37" w:rsidRDefault="00000000">
      <w:pPr>
        <w:pStyle w:val="Heading1"/>
      </w:pPr>
      <w:bookmarkStart w:id="4" w:name="firstheader"/>
      <w:bookmarkEnd w:id="3"/>
      <w:r>
        <w:lastRenderedPageBreak/>
        <w:t>Fitting the Memory Measurement Model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with the bmm R Package: A Tutorial</w:t>
      </w:r>
    </w:p>
    <w:p w14:paraId="2738C8AC" w14:textId="77777777" w:rsidR="007B6D37" w:rsidRDefault="00000000">
      <w:pPr>
        <w:pStyle w:val="Heading1"/>
      </w:pPr>
      <w:bookmarkStart w:id="5" w:name="introduction"/>
      <w:bookmarkEnd w:id="4"/>
      <w:r>
        <w:t>Introduction</w:t>
      </w:r>
    </w:p>
    <w:p w14:paraId="48773E6F" w14:textId="77777777" w:rsidR="007B6D37" w:rsidRDefault="00000000">
      <w:pPr>
        <w:pStyle w:val="FirstParagraph"/>
      </w:pPr>
      <w:r>
        <w:t>Observed performance in memory and decision tasks is often summarized by overall accuracy. Yet, for many tasks accuracy collapses across qualitatively distinct response categories and error types that may arise from different latent processes. In particular, different error types are diagnostically informative because different cognitive processes imply different conditional response probabilities over observable outcomes. Multinomial processing tree (MPT) models formalize this logic by treating categorical responses - including distinct error classes - as consequences of latent states such as successful retrieval, guessing, or source confusion (</w:t>
      </w:r>
      <w:hyperlink w:anchor="ref-batchelder1999theoretical">
        <w:r>
          <w:rPr>
            <w:rStyle w:val="Hyperlink"/>
          </w:rPr>
          <w:t>Batchelder &amp; Riefer, 1999</w:t>
        </w:r>
      </w:hyperlink>
      <w:r>
        <w:t xml:space="preserve">; </w:t>
      </w:r>
      <w:hyperlink w:anchor="ref-erdfelder2009multinomial">
        <w:r>
          <w:rPr>
            <w:rStyle w:val="Hyperlink"/>
          </w:rPr>
          <w:t>Erdfelder et al., 2009</w:t>
        </w:r>
      </w:hyperlink>
      <w:r>
        <w:t>). Similarly, process-dissociation approaches demonstrate that patterns of correct and incorrect responses across task constraints can separate the contributions of multiple processes within a single task (</w:t>
      </w:r>
      <w:hyperlink w:anchor="ref-jacoby1991process">
        <w:r>
          <w:rPr>
            <w:rStyle w:val="Hyperlink"/>
          </w:rPr>
          <w:t>Jacoby, 1991</w:t>
        </w:r>
      </w:hyperlink>
      <w:r>
        <w:t xml:space="preserve">; </w:t>
      </w:r>
      <w:hyperlink w:anchor="ref-yonelinas2012process">
        <w:r>
          <w:rPr>
            <w:rStyle w:val="Hyperlink"/>
          </w:rPr>
          <w:t>Yonelinas &amp; Jacoby, 2012</w:t>
        </w:r>
      </w:hyperlink>
      <w:r>
        <w:t>). In sum, the full multinomial response distribution - not accuracy alone - carries more information about latent cognitive mechanisms than a single accuracy score.</w:t>
      </w:r>
    </w:p>
    <w:p w14:paraId="21A2FAE6" w14:textId="77777777" w:rsidR="007B6D37" w:rsidRDefault="00000000">
      <w:pPr>
        <w:pStyle w:val="BodyText"/>
      </w:pPr>
      <w:r>
        <w:t>Working memory research frequently relies on tasks that inherently yield response frequencies across discrete outcome categories, such as correct responses, feature confusions, location errors, or intrusions (</w:t>
      </w:r>
      <w:hyperlink w:anchor="ref-oberauer2018benchmarks">
        <w:r>
          <w:rPr>
            <w:rStyle w:val="Hyperlink"/>
          </w:rPr>
          <w:t>Oberauer et al., 2018</w:t>
        </w:r>
      </w:hyperlink>
      <w:r>
        <w:t>). For discrete feature spaces (e.g., words, numbers, letters), these data are naturally multinomial: each retrieval produces one of several mutually exclusive response types. Thus, theoretical claims can often be evaluated by how experimental manipulations and individual differences redistribute probability mass across these categories.</w:t>
      </w:r>
    </w:p>
    <w:p w14:paraId="0480037A" w14:textId="77777777" w:rsidR="007B6D37" w:rsidRDefault="00000000">
      <w:pPr>
        <w:pStyle w:val="BodyText"/>
      </w:pPr>
      <w:r>
        <w:t>The recently proposed memory measurement model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Oberauer and Lewandowsky (</w:t>
      </w:r>
      <w:hyperlink w:anchor="ref-oberauer2019simple">
        <w:r>
          <w:rPr>
            <w:rStyle w:val="Hyperlink"/>
          </w:rPr>
          <w:t>2019</w:t>
        </w:r>
      </w:hyperlink>
      <w:r>
        <w:t xml:space="preserve">)] framework provides one such decomposition. Its core assumptions are that (a) multiple </w:t>
      </w:r>
      <w:r>
        <w:lastRenderedPageBreak/>
        <w:t>activation sources contribute to each response category and that (b) selection among categories follows a competitive retrieval rule (</w:t>
      </w:r>
      <w:hyperlink w:anchor="ref-luce1959individual">
        <w:r>
          <w:rPr>
            <w:rStyle w:val="Hyperlink"/>
          </w:rPr>
          <w:t>Luce, 1959</w:t>
        </w:r>
      </w:hyperlink>
      <w:r>
        <w:t xml:space="preserve">). Although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was introduced for working memory tasks, the general architecture is domain-general: whenever a task yields categorical responses that can be traced to distinct latent activation sources driving competitive selection, the framework applies.</w:t>
      </w:r>
      <w:r>
        <w:rPr>
          <w:rStyle w:val="FootnoteReference"/>
        </w:rPr>
        <w:footnoteReference w:id="1"/>
      </w:r>
    </w:p>
    <w:p w14:paraId="3E122275" w14:textId="77777777" w:rsidR="007B6D37" w:rsidRDefault="00000000">
      <w:pPr>
        <w:pStyle w:val="BodyText"/>
      </w:pPr>
      <w:r>
        <w:t xml:space="preserve">Because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can be applied to different paradigms — including simple span, complex span, and memory updating tasks — and can incorporate varied processes such as distractor filtering or removal of outdated information, the activation formulas that drive response selection typically vary across tasks and response categories. Beyond these existing applications, researchers can develop their own model specifications tailored to their paradigm and theoretical questions. Each new application, however, has so far required translating the model into custom JAGS or Stan code, making implementations error-prone and hard to reuse. The </w:t>
      </w:r>
      <w:r>
        <w:rPr>
          <w:rStyle w:val="VerbatimChar"/>
        </w:rPr>
        <w:t>bmm</w:t>
      </w:r>
      <w:r>
        <w:t xml:space="preserve"> R package (</w:t>
      </w:r>
      <w:hyperlink w:anchor="ref-bmm2025">
        <w:r>
          <w:rPr>
            <w:rStyle w:val="Hyperlink"/>
          </w:rPr>
          <w:t>Popov et al., 2025</w:t>
        </w:r>
      </w:hyperlink>
      <w:r>
        <w:t xml:space="preserve">) addresses this limitation by providing a standardized, low-code workflow for specifying, fitting, and evaluating Bayesian hierarchical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shifting the burden of routine implementation details away from users and toward theory-driven model development and interpretation. In this tutorial, we illustrate this approach with four worked examples covering the standard simple span (ss) and complex span (cs) tasks, a custom extension, and parameter recovery as model validation.</w:t>
      </w:r>
    </w:p>
    <w:p w14:paraId="58C0B2C0" w14:textId="77777777" w:rsidR="007B6D37" w:rsidRDefault="00000000">
      <w:pPr>
        <w:pStyle w:val="Heading1"/>
      </w:pPr>
      <w:bookmarkStart w:id="6" w:name="the-m3-framework"/>
      <w:bookmarkEnd w:id="5"/>
      <w:r>
        <w:lastRenderedPageBreak/>
        <w:t xml:space="preserve">The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xml:space="preserve"> Framework</w:t>
      </w:r>
    </w:p>
    <w:p w14:paraId="73965E31" w14:textId="3D9002B1" w:rsidR="007B6D37" w:rsidRDefault="00BB76F5">
      <w:pPr>
        <w:pStyle w:val="FirstParagraph"/>
      </w:pPr>
      <w:r>
        <w:rPr>
          <w:noProof/>
        </w:rPr>
        <mc:AlternateContent>
          <mc:Choice Requires="wps">
            <w:drawing>
              <wp:anchor distT="0" distB="0" distL="114300" distR="114300" simplePos="0" relativeHeight="251659264" behindDoc="0" locked="0" layoutInCell="1" allowOverlap="1" wp14:anchorId="22B738CD" wp14:editId="75D6159B">
                <wp:simplePos x="0" y="0"/>
                <wp:positionH relativeFrom="column">
                  <wp:posOffset>0</wp:posOffset>
                </wp:positionH>
                <wp:positionV relativeFrom="paragraph">
                  <wp:posOffset>4309687</wp:posOffset>
                </wp:positionV>
                <wp:extent cx="5949950" cy="3295650"/>
                <wp:effectExtent l="0" t="0" r="0" b="0"/>
                <wp:wrapSquare wrapText="bothSides"/>
                <wp:docPr id="334875950" name="Text Box 1"/>
                <wp:cNvGraphicFramePr/>
                <a:graphic xmlns:a="http://schemas.openxmlformats.org/drawingml/2006/main">
                  <a:graphicData uri="http://schemas.microsoft.com/office/word/2010/wordprocessingShape">
                    <wps:wsp>
                      <wps:cNvSpPr txBox="1"/>
                      <wps:spPr>
                        <a:xfrm>
                          <a:off x="0" y="0"/>
                          <a:ext cx="5949950" cy="3295650"/>
                        </a:xfrm>
                        <a:prstGeom prst="rect">
                          <a:avLst/>
                        </a:prstGeom>
                        <a:noFill/>
                        <a:ln w="6350">
                          <a:noFill/>
                        </a:ln>
                      </wps:spPr>
                      <wps:txbx>
                        <w:txbxContent>
                          <w:p w14:paraId="6D93A4F2" w14:textId="77777777" w:rsidR="00BB76F5" w:rsidRDefault="00BB76F5">
                            <w:pPr>
                              <w:pStyle w:val="FigureTitle"/>
                            </w:pPr>
                            <w:r>
                              <w:t>Figure 1</w:t>
                            </w:r>
                          </w:p>
                          <w:p w14:paraId="542BD1AC" w14:textId="77777777" w:rsidR="00BB76F5" w:rsidRDefault="00BB76F5" w:rsidP="00BB76F5">
                            <w:pPr>
                              <w:pStyle w:val="Caption"/>
                              <w:spacing w:line="240" w:lineRule="auto"/>
                            </w:pPr>
                            <w:r>
                              <w:t>Simple span cued recall task. During encoding (A), participants study a sequence of letters at serial positions. At retrieval (B), a position is probed and the participant selects a response. Each response falls into one of three categories: correct (the target at the probed position), intrusion (a studied item from another position), or not-presented lure (NPL).</w:t>
                            </w:r>
                          </w:p>
                          <w:p w14:paraId="301793C5" w14:textId="77777777" w:rsidR="00BB76F5" w:rsidRPr="00E805C0" w:rsidRDefault="00BB76F5" w:rsidP="00E805C0">
                            <w:pPr>
                              <w:pStyle w:val="FigureWithoutNote"/>
                              <w:rPr>
                                <w:noProof/>
                              </w:rPr>
                            </w:pPr>
                            <w:r>
                              <w:rPr>
                                <w:noProof/>
                              </w:rPr>
                              <w:drawing>
                                <wp:inline distT="0" distB="0" distL="0" distR="0" wp14:anchorId="173D5CA4" wp14:editId="2817C7A9">
                                  <wp:extent cx="5943600" cy="1917700"/>
                                  <wp:effectExtent l="0" t="0" r="0" b="0"/>
                                  <wp:docPr id="1846096142" name="Picture"/>
                                  <wp:cNvGraphicFramePr/>
                                  <a:graphic xmlns:a="http://schemas.openxmlformats.org/drawingml/2006/main">
                                    <a:graphicData uri="http://schemas.openxmlformats.org/drawingml/2006/picture">
                                      <pic:pic xmlns:pic="http://schemas.openxmlformats.org/drawingml/2006/picture">
                                        <pic:nvPicPr>
                                          <pic:cNvPr id="38" name="Picture" descr="../figures/task_example.pdf"/>
                                          <pic:cNvPicPr>
                                            <a:picLocks noChangeAspect="1" noChangeArrowheads="1"/>
                                          </pic:cNvPicPr>
                                        </pic:nvPicPr>
                                        <pic:blipFill>
                                          <a:blip r:embed="rId12"/>
                                          <a:stretch>
                                            <a:fillRect/>
                                          </a:stretch>
                                        </pic:blipFill>
                                        <pic:spPr bwMode="auto">
                                          <a:xfrm>
                                            <a:off x="0" y="0"/>
                                            <a:ext cx="5943600" cy="19177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2B738CD" id="_x0000_t202" coordsize="21600,21600" o:spt="202" path="m,l,21600r21600,l21600,xe">
                <v:stroke joinstyle="miter"/>
                <v:path gradientshapeok="t" o:connecttype="rect"/>
              </v:shapetype>
              <v:shape id="Text Box 1" o:spid="_x0000_s1026" type="#_x0000_t202" style="position:absolute;left:0;text-align:left;margin-left:0;margin-top:339.35pt;width:468.5pt;height:259.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O0FAIAACsEAAAOAAAAZHJzL2Uyb0RvYy54bWysU02P2jAQvVfqf7B8LwEWaIkIK7orqkpo&#13;&#10;dyW22rNxbBLJ9li2IaG/vmMnfHTbU9WLM+OZzMd7z4v7VityFM7XYAo6GgwpEYZDWZt9QX+8rj99&#13;&#10;ocQHZkqmwIiCnoSn98uPHxaNzcUYKlClcASLGJ83tqBVCDbPMs8roZkfgBUGgxKcZgFdt89Kxxqs&#13;&#10;rlU2Hg5nWQOutA648B5vH7sgXab6UgoenqX0IhBVUJwtpNOlcxfPbLlg+d4xW9W8H4P9wxSa1Qab&#13;&#10;Xko9ssDIwdV/lNI1d+BBhgEHnYGUNRdpB9xmNHy3zbZiVqRdEBxvLzD5/1eWPx239sWR0H6FFgmM&#13;&#10;gDTW5x4v4z6tdDp+cVKCcYTwdIFNtIFwvJzOJ/P5FEMcY3fj+XSGDtbJrr9b58M3AZpEo6AOeUlw&#13;&#10;sePGhy71nBK7GVjXSiVulCFNQWd3WPK3CBZXBntch41WaHdtv8EOyhMu5qDj3Fu+rrH5hvnwwhyS&#13;&#10;jAOjcMMzHlIBNoHeoqQC9/Nv9zEfsccoJQ2KpqAGVU2J+m6Qk/loMokaS85k+nmMjruN7G4j5qAf&#13;&#10;AFU5wgdieTJjflBnUzrQb6juVeyJIWY4di5oOJsPoRMyvg4uVquUhKqyLGzM1vJYOkIWgX1t35iz&#13;&#10;PfoBiXuCs7hY/o6ELjf+6e3qEJCKxFCEt8O0Rx0VmTjuX0+U/K2fsq5vfPkLAAD//wMAUEsDBBQA&#13;&#10;BgAIAAAAIQB1PbDO4wAAAA4BAAAPAAAAZHJzL2Rvd25yZXYueG1sTI/NTsNADITvSLzDykjc6Kat&#13;&#10;1LRpNhVqRS+IAwXB1cm6SZTsj7LbNPD0mBNcLNljj+fLd5PpxUhDaJ1VMJ8lIMhWTre2VvD+9vSw&#13;&#10;BhEiWo29s6TgiwLsitubHDPtrvaVxlOsBZvYkKGCJkafSRmqhgyGmfNkWTu7wWDkdqilHvDK5qaX&#13;&#10;iyRZSYOt5Q8Neto3VHWni1Hwgh/HOE5ddez8WX8aX+6X389K3d9Nhy2Xxy2ISFP8u4BfBs4PBQcr&#13;&#10;3cXqIHoFTBMVrNJ1CoLlzTLlScl7802agixy+R+j+AEAAP//AwBQSwECLQAUAAYACAAAACEAtoM4&#13;&#10;kv4AAADhAQAAEwAAAAAAAAAAAAAAAAAAAAAAW0NvbnRlbnRfVHlwZXNdLnhtbFBLAQItABQABgAI&#13;&#10;AAAAIQA4/SH/1gAAAJQBAAALAAAAAAAAAAAAAAAAAC8BAABfcmVscy8ucmVsc1BLAQItABQABgAI&#13;&#10;AAAAIQDt+fO0FAIAACsEAAAOAAAAAAAAAAAAAAAAAC4CAABkcnMvZTJvRG9jLnhtbFBLAQItABQA&#13;&#10;BgAIAAAAIQB1PbDO4wAAAA4BAAAPAAAAAAAAAAAAAAAAAG4EAABkcnMvZG93bnJldi54bWxQSwUG&#13;&#10;AAAAAAQABADzAAAAfgUAAAAA&#13;&#10;" filled="f" stroked="f" strokeweight=".5pt">
                <v:fill o:detectmouseclick="t"/>
                <v:textbox style="mso-fit-shape-to-text:t">
                  <w:txbxContent>
                    <w:p w14:paraId="6D93A4F2" w14:textId="77777777" w:rsidR="00BB76F5" w:rsidRDefault="00BB76F5">
                      <w:pPr>
                        <w:pStyle w:val="FigureTitle"/>
                      </w:pPr>
                      <w:r>
                        <w:t>Figure 1</w:t>
                      </w:r>
                    </w:p>
                    <w:p w14:paraId="542BD1AC" w14:textId="77777777" w:rsidR="00BB76F5" w:rsidRDefault="00BB76F5" w:rsidP="00BB76F5">
                      <w:pPr>
                        <w:pStyle w:val="Caption"/>
                        <w:spacing w:line="240" w:lineRule="auto"/>
                      </w:pPr>
                      <w:r>
                        <w:t>Simple span cued recall task. During encoding (A), participants study a sequence of letters at serial positions. At retrieval (B), a position is probed and the participant selects a response. Each response falls into one of three categories: correct (the target at the probed position), intrusion (a studied item from another position), or not-presented lure (NPL).</w:t>
                      </w:r>
                    </w:p>
                    <w:p w14:paraId="301793C5" w14:textId="77777777" w:rsidR="00BB76F5" w:rsidRPr="00E805C0" w:rsidRDefault="00BB76F5" w:rsidP="00E805C0">
                      <w:pPr>
                        <w:pStyle w:val="FigureWithoutNote"/>
                        <w:rPr>
                          <w:noProof/>
                        </w:rPr>
                      </w:pPr>
                      <w:r>
                        <w:rPr>
                          <w:noProof/>
                        </w:rPr>
                        <w:drawing>
                          <wp:inline distT="0" distB="0" distL="0" distR="0" wp14:anchorId="173D5CA4" wp14:editId="2817C7A9">
                            <wp:extent cx="5943600" cy="1917700"/>
                            <wp:effectExtent l="0" t="0" r="0" b="0"/>
                            <wp:docPr id="1846096142" name="Picture"/>
                            <wp:cNvGraphicFramePr/>
                            <a:graphic xmlns:a="http://schemas.openxmlformats.org/drawingml/2006/main">
                              <a:graphicData uri="http://schemas.openxmlformats.org/drawingml/2006/picture">
                                <pic:pic xmlns:pic="http://schemas.openxmlformats.org/drawingml/2006/picture">
                                  <pic:nvPicPr>
                                    <pic:cNvPr id="38" name="Picture" descr="../figures/task_example.pdf"/>
                                    <pic:cNvPicPr>
                                      <a:picLocks noChangeAspect="1" noChangeArrowheads="1"/>
                                    </pic:cNvPicPr>
                                  </pic:nvPicPr>
                                  <pic:blipFill>
                                    <a:blip r:embed="rId12"/>
                                    <a:stretch>
                                      <a:fillRect/>
                                    </a:stretch>
                                  </pic:blipFill>
                                  <pic:spPr bwMode="auto">
                                    <a:xfrm>
                                      <a:off x="0" y="0"/>
                                      <a:ext cx="5943600" cy="1917700"/>
                                    </a:xfrm>
                                    <a:prstGeom prst="rect">
                                      <a:avLst/>
                                    </a:prstGeom>
                                    <a:noFill/>
                                    <a:ln w="9525">
                                      <a:noFill/>
                                      <a:headEnd/>
                                      <a:tailEnd/>
                                    </a:ln>
                                  </pic:spPr>
                                </pic:pic>
                              </a:graphicData>
                            </a:graphic>
                          </wp:inline>
                        </w:drawing>
                      </w:r>
                    </w:p>
                  </w:txbxContent>
                </v:textbox>
                <w10:wrap type="square"/>
              </v:shape>
            </w:pict>
          </mc:Fallback>
        </mc:AlternateContent>
      </w:r>
      <w:r w:rsidR="00000000">
        <w:t xml:space="preserve">Consider a cued recall task in which a participant studies a sequence of items (e.g., letters at serial positions or icons at spatial locations) and later sees a retrieval cue and selects a response from a set of alternatives. </w:t>
      </w:r>
      <w:hyperlink w:anchor="fig-task-example">
        <w:r w:rsidR="00000000">
          <w:rPr>
            <w:rStyle w:val="Hyperlink"/>
          </w:rPr>
          <w:t>Figure 1</w:t>
        </w:r>
      </w:hyperlink>
      <w:r w:rsidR="00000000">
        <w:t xml:space="preserve"> illustrates this task structure for a simple span paradigm. As shown in the figure, each response falls into one of three categories: </w:t>
      </w:r>
      <w:r w:rsidR="00000000">
        <w:rPr>
          <w:i/>
          <w:iCs/>
        </w:rPr>
        <w:t>correct</w:t>
      </w:r>
      <w:r w:rsidR="00000000">
        <w:t xml:space="preserve"> — the item associated with the probed position, </w:t>
      </w:r>
      <w:r w:rsidR="00000000">
        <w:rPr>
          <w:i/>
          <w:iCs/>
        </w:rPr>
        <w:t>other-list intrusion</w:t>
      </w:r>
      <w:r w:rsidR="00000000">
        <w:t xml:space="preserve"> — a studied item from a different position, or </w:t>
      </w:r>
      <w:r w:rsidR="00000000">
        <w:rPr>
          <w:i/>
          <w:iCs/>
        </w:rPr>
        <w:t>not-presented lure</w:t>
      </w:r>
      <w:r w:rsidR="00000000">
        <w:t xml:space="preserve"> (NPL) — an item not presented during the trial.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00000000">
        <w:t xml:space="preserve"> framework explains each category’s selection frequency by specifying activation formulas: different activation sources feed into each category, and response probabilities arise as the result of applying choice rules that implement competitive selection among all options.</w:t>
      </w:r>
    </w:p>
    <w:p w14:paraId="290FE857" w14:textId="2ED11ED2" w:rsidR="007B6D37" w:rsidRDefault="00000000">
      <w:pPr>
        <w:pStyle w:val="Heading2"/>
      </w:pPr>
      <w:bookmarkStart w:id="7" w:name="activation-formulas-and-model-parameters"/>
      <w:r>
        <w:t>Activation Formulas and Model Parameters</w:t>
      </w:r>
    </w:p>
    <w:p w14:paraId="62512945" w14:textId="2D15EF74" w:rsidR="007B6D37" w:rsidRDefault="00000000">
      <w:pPr>
        <w:pStyle w:val="FirstParagraph"/>
      </w:pPr>
      <w:r>
        <w:t xml:space="preserve">Each response category’s activation formula specifies which latent sources contribute to its selection probability. Because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is not committed to any particular memory </w:t>
      </w:r>
      <w:r>
        <w:lastRenderedPageBreak/>
        <w:t>theory, different assumptions about the processes limiting memory performance can be accommodated through different activation formulas.</w:t>
      </w:r>
    </w:p>
    <w:p w14:paraId="5EA929D6" w14:textId="77777777" w:rsidR="007B6D37" w:rsidRDefault="00000000">
      <w:pPr>
        <w:pStyle w:val="BodyText"/>
      </w:pPr>
      <w:r>
        <w:t>Each response category usually receives activation from one or more latent sources. For the cued recall task introduced above, the theoretically assumed activation sources are:</w:t>
      </w:r>
    </w:p>
    <w:p w14:paraId="1AB6D48E" w14:textId="77777777" w:rsidR="007B6D37" w:rsidRDefault="00000000" w:rsidP="00BB76F5">
      <w:pPr>
        <w:pStyle w:val="Compact"/>
        <w:numPr>
          <w:ilvl w:val="0"/>
          <w:numId w:val="23"/>
        </w:numPr>
        <w:spacing w:line="480" w:lineRule="auto"/>
      </w:pPr>
      <m:oMath>
        <m:r>
          <w:rPr>
            <w:rFonts w:ascii="Cambria Math" w:hAnsi="Cambria Math"/>
          </w:rPr>
          <m:t>b</m:t>
        </m:r>
      </m:oMath>
      <w:r>
        <w:t xml:space="preserve">: </w:t>
      </w:r>
      <w:r>
        <w:rPr>
          <w:b/>
          <w:bCs/>
        </w:rPr>
        <w:t>baseline activation</w:t>
      </w:r>
      <w:r>
        <w:t>, the tendency to select any response option in the absence of memory-based evidence. This could reflect guessing, response bias, or other non-mnemonic factors that contribute to selection probabilities across all categories.</w:t>
      </w:r>
    </w:p>
    <w:p w14:paraId="73050EF2" w14:textId="77777777" w:rsidR="007B6D37" w:rsidRDefault="00000000" w:rsidP="00BB76F5">
      <w:pPr>
        <w:pStyle w:val="Compact"/>
        <w:numPr>
          <w:ilvl w:val="0"/>
          <w:numId w:val="23"/>
        </w:numPr>
        <w:spacing w:line="480" w:lineRule="auto"/>
      </w:pPr>
      <m:oMath>
        <m:r>
          <w:rPr>
            <w:rFonts w:ascii="Cambria Math" w:hAnsi="Cambria Math"/>
          </w:rPr>
          <m:t>a</m:t>
        </m:r>
      </m:oMath>
      <w:r>
        <w:t xml:space="preserve">: </w:t>
      </w:r>
      <w:r>
        <w:rPr>
          <w:b/>
          <w:bCs/>
        </w:rPr>
        <w:t>item activation</w:t>
      </w:r>
      <w:r>
        <w:t>, or general memory strength for studied items. An item that was encountered during study receives this activation regardless of its position or context.</w:t>
      </w:r>
    </w:p>
    <w:p w14:paraId="241B3F12" w14:textId="77777777" w:rsidR="007B6D37" w:rsidRDefault="00000000" w:rsidP="00BB76F5">
      <w:pPr>
        <w:pStyle w:val="Compact"/>
        <w:numPr>
          <w:ilvl w:val="0"/>
          <w:numId w:val="23"/>
        </w:numPr>
        <w:spacing w:line="480" w:lineRule="auto"/>
      </w:pPr>
      <m:oMath>
        <m:r>
          <w:rPr>
            <w:rFonts w:ascii="Cambria Math" w:hAnsi="Cambria Math"/>
          </w:rPr>
          <m:t>c</m:t>
        </m:r>
      </m:oMath>
      <w:r>
        <w:t xml:space="preserve">: </w:t>
      </w:r>
      <w:r>
        <w:rPr>
          <w:b/>
          <w:bCs/>
        </w:rPr>
        <w:t>context binding</w:t>
      </w:r>
      <w:r>
        <w:t>, the strength of the association between an item and its specific study context (e.g., serial position, paired associate).</w:t>
      </w:r>
    </w:p>
    <w:p w14:paraId="444F5142" w14:textId="77777777" w:rsidR="007B6D37" w:rsidRDefault="00000000" w:rsidP="00BB76F5">
      <w:pPr>
        <w:pStyle w:val="FirstParagraph"/>
      </w:pPr>
      <w:r>
        <w:t>These activation sources or additional mechanisms are specified as parameters that can vary and are estimated from data. Using these parameters, we can specify how they are combined to produce total activations for each response category. The simple span model proposed by Oberauer and Lewandowsky (</w:t>
      </w:r>
      <w:hyperlink w:anchor="ref-oberauer2019simple">
        <w:r>
          <w:rPr>
            <w:rStyle w:val="Hyperlink"/>
          </w:rPr>
          <w:t>2019</w:t>
        </w:r>
      </w:hyperlink>
      <w:r>
        <w:t>) assumes that these activation sources combine additively, with the correct target receiving activation from all three sources, other studied items receiving item activation but lacking context binding, and lures receiving only baseline activation:</w:t>
      </w:r>
    </w:p>
    <w:p w14:paraId="31ED21E6" w14:textId="77777777" w:rsidR="007B6D3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lures</m:t>
                    </m:r>
                  </m:sub>
                </m:sSub>
              </m:e>
              <m:e>
                <m:r>
                  <m:rPr>
                    <m:sty m:val="p"/>
                  </m:rPr>
                  <w:rPr>
                    <w:rFonts w:ascii="Cambria Math" w:hAnsi="Cambria Math"/>
                  </w:rPr>
                  <m:t>=</m:t>
                </m:r>
                <m:r>
                  <w:rPr>
                    <w:rFonts w:ascii="Cambria Math" w:hAnsi="Cambria Math"/>
                  </w:rPr>
                  <m:t>b</m:t>
                </m:r>
              </m:e>
            </m:mr>
          </m:m>
        </m:oMath>
      </m:oMathPara>
    </w:p>
    <w:p w14:paraId="713A54FC" w14:textId="77777777" w:rsidR="007B6D37" w:rsidRDefault="00000000">
      <w:pPr>
        <w:pStyle w:val="FirstParagraph"/>
      </w:pPr>
      <w:r>
        <w:t>Another perspective on the interplay of these processes could also assume that context activation boosts item activation, such that the correct target receives a multiplicative boost from context binding, while other studied items receive only item activation:</w:t>
      </w:r>
    </w:p>
    <w:p w14:paraId="65DB3EFB" w14:textId="77777777" w:rsidR="007B6D3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lures</m:t>
                    </m:r>
                  </m:sub>
                </m:sSub>
              </m:e>
              <m:e>
                <m:r>
                  <m:rPr>
                    <m:sty m:val="p"/>
                  </m:rPr>
                  <w:rPr>
                    <w:rFonts w:ascii="Cambria Math" w:hAnsi="Cambria Math"/>
                  </w:rPr>
                  <m:t>=</m:t>
                </m:r>
                <m:r>
                  <w:rPr>
                    <w:rFonts w:ascii="Cambria Math" w:hAnsi="Cambria Math"/>
                  </w:rPr>
                  <m:t>b</m:t>
                </m:r>
              </m:e>
            </m:mr>
          </m:m>
        </m:oMath>
      </m:oMathPara>
    </w:p>
    <w:p w14:paraId="270C118E" w14:textId="0A31F020" w:rsidR="007B6D37" w:rsidRDefault="00BB76F5">
      <w:pPr>
        <w:pStyle w:val="FirstParagraph"/>
      </w:pPr>
      <w:r>
        <w:rPr>
          <w:noProof/>
        </w:rPr>
        <mc:AlternateContent>
          <mc:Choice Requires="wps">
            <w:drawing>
              <wp:anchor distT="0" distB="0" distL="114300" distR="114300" simplePos="0" relativeHeight="251661312" behindDoc="0" locked="0" layoutInCell="1" allowOverlap="1" wp14:anchorId="1D819F25" wp14:editId="6B8188B5">
                <wp:simplePos x="0" y="0"/>
                <wp:positionH relativeFrom="column">
                  <wp:posOffset>0</wp:posOffset>
                </wp:positionH>
                <wp:positionV relativeFrom="paragraph">
                  <wp:posOffset>1083582</wp:posOffset>
                </wp:positionV>
                <wp:extent cx="1828800" cy="1828800"/>
                <wp:effectExtent l="0" t="0" r="0" b="0"/>
                <wp:wrapSquare wrapText="bothSides"/>
                <wp:docPr id="110315039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8811687" w14:textId="77777777" w:rsidR="00BB76F5" w:rsidRDefault="00BB76F5">
                            <w:pPr>
                              <w:pStyle w:val="FigureTitle"/>
                            </w:pPr>
                            <w:r>
                              <w:t>Figure 2</w:t>
                            </w:r>
                          </w:p>
                          <w:p w14:paraId="3B4A35B9" w14:textId="77777777" w:rsidR="00BB76F5" w:rsidRDefault="00BB76F5" w:rsidP="00BB76F5">
                            <w:pPr>
                              <w:pStyle w:val="Caption"/>
                              <w:spacing w:line="240" w:lineRule="auto"/>
                            </w:pPr>
                            <w:r>
                              <w:t xml:space="preserve">Activation decomposition for each response option in the simple span example from </w:t>
                            </w:r>
                            <w:hyperlink w:anchor="fig-task-example">
                              <w:r>
                                <w:rPr>
                                  <w:rStyle w:val="Hyperlink"/>
                                </w:rPr>
                                <w:t>Figure 1</w:t>
                              </w:r>
                            </w:hyperlink>
                            <w:r>
                              <w:t>. Bars show the total activation for each option, decomposed into baseline (</w:t>
                            </w:r>
                            <m:oMath>
                              <m:r>
                                <w:rPr>
                                  <w:rFonts w:ascii="Cambria Math" w:hAnsi="Cambria Math"/>
                                </w:rPr>
                                <m:t>b</m:t>
                              </m:r>
                            </m:oMath>
                            <w:r>
                              <w:t>, grey), item memory (</w:t>
                            </w:r>
                            <m:oMath>
                              <m:r>
                                <w:rPr>
                                  <w:rFonts w:ascii="Cambria Math" w:hAnsi="Cambria Math"/>
                                </w:rPr>
                                <m:t>a</m:t>
                              </m:r>
                            </m:oMath>
                            <w:r>
                              <w:t>, blue), and context binding (</w:t>
                            </w:r>
                            <m:oMath>
                              <m:r>
                                <w:rPr>
                                  <w:rFonts w:ascii="Cambria Math" w:hAnsi="Cambria Math"/>
                                </w:rPr>
                                <m:t>c</m:t>
                              </m:r>
                            </m:oMath>
                            <w:r>
                              <w:t>, orange). The correct target (D) receives all three sources (</w:t>
                            </w:r>
                            <m:oMath>
                              <m:r>
                                <w:rPr>
                                  <w:rFonts w:ascii="Cambria Math" w:hAnsi="Cambria Math"/>
                                </w:rPr>
                                <m:t>b+a+c</m:t>
                              </m:r>
                            </m:oMath>
                            <w:r>
                              <w:t>), other studied items receive item memory and baseline (</w:t>
                            </w:r>
                            <m:oMath>
                              <m:r>
                                <w:rPr>
                                  <w:rFonts w:ascii="Cambria Math" w:hAnsi="Cambria Math"/>
                                </w:rPr>
                                <m:t>b+a</m:t>
                              </m:r>
                            </m:oMath>
                            <w:r>
                              <w:t>), and not-presented lures receive only baseline (</w:t>
                            </w:r>
                            <m:oMath>
                              <m:r>
                                <w:rPr>
                                  <w:rFonts w:ascii="Cambria Math" w:hAnsi="Cambria Math"/>
                                </w:rPr>
                                <m:t>b</m:t>
                              </m:r>
                            </m:oMath>
                            <w:r>
                              <w:t>). A choice rule converts these activations into response probabilities.</w:t>
                            </w:r>
                          </w:p>
                          <w:p w14:paraId="28FBDDA3" w14:textId="77777777" w:rsidR="00BB76F5" w:rsidRPr="008C4E0A" w:rsidRDefault="00BB76F5" w:rsidP="00BB76F5">
                            <w:pPr>
                              <w:pStyle w:val="FigureWithoutNote"/>
                              <w:jc w:val="center"/>
                              <w:rPr>
                                <w:noProof/>
                              </w:rPr>
                            </w:pPr>
                            <w:r>
                              <w:rPr>
                                <w:noProof/>
                              </w:rPr>
                              <w:drawing>
                                <wp:inline distT="0" distB="0" distL="0" distR="0" wp14:anchorId="0343D84E" wp14:editId="7D4351C0">
                                  <wp:extent cx="4903470" cy="3017520"/>
                                  <wp:effectExtent l="0" t="0" r="0" b="5080"/>
                                  <wp:docPr id="12945284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figures/m3_activations.pdf"/>
                                          <pic:cNvPicPr>
                                            <a:picLocks noChangeAspect="1" noChangeArrowheads="1"/>
                                          </pic:cNvPicPr>
                                        </pic:nvPicPr>
                                        <pic:blipFill>
                                          <a:blip r:embed="rId13"/>
                                          <a:stretch>
                                            <a:fillRect/>
                                          </a:stretch>
                                        </pic:blipFill>
                                        <pic:spPr bwMode="auto">
                                          <a:xfrm>
                                            <a:off x="0" y="0"/>
                                            <a:ext cx="4903470" cy="301752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D819F25" id="_x0000_s1027" type="#_x0000_t202" style="position:absolute;left:0;text-align:left;margin-left:0;margin-top:85.3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enW8EwIAADIEAAAOAAAAZHJzL2Uyb0RvYy54bWysU01v2zAMvQ/YfxB0X+xkaZcZcYqsRYYB&#13;&#10;RVsgHXpWZCk2IIuCxMTOfv0oOV/odhp2kUmT4sd7T/O7vjVsr3xowJZ8PMo5U1ZC1dhtyX++rj7N&#13;&#10;OAsobCUMWFXygwr8bvHxw7xzhZpADaZSnlERG4rOlbxGdEWWBVmrVoQROGUpqMG3Asn126zyoqPq&#13;&#10;rckmeX6bdeAr50GqEOjvwxDki1RfayXxWeugkJmS02yYTp/OTTyzxVwUWy9c3cjjGOIfpmhFY6np&#13;&#10;udSDQMF2vvmjVNtIDwE0jiS0GWjdSJV2oG3G+btt1rVwKu1C4AR3hin8v7Lyab92L55h/w16IjAC&#13;&#10;0rlQBPoZ9+m1b+OXJmUUJwgPZ9hUj0zGS7PJbJZTSFLs5FCd7HLd+YDfFbQsGiX3xEuCS+wfAw6p&#13;&#10;p5TYzcKqMSZxYyzrSn77+SZPF84RKm4s9bgMGy3sNz1rqqtFNlAdaD8PA/XByVVDMzyKgC/CE9c0&#13;&#10;N+kXn+nQBqgXHC3OavC//vY/5hMFFOWsI+2U3JK4OTM/LFHzdTydRqklZ3rzZUKOv45sriN2194D&#13;&#10;iXNM78TJZMZ8NCdTe2jfSOTL2JNCwkrqXHI8mfc46JkeiVTLZUoicTmBj3btZCwdMY34vvZvwrsj&#13;&#10;CUj8PcFJY6J4x8WQG28Gt9whMZKIiigPmB7BJ2Emqo+PKCr/2k9Zl6e++A0AAP//AwBQSwMEFAAG&#13;&#10;AAgAAAAhAILLYbriAAAADQEAAA8AAABkcnMvZG93bnJldi54bWxMj81Ow0AMhO9IvMPKSNzohgJp&#13;&#10;lGZToSJ6QRwoqFydrJtEyf4ou00DT485wcWSZ+TxfMVmNoOYaAydswpuFwkIsrXTnW0UfLw/32Qg&#13;&#10;QkSrcXCWFHxRgE15eVFgrt3ZvtG0j43gEBtyVNDG6HMpQ92SwbBwnix7RzcajLyOjdQjnjncDHKZ&#13;&#10;JKk02Fn+0KKnbUt1vz8ZBa942MVp7utd74/60/hqe/f9otT11fy05vG4BhFpjn8X8MvA/aHkYpU7&#13;&#10;WR3EoIBpIqurJAXB9jLLWKkU3D9kKciykP8pyh8AAAD//wMAUEsBAi0AFAAGAAgAAAAhALaDOJL+&#13;&#10;AAAA4QEAABMAAAAAAAAAAAAAAAAAAAAAAFtDb250ZW50X1R5cGVzXS54bWxQSwECLQAUAAYACAAA&#13;&#10;ACEAOP0h/9YAAACUAQAACwAAAAAAAAAAAAAAAAAvAQAAX3JlbHMvLnJlbHNQSwECLQAUAAYACAAA&#13;&#10;ACEAbnp1vBMCAAAyBAAADgAAAAAAAAAAAAAAAAAuAgAAZHJzL2Uyb0RvYy54bWxQSwECLQAUAAYA&#13;&#10;CAAAACEAgsthuuIAAAANAQAADwAAAAAAAAAAAAAAAABtBAAAZHJzL2Rvd25yZXYueG1sUEsFBgAA&#13;&#10;AAAEAAQA8wAAAHwFAAAAAA==&#13;&#10;" filled="f" stroked="f" strokeweight=".5pt">
                <v:fill o:detectmouseclick="t"/>
                <v:textbox style="mso-fit-shape-to-text:t">
                  <w:txbxContent>
                    <w:p w14:paraId="68811687" w14:textId="77777777" w:rsidR="00BB76F5" w:rsidRDefault="00BB76F5">
                      <w:pPr>
                        <w:pStyle w:val="FigureTitle"/>
                      </w:pPr>
                      <w:r>
                        <w:t>Figure 2</w:t>
                      </w:r>
                    </w:p>
                    <w:p w14:paraId="3B4A35B9" w14:textId="77777777" w:rsidR="00BB76F5" w:rsidRDefault="00BB76F5" w:rsidP="00BB76F5">
                      <w:pPr>
                        <w:pStyle w:val="Caption"/>
                        <w:spacing w:line="240" w:lineRule="auto"/>
                      </w:pPr>
                      <w:r>
                        <w:t xml:space="preserve">Activation decomposition for each response option in the simple span example from </w:t>
                      </w:r>
                      <w:hyperlink w:anchor="fig-task-example">
                        <w:r>
                          <w:rPr>
                            <w:rStyle w:val="Hyperlink"/>
                          </w:rPr>
                          <w:t>Figure 1</w:t>
                        </w:r>
                      </w:hyperlink>
                      <w:r>
                        <w:t>. Bars show the total activation for each option, decomposed into baseline (</w:t>
                      </w:r>
                      <m:oMath>
                        <m:r>
                          <w:rPr>
                            <w:rFonts w:ascii="Cambria Math" w:hAnsi="Cambria Math"/>
                          </w:rPr>
                          <m:t>b</m:t>
                        </m:r>
                      </m:oMath>
                      <w:r>
                        <w:t>, grey), item memory (</w:t>
                      </w:r>
                      <m:oMath>
                        <m:r>
                          <w:rPr>
                            <w:rFonts w:ascii="Cambria Math" w:hAnsi="Cambria Math"/>
                          </w:rPr>
                          <m:t>a</m:t>
                        </m:r>
                      </m:oMath>
                      <w:r>
                        <w:t>, blue), and context binding (</w:t>
                      </w:r>
                      <m:oMath>
                        <m:r>
                          <w:rPr>
                            <w:rFonts w:ascii="Cambria Math" w:hAnsi="Cambria Math"/>
                          </w:rPr>
                          <m:t>c</m:t>
                        </m:r>
                      </m:oMath>
                      <w:r>
                        <w:t>, orange). The correct target (D) receives all three sources (</w:t>
                      </w:r>
                      <m:oMath>
                        <m:r>
                          <w:rPr>
                            <w:rFonts w:ascii="Cambria Math" w:hAnsi="Cambria Math"/>
                          </w:rPr>
                          <m:t>b+a+c</m:t>
                        </m:r>
                      </m:oMath>
                      <w:r>
                        <w:t>), other studied items receive item memory and baseline (</w:t>
                      </w:r>
                      <m:oMath>
                        <m:r>
                          <w:rPr>
                            <w:rFonts w:ascii="Cambria Math" w:hAnsi="Cambria Math"/>
                          </w:rPr>
                          <m:t>b+a</m:t>
                        </m:r>
                      </m:oMath>
                      <w:r>
                        <w:t>), and not-presented lures receive only baseline (</w:t>
                      </w:r>
                      <m:oMath>
                        <m:r>
                          <w:rPr>
                            <w:rFonts w:ascii="Cambria Math" w:hAnsi="Cambria Math"/>
                          </w:rPr>
                          <m:t>b</m:t>
                        </m:r>
                      </m:oMath>
                      <w:r>
                        <w:t>). A choice rule converts these activations into response probabilities.</w:t>
                      </w:r>
                    </w:p>
                    <w:p w14:paraId="28FBDDA3" w14:textId="77777777" w:rsidR="00BB76F5" w:rsidRPr="008C4E0A" w:rsidRDefault="00BB76F5" w:rsidP="00BB76F5">
                      <w:pPr>
                        <w:pStyle w:val="FigureWithoutNote"/>
                        <w:jc w:val="center"/>
                        <w:rPr>
                          <w:noProof/>
                        </w:rPr>
                      </w:pPr>
                      <w:r>
                        <w:rPr>
                          <w:noProof/>
                        </w:rPr>
                        <w:drawing>
                          <wp:inline distT="0" distB="0" distL="0" distR="0" wp14:anchorId="0343D84E" wp14:editId="7D4351C0">
                            <wp:extent cx="4903470" cy="3017520"/>
                            <wp:effectExtent l="0" t="0" r="0" b="5080"/>
                            <wp:docPr id="12945284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figures/m3_activations.pdf"/>
                                    <pic:cNvPicPr>
                                      <a:picLocks noChangeAspect="1" noChangeArrowheads="1"/>
                                    </pic:cNvPicPr>
                                  </pic:nvPicPr>
                                  <pic:blipFill>
                                    <a:blip r:embed="rId13"/>
                                    <a:stretch>
                                      <a:fillRect/>
                                    </a:stretch>
                                  </pic:blipFill>
                                  <pic:spPr bwMode="auto">
                                    <a:xfrm>
                                      <a:off x="0" y="0"/>
                                      <a:ext cx="4903470" cy="3017520"/>
                                    </a:xfrm>
                                    <a:prstGeom prst="rect">
                                      <a:avLst/>
                                    </a:prstGeom>
                                    <a:noFill/>
                                    <a:ln w="9525">
                                      <a:noFill/>
                                      <a:headEnd/>
                                      <a:tailEnd/>
                                    </a:ln>
                                  </pic:spPr>
                                </pic:pic>
                              </a:graphicData>
                            </a:graphic>
                          </wp:inline>
                        </w:drawing>
                      </w:r>
                    </w:p>
                  </w:txbxContent>
                </v:textbox>
                <w10:wrap type="square"/>
              </v:shape>
            </w:pict>
          </mc:Fallback>
        </mc:AlternateContent>
      </w:r>
      <w:r w:rsidR="00000000">
        <w:t>These two examples illustrate how distinct theoretical perspectives can be encoded through the activation formulas.</w:t>
      </w:r>
      <w:r w:rsidR="00000000">
        <w:rPr>
          <w:rStyle w:val="FootnoteReference"/>
        </w:rPr>
        <w:footnoteReference w:id="2"/>
      </w:r>
      <w:r w:rsidR="00000000">
        <w:t xml:space="preserve"> </w:t>
      </w:r>
      <w:hyperlink w:anchor="fig-m3-activations">
        <w:r w:rsidR="00000000">
          <w:rPr>
            <w:rStyle w:val="Hyperlink"/>
          </w:rPr>
          <w:t>Figure 2</w:t>
        </w:r>
      </w:hyperlink>
      <w:r w:rsidR="00000000">
        <w:t xml:space="preserve"> visualizes the additive formulas from the simple span example: each response option receives activation from a subset of the three sources, with the </w:t>
      </w:r>
      <w:r w:rsidR="00000000">
        <w:lastRenderedPageBreak/>
        <w:t xml:space="preserve">correct target accumulating the most activation. A choice rule then converts these activations into response probabilities (see next section). The </w:t>
      </w:r>
      <w:r w:rsidR="00000000">
        <w:rPr>
          <w:rStyle w:val="VerbatimChar"/>
        </w:rPr>
        <w:t>bmm</w:t>
      </w:r>
      <w:r w:rsidR="00000000">
        <w:t xml:space="preserve"> package provides pre-specified formulas for the simple span and complex span versions proposed by Oberauer and Lewandowsky (</w:t>
      </w:r>
      <w:hyperlink w:anchor="ref-oberauer2019simple">
        <w:r w:rsidR="00000000">
          <w:rPr>
            <w:rStyle w:val="Hyperlink"/>
          </w:rPr>
          <w:t>2019</w:t>
        </w:r>
      </w:hyperlink>
      <w:r w:rsidR="00000000">
        <w:t>), and also allows users to define custom formulas for novel task designs.</w:t>
      </w:r>
    </w:p>
    <w:p w14:paraId="1FD1CDB4" w14:textId="6ED55BDC" w:rsidR="007B6D37" w:rsidRDefault="00000000">
      <w:pPr>
        <w:pStyle w:val="Heading2"/>
      </w:pPr>
      <w:bookmarkStart w:id="8" w:name="competitive-selection-and-choice-rules"/>
      <w:bookmarkEnd w:id="7"/>
      <w:r>
        <w:t>Competitive Selection and Choice Rules</w:t>
      </w:r>
    </w:p>
    <w:p w14:paraId="4ECD37EC" w14:textId="77777777" w:rsidR="007B6D37" w:rsidRDefault="00000000">
      <w:pPr>
        <w:pStyle w:val="FirstParagraph"/>
      </w:pPr>
      <w:r>
        <w:t xml:space="preserve">To link activations to observed responses, each category’s activation must be converted into a response probability.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assumes competitive selection, that is a category’s probability depends on its activation relative to all competitors. For implementing any choice rules that implement competitive selection the number of all competitors, that is options per category, needs to be known. Therefore, tasks designed for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should use a recognition format in which the experimenter controls the available response options instead of free-recall where participants generate their response set internally.</w:t>
      </w:r>
    </w:p>
    <w:p w14:paraId="31E74827" w14:textId="77777777" w:rsidR="007B6D37" w:rsidRDefault="00000000">
      <w:pPr>
        <w:pStyle w:val="BodyText"/>
      </w:pPr>
      <w:r>
        <w:t xml:space="preserve">Given these option counts,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provides two choice rules that differ in how activations are transformed before normalization. The </w:t>
      </w:r>
      <w:r>
        <w:rPr>
          <w:i/>
          <w:iCs/>
        </w:rPr>
        <w:t>simple</w:t>
      </w:r>
      <w:r>
        <w:t xml:space="preserve"> (or linear) choice rule (</w:t>
      </w:r>
      <w:hyperlink w:anchor="ref-luce1959individual">
        <w:r>
          <w:rPr>
            <w:rStyle w:val="Hyperlink"/>
          </w:rPr>
          <w:t>Luce, 1959</w:t>
        </w:r>
      </w:hyperlink>
      <w:r>
        <w:t>) normalizes activations directly:</w:t>
      </w:r>
    </w:p>
    <w:p w14:paraId="10C7DDD5" w14:textId="77777777" w:rsidR="007B6D37"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k</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j</m:t>
                  </m:r>
                </m:sub>
              </m:sSub>
            </m:den>
          </m:f>
        </m:oMath>
      </m:oMathPara>
    </w:p>
    <w:p w14:paraId="5E95E9CD" w14:textId="77777777" w:rsidR="007B6D37" w:rsidRDefault="00000000">
      <w:pPr>
        <w:pStyle w:val="FirstParagraph"/>
      </w:pPr>
      <w:r>
        <w:t xml:space="preserve">where </w:t>
      </w:r>
      <m:oMath>
        <m:sSub>
          <m:sSubPr>
            <m:ctrlPr>
              <w:rPr>
                <w:rFonts w:ascii="Cambria Math" w:hAnsi="Cambria Math"/>
              </w:rPr>
            </m:ctrlPr>
          </m:sSubPr>
          <m:e>
            <m:r>
              <m:rPr>
                <m:nor/>
              </m:rPr>
              <m:t>A</m:t>
            </m:r>
          </m:e>
          <m:sub>
            <m:r>
              <w:rPr>
                <w:rFonts w:ascii="Cambria Math" w:hAnsi="Cambria Math"/>
              </w:rPr>
              <m:t>k</m:t>
            </m:r>
          </m:sub>
        </m:sSub>
      </m:oMath>
      <w:r>
        <w:t xml:space="preserve"> is the total activation of an item for category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is the number of response options in that category. This rule requires all activations to be positive. To identify the scaling of activations, the baseline </w:t>
      </w:r>
      <m:oMath>
        <m:r>
          <w:rPr>
            <w:rFonts w:ascii="Cambria Math" w:hAnsi="Cambria Math"/>
          </w:rPr>
          <m:t>b</m:t>
        </m:r>
      </m:oMath>
      <w:r>
        <w:t xml:space="preserve"> is fixed at a small positive value (0.1 by default).</w:t>
      </w:r>
    </w:p>
    <w:p w14:paraId="38374ADE" w14:textId="77777777" w:rsidR="007B6D37" w:rsidRDefault="00000000">
      <w:pPr>
        <w:pStyle w:val="BodyText"/>
      </w:pPr>
      <w:r>
        <w:t xml:space="preserve">The </w:t>
      </w:r>
      <w:r>
        <w:rPr>
          <w:i/>
          <w:iCs/>
        </w:rPr>
        <w:t>softmax</w:t>
      </w:r>
      <w:r>
        <w:t xml:space="preserve"> (or exponential) choice rule applies an exponential transformation before normalization:</w:t>
      </w:r>
    </w:p>
    <w:p w14:paraId="3C4007FB" w14:textId="77777777" w:rsidR="007B6D37" w:rsidRDefault="00000000">
      <w:pPr>
        <w:pStyle w:val="BodyText"/>
      </w:pPr>
      <m:oMathPara>
        <m:oMathParaPr>
          <m:jc m:val="center"/>
        </m:oMathParaPr>
        <m:oMath>
          <m:r>
            <w:rPr>
              <w:rFonts w:ascii="Cambria Math" w:hAnsi="Cambria Math"/>
            </w:rPr>
            <w:lastRenderedPageBreak/>
            <m:t>P</m:t>
          </m:r>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nor/>
                        </m:rPr>
                        <m:t>A</m:t>
                      </m:r>
                    </m:e>
                    <m:sub>
                      <m:r>
                        <w:rPr>
                          <w:rFonts w:ascii="Cambria Math" w:hAnsi="Cambria Math"/>
                        </w:rPr>
                        <m:t>k</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nor/>
                        </m:rPr>
                        <m:t>A</m:t>
                      </m:r>
                    </m:e>
                    <m:sub>
                      <m:r>
                        <w:rPr>
                          <w:rFonts w:ascii="Cambria Math" w:hAnsi="Cambria Math"/>
                        </w:rPr>
                        <m:t>j</m:t>
                      </m:r>
                    </m:sub>
                  </m:sSub>
                </m:e>
              </m:d>
            </m:den>
          </m:f>
        </m:oMath>
      </m:oMathPara>
    </w:p>
    <w:p w14:paraId="7F7F0025" w14:textId="77777777" w:rsidR="007B6D37" w:rsidRDefault="00000000">
      <w:pPr>
        <w:pStyle w:val="FirstParagraph"/>
      </w:pPr>
      <w:r>
        <w:t xml:space="preserve">Because </w:t>
      </w:r>
      <m:oMath>
        <m:r>
          <m:rPr>
            <m:sty m:val="p"/>
          </m:rPr>
          <w:rPr>
            <w:rFonts w:ascii="Cambria Math" w:hAnsi="Cambria Math"/>
          </w:rPr>
          <m:t>exp</m:t>
        </m:r>
        <m:d>
          <m:dPr>
            <m:ctrlPr>
              <w:rPr>
                <w:rFonts w:ascii="Cambria Math" w:hAnsi="Cambria Math"/>
              </w:rPr>
            </m:ctrlPr>
          </m:dPr>
          <m:e>
            <m:r>
              <w:rPr>
                <w:rFonts w:ascii="Cambria Math" w:hAnsi="Cambria Math"/>
              </w:rPr>
              <m:t>x</m:t>
            </m:r>
          </m:e>
        </m:d>
        <m:r>
          <m:rPr>
            <m:sty m:val="p"/>
          </m:rPr>
          <w:rPr>
            <w:rFonts w:ascii="Cambria Math" w:hAnsi="Cambria Math"/>
          </w:rPr>
          <m:t>&gt;</m:t>
        </m:r>
        <m:r>
          <w:rPr>
            <w:rFonts w:ascii="Cambria Math" w:hAnsi="Cambria Math"/>
          </w:rPr>
          <m:t>0</m:t>
        </m:r>
      </m:oMath>
      <w:r>
        <w:t xml:space="preserve"> for all </w:t>
      </w:r>
      <m:oMath>
        <m:r>
          <w:rPr>
            <w:rFonts w:ascii="Cambria Math" w:hAnsi="Cambria Math"/>
          </w:rPr>
          <m:t>x</m:t>
        </m:r>
      </m:oMath>
      <w:r>
        <w:t xml:space="preserve">, softmax guarantees valid probabilities regardless of activation values. Again, to identify the scaling of activations, the baseline is fixed at </w:t>
      </w:r>
      <m:oMath>
        <m:r>
          <w:rPr>
            <w:rFonts w:ascii="Cambria Math" w:hAnsi="Cambria Math"/>
          </w:rPr>
          <m:t>b</m:t>
        </m:r>
        <m:r>
          <m:rPr>
            <m:sty m:val="p"/>
          </m:rPr>
          <w:rPr>
            <w:rFonts w:ascii="Cambria Math" w:hAnsi="Cambria Math"/>
          </w:rPr>
          <m:t>=</m:t>
        </m:r>
        <m:r>
          <w:rPr>
            <w:rFonts w:ascii="Cambria Math" w:hAnsi="Cambria Math"/>
          </w:rPr>
          <m:t>0</m:t>
        </m:r>
      </m:oMath>
      <w:r>
        <w:t xml:space="preserve"> (since </w:t>
      </w:r>
      <m:oMath>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oMath>
      <w:r>
        <w:t>, lures receive a positive baseline contribution automatically).</w:t>
      </w:r>
    </w:p>
    <w:p w14:paraId="46359516" w14:textId="77777777" w:rsidR="007B6D37" w:rsidRDefault="00000000">
      <w:pPr>
        <w:pStyle w:val="BodyText"/>
      </w:pPr>
      <w:r>
        <w:t xml:space="preserve">The softmax rule is formally equivalent to an </w:t>
      </w:r>
      <m:oMath>
        <m:r>
          <w:rPr>
            <w:rFonts w:ascii="Cambria Math" w:hAnsi="Cambria Math"/>
          </w:rPr>
          <m:t>n</m:t>
        </m:r>
      </m:oMath>
      <w:r>
        <w:t>-alternative forced-choice signal detection model with Gumbel-distributed noise (</w:t>
      </w:r>
      <w:hyperlink w:anchor="ref-thurstone1927law">
        <w:r>
          <w:rPr>
            <w:rStyle w:val="Hyperlink"/>
          </w:rPr>
          <w:t>Thurstone, 1927</w:t>
        </w:r>
      </w:hyperlink>
      <w:r>
        <w:t xml:space="preserve">; </w:t>
      </w:r>
      <w:hyperlink w:anchor="ref-yellott1977relationship">
        <w:r>
          <w:rPr>
            <w:rStyle w:val="Hyperlink"/>
          </w:rPr>
          <w:t>Yellott, 1977</w:t>
        </w:r>
      </w:hyperlink>
      <w:r>
        <w:t>). Under this interpretation, each category’s activation represents a deterministic signal, independent Gumbel noise is added to each alternative, and the observer selects the category with the highest noisy value. This equivalence gives activation parameters a principled interpretation as discriminability measures. Recent empirical comparisons have favored the softmax rule over the simple rule for working memory data (</w:t>
      </w:r>
      <w:hyperlink w:anchor="ref-li2026filtering">
        <w:r>
          <w:rPr>
            <w:rStyle w:val="Hyperlink"/>
          </w:rPr>
          <w:t>Li et al., 2026</w:t>
        </w:r>
      </w:hyperlink>
      <w:r>
        <w:t xml:space="preserve">; </w:t>
      </w:r>
      <w:hyperlink w:anchor="ref-oberauer2023measurement">
        <w:r>
          <w:rPr>
            <w:rStyle w:val="Hyperlink"/>
          </w:rPr>
          <w:t>Oberauer, 2023</w:t>
        </w:r>
      </w:hyperlink>
      <w:r>
        <w:t>) although the simple choice rule was endorsed initially (</w:t>
      </w:r>
      <w:hyperlink w:anchor="ref-oberauer2019simple">
        <w:r>
          <w:rPr>
            <w:rStyle w:val="Hyperlink"/>
          </w:rPr>
          <w:t>Oberauer &amp; Lewandowsky, 2019</w:t>
        </w:r>
      </w:hyperlink>
      <w:r>
        <w:t>). Tutorial 1 compares both rules; Tutorials 2–4 use the softmax rule as the default.</w:t>
      </w:r>
    </w:p>
    <w:p w14:paraId="78CDC890" w14:textId="77777777" w:rsidR="00BB76F5" w:rsidRDefault="00BB76F5">
      <w:pPr>
        <w:pStyle w:val="BodyText"/>
      </w:pPr>
    </w:p>
    <w:p w14:paraId="10A53A65" w14:textId="77777777" w:rsidR="007B6D37" w:rsidRDefault="00000000">
      <w:pPr>
        <w:pStyle w:val="Heading2"/>
      </w:pPr>
      <w:bookmarkStart w:id="9" w:name="model-versions"/>
      <w:bookmarkEnd w:id="8"/>
      <w:r>
        <w:t>Model Versions</w:t>
      </w:r>
    </w:p>
    <w:p w14:paraId="2DBE0085" w14:textId="77777777" w:rsidR="007B6D37" w:rsidRDefault="00000000">
      <w:pPr>
        <w:pStyle w:val="FirstParagraph"/>
      </w:pPr>
      <w:r>
        <w:t xml:space="preserve">The </w:t>
      </w:r>
      <w:r>
        <w:rPr>
          <w:rStyle w:val="VerbatimChar"/>
        </w:rPr>
        <w:t>bmm</w:t>
      </w:r>
      <w:r>
        <w:t xml:space="preserve"> package provides three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versions, two of which implement canonical paradigms often used in working memory research. The versions differ in the response categories and estimated parameters. Here we shortly introduce them, the following tutorials provide more details.</w:t>
      </w:r>
    </w:p>
    <w:p w14:paraId="6D26C142" w14:textId="77777777" w:rsidR="007B6D37" w:rsidRDefault="00000000">
      <w:pPr>
        <w:pStyle w:val="BodyText"/>
      </w:pPr>
      <w:r>
        <w:t xml:space="preserve">The </w:t>
      </w:r>
      <w:r>
        <w:rPr>
          <w:b/>
          <w:bCs/>
        </w:rPr>
        <w:t>simple span</w:t>
      </w:r>
      <w:r>
        <w:t xml:space="preserve"> (</w:t>
      </w:r>
      <w:r>
        <w:rPr>
          <w:rStyle w:val="VerbatimChar"/>
        </w:rPr>
        <w:t>ss</w:t>
      </w:r>
      <w:r>
        <w:t xml:space="preserve">) version implements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for cued recall tasks separating three response categories (correct response, other, lures) with two free parameters (</w:t>
      </w:r>
      <m:oMath>
        <m:r>
          <w:rPr>
            <w:rFonts w:ascii="Cambria Math" w:hAnsi="Cambria Math"/>
          </w:rPr>
          <m:t>a</m:t>
        </m:r>
      </m:oMath>
      <w:r>
        <w:t xml:space="preserve">, </w:t>
      </w:r>
      <m:oMath>
        <m:r>
          <w:rPr>
            <w:rFonts w:ascii="Cambria Math" w:hAnsi="Cambria Math"/>
          </w:rPr>
          <m:t>c</m:t>
        </m:r>
      </m:oMath>
      <w:r>
        <w:t>). It implements the additive activation formula proposed by Oberauer and Lewandowsky (</w:t>
      </w:r>
      <w:hyperlink w:anchor="ref-oberauer2019simple">
        <w:r>
          <w:rPr>
            <w:rStyle w:val="Hyperlink"/>
          </w:rPr>
          <w:t>2019</w:t>
        </w:r>
      </w:hyperlink>
      <w:r>
        <w:t>).</w:t>
      </w:r>
    </w:p>
    <w:p w14:paraId="02D1041B" w14:textId="77777777" w:rsidR="007B6D37" w:rsidRDefault="00000000">
      <w:pPr>
        <w:pStyle w:val="BodyText"/>
      </w:pPr>
      <w:r>
        <w:lastRenderedPageBreak/>
        <w:t xml:space="preserve">The </w:t>
      </w:r>
      <w:r>
        <w:rPr>
          <w:b/>
          <w:bCs/>
        </w:rPr>
        <w:t>complex span</w:t>
      </w:r>
      <w:r>
        <w:t xml:space="preserve"> (</w:t>
      </w:r>
      <w:r>
        <w:rPr>
          <w:rStyle w:val="VerbatimChar"/>
        </w:rPr>
        <w:t>cs</w:t>
      </w:r>
      <w:r>
        <w:t>) version extends the simple span to tasks that interleave distractor processing with memorization. It requires that memoranda and distractors are drawn from the same material so that distractors can plausibly intrude during retrieval (</w:t>
      </w:r>
      <w:hyperlink w:anchor="ref-li2026filtering">
        <w:r>
          <w:rPr>
            <w:rStyle w:val="Hyperlink"/>
          </w:rPr>
          <w:t>Li et al., 2026</w:t>
        </w:r>
      </w:hyperlink>
      <w:r>
        <w:t xml:space="preserve">; for examples, see </w:t>
      </w:r>
      <w:hyperlink w:anchor="ref-oberauer2019simple">
        <w:r>
          <w:rPr>
            <w:rStyle w:val="Hyperlink"/>
          </w:rPr>
          <w:t>Oberauer &amp; Lewandowsky, 2019</w:t>
        </w:r>
      </w:hyperlink>
      <w:r>
        <w:t xml:space="preserve">). The </w:t>
      </w:r>
      <w:r>
        <w:rPr>
          <w:rStyle w:val="VerbatimChar"/>
        </w:rPr>
        <w:t>cs</w:t>
      </w:r>
      <w:r>
        <w:t xml:space="preserve"> version separates five response categories (correct, paired distractor, other memorandum, other distractor, and NPL) with three free parameters (</w:t>
      </w:r>
      <m:oMath>
        <m:r>
          <w:rPr>
            <w:rFonts w:ascii="Cambria Math" w:hAnsi="Cambria Math"/>
          </w:rPr>
          <m:t>a</m:t>
        </m:r>
      </m:oMath>
      <w:r>
        <w:t xml:space="preserve">, </w:t>
      </w:r>
      <m:oMath>
        <m:r>
          <w:rPr>
            <w:rFonts w:ascii="Cambria Math" w:hAnsi="Cambria Math"/>
          </w:rPr>
          <m:t>c</m:t>
        </m:r>
      </m:oMath>
      <w:r>
        <w:t xml:space="preserve">, </w:t>
      </w:r>
      <m:oMath>
        <m:r>
          <w:rPr>
            <w:rFonts w:ascii="Cambria Math" w:hAnsi="Cambria Math"/>
          </w:rPr>
          <m:t>f</m:t>
        </m:r>
      </m:oMath>
      <w:r>
        <w:t xml:space="preserve">). The additional parameter </w:t>
      </w:r>
      <m:oMath>
        <m:r>
          <w:rPr>
            <w:rFonts w:ascii="Cambria Math" w:hAnsi="Cambria Math"/>
          </w:rPr>
          <m:t>f</m:t>
        </m:r>
      </m:oMath>
      <w:r>
        <w:t xml:space="preserve"> captures distractor filtering efficiency on a scale from 0 to 1: </w:t>
      </w:r>
      <m:oMath>
        <m:r>
          <w:rPr>
            <w:rFonts w:ascii="Cambria Math" w:hAnsi="Cambria Math"/>
          </w:rPr>
          <m:t>f</m:t>
        </m:r>
        <m:r>
          <m:rPr>
            <m:sty m:val="p"/>
          </m:rPr>
          <w:rPr>
            <w:rFonts w:ascii="Cambria Math" w:hAnsi="Cambria Math"/>
          </w:rPr>
          <m:t>=</m:t>
        </m:r>
        <m:r>
          <w:rPr>
            <w:rFonts w:ascii="Cambria Math" w:hAnsi="Cambria Math"/>
          </w:rPr>
          <m:t>0</m:t>
        </m:r>
      </m:oMath>
      <w:r>
        <w:t xml:space="preserve"> indicates perfect filtering (distractors receive only baseline activation), while </w:t>
      </w:r>
      <m:oMath>
        <m:r>
          <w:rPr>
            <w:rFonts w:ascii="Cambria Math" w:hAnsi="Cambria Math"/>
          </w:rPr>
          <m:t>f</m:t>
        </m:r>
        <m:r>
          <m:rPr>
            <m:sty m:val="p"/>
          </m:rPr>
          <w:rPr>
            <w:rFonts w:ascii="Cambria Math" w:hAnsi="Cambria Math"/>
          </w:rPr>
          <m:t>=</m:t>
        </m:r>
        <m:r>
          <w:rPr>
            <w:rFonts w:ascii="Cambria Math" w:hAnsi="Cambria Math"/>
          </w:rPr>
          <m:t>1</m:t>
        </m:r>
      </m:oMath>
      <w:r>
        <w:t xml:space="preserve"> indicates no filtering (distractors are activated as strongly as memoranda).</w:t>
      </w:r>
    </w:p>
    <w:p w14:paraId="27972E57" w14:textId="77777777" w:rsidR="007B6D37" w:rsidRDefault="00000000">
      <w:pPr>
        <w:pStyle w:val="BodyText"/>
      </w:pPr>
      <w:r>
        <w:t xml:space="preserve">The </w:t>
      </w:r>
      <w:r>
        <w:rPr>
          <w:b/>
          <w:bCs/>
        </w:rPr>
        <w:t>custom</w:t>
      </w:r>
      <w:r>
        <w:t xml:space="preserve"> version allows user-defined response categories, activation formulas, and parameters. This version allows researchers to specify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of arbitrary complexity for novel task designs, as long as the model remains identified. The only requirement is that all activation formulas include the baseline activation </w:t>
      </w:r>
      <m:oMath>
        <m:r>
          <w:rPr>
            <w:rFonts w:ascii="Cambria Math" w:hAnsi="Cambria Math"/>
          </w:rPr>
          <m:t>b</m:t>
        </m:r>
      </m:oMath>
      <w:r>
        <w:t xml:space="preserve">, which reflects random guessing if no other activations were included. The </w:t>
      </w:r>
      <w:r>
        <w:rPr>
          <w:rStyle w:val="VerbatimChar"/>
        </w:rPr>
        <w:t>bmm</w:t>
      </w:r>
      <w:r>
        <w:t xml:space="preserve"> package provides a flexible syntax for defining custom models. Tutorial 3 demonstrates how to define and fit a custom model, and Tutorial 4 shows how to validate custom models through parameter recovery simulations.</w:t>
      </w:r>
    </w:p>
    <w:p w14:paraId="21B5FFFC" w14:textId="77777777" w:rsidR="00BB76F5" w:rsidRDefault="00BB76F5">
      <w:pPr>
        <w:pStyle w:val="BodyText"/>
      </w:pPr>
    </w:p>
    <w:p w14:paraId="6DD991BA" w14:textId="77777777" w:rsidR="007B6D37" w:rsidRDefault="00000000">
      <w:pPr>
        <w:pStyle w:val="Heading2"/>
      </w:pPr>
      <w:bookmarkStart w:id="10" w:name="the-bmm-workflow"/>
      <w:bookmarkEnd w:id="9"/>
      <w:r>
        <w:t>The bmm Workflow</w:t>
      </w:r>
    </w:p>
    <w:p w14:paraId="4EB88069" w14:textId="77777777" w:rsidR="007B6D37" w:rsidRDefault="00000000">
      <w:pPr>
        <w:pStyle w:val="FirstParagraph"/>
      </w:pPr>
      <w:r>
        <w:t xml:space="preserve">Fitting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the </w:t>
      </w:r>
      <w:r>
        <w:rPr>
          <w:rStyle w:val="VerbatimChar"/>
        </w:rPr>
        <w:t>bmm</w:t>
      </w:r>
      <w:r>
        <w:t xml:space="preserve"> R package (</w:t>
      </w:r>
      <w:hyperlink w:anchor="ref-bmm2025">
        <w:r>
          <w:rPr>
            <w:rStyle w:val="Hyperlink"/>
          </w:rPr>
          <w:t>Popov et al., 2025</w:t>
        </w:r>
      </w:hyperlink>
      <w:r>
        <w:t>) follows a three-step workflow that is consistent for all measurement models implemented in the package:</w:t>
      </w:r>
    </w:p>
    <w:p w14:paraId="17230EF1" w14:textId="77777777" w:rsidR="007B6D37" w:rsidRDefault="00000000" w:rsidP="00BB76F5">
      <w:pPr>
        <w:pStyle w:val="Compact"/>
        <w:numPr>
          <w:ilvl w:val="0"/>
          <w:numId w:val="24"/>
        </w:numPr>
        <w:spacing w:line="480" w:lineRule="auto"/>
      </w:pPr>
      <w:r>
        <w:rPr>
          <w:b/>
          <w:bCs/>
        </w:rPr>
        <w:t>Define the model</w:t>
      </w:r>
      <w:r>
        <w:t xml:space="preserve">: The package includes a constructor function </w:t>
      </w:r>
      <w:r>
        <w:rPr>
          <w:rStyle w:val="VerbatimChar"/>
        </w:rPr>
        <w:t>m3()</w:t>
      </w:r>
      <w:r>
        <w:t xml:space="preserve"> that generates a model object with all relevant information for model specification. This entails the variable names of response categories in the data, the number of response options per category, the model version, and the choice rule.</w:t>
      </w:r>
    </w:p>
    <w:p w14:paraId="37010260" w14:textId="77777777" w:rsidR="007B6D37" w:rsidRDefault="00000000" w:rsidP="00BB76F5">
      <w:pPr>
        <w:pStyle w:val="Compact"/>
        <w:numPr>
          <w:ilvl w:val="0"/>
          <w:numId w:val="24"/>
        </w:numPr>
        <w:spacing w:line="480" w:lineRule="auto"/>
      </w:pPr>
      <w:r>
        <w:rPr>
          <w:b/>
          <w:bCs/>
        </w:rPr>
        <w:lastRenderedPageBreak/>
        <w:t>Specify predictor formulas</w:t>
      </w:r>
      <w:r>
        <w:t xml:space="preserve">: The </w:t>
      </w:r>
      <w:r>
        <w:rPr>
          <w:rStyle w:val="VerbatimChar"/>
        </w:rPr>
        <w:t>bmm</w:t>
      </w:r>
      <w:r>
        <w:t xml:space="preserve"> package provides a </w:t>
      </w:r>
      <w:r>
        <w:rPr>
          <w:rStyle w:val="VerbatimChar"/>
        </w:rPr>
        <w:t>bmmformula()</w:t>
      </w:r>
      <w:r>
        <w:t xml:space="preserve"> or shorthand </w:t>
      </w:r>
      <w:r>
        <w:rPr>
          <w:rStyle w:val="VerbatimChar"/>
        </w:rPr>
        <w:t>bmf()</w:t>
      </w:r>
      <w:r>
        <w:t xml:space="preserve"> function to specify the linear prediction formulas that define how experimental conditions and individual differences predict each activation parameter. The </w:t>
      </w:r>
      <w:r>
        <w:rPr>
          <w:rStyle w:val="VerbatimChar"/>
        </w:rPr>
        <w:t>bmmformula</w:t>
      </w:r>
      <w:r>
        <w:t xml:space="preserve"> syntax uses the same formula syntax as </w:t>
      </w:r>
      <w:r>
        <w:rPr>
          <w:rStyle w:val="VerbatimChar"/>
        </w:rPr>
        <w:t>brms</w:t>
      </w:r>
      <w:r>
        <w:t xml:space="preserve"> (</w:t>
      </w:r>
      <w:hyperlink w:anchor="ref-burkner2017brms">
        <w:r>
          <w:rPr>
            <w:rStyle w:val="Hyperlink"/>
          </w:rPr>
          <w:t>Bürkner, 2017</w:t>
        </w:r>
      </w:hyperlink>
      <w:r>
        <w:t>) and also includes random effects and non-linear formulas.</w:t>
      </w:r>
      <w:r>
        <w:rPr>
          <w:rStyle w:val="FootnoteReference"/>
        </w:rPr>
        <w:footnoteReference w:id="3"/>
      </w:r>
    </w:p>
    <w:p w14:paraId="3CC4FA03" w14:textId="77777777" w:rsidR="007B6D37" w:rsidRDefault="00000000" w:rsidP="00BB76F5">
      <w:pPr>
        <w:pStyle w:val="Compact"/>
        <w:numPr>
          <w:ilvl w:val="0"/>
          <w:numId w:val="24"/>
        </w:numPr>
        <w:spacing w:line="480" w:lineRule="auto"/>
      </w:pPr>
      <w:r>
        <w:rPr>
          <w:b/>
          <w:bCs/>
        </w:rPr>
        <w:t>Fit the model</w:t>
      </w:r>
      <w:r>
        <w:t xml:space="preserve">: The model object and prediction formula are passed to </w:t>
      </w:r>
      <w:r>
        <w:rPr>
          <w:rStyle w:val="VerbatimChar"/>
        </w:rPr>
        <w:t>bmm()</w:t>
      </w:r>
      <w:r>
        <w:t xml:space="preserve"> together with the data. This function translates the specification into a </w:t>
      </w:r>
      <w:r>
        <w:rPr>
          <w:rStyle w:val="VerbatimChar"/>
        </w:rPr>
        <w:t>brms</w:t>
      </w:r>
      <w:r>
        <w:t xml:space="preserve"> model and passes it to Stan (</w:t>
      </w:r>
      <w:hyperlink w:anchor="ref-carpenter2017stan">
        <w:r>
          <w:rPr>
            <w:rStyle w:val="Hyperlink"/>
          </w:rPr>
          <w:t>Carpenter et al., 2017</w:t>
        </w:r>
      </w:hyperlink>
      <w:r>
        <w:t>) for Bayesian estimation.</w:t>
      </w:r>
    </w:p>
    <w:p w14:paraId="6BB81676" w14:textId="654D5570" w:rsidR="00BB76F5" w:rsidRDefault="00000000" w:rsidP="00BB76F5">
      <w:pPr>
        <w:pStyle w:val="FirstParagraph"/>
      </w:pPr>
      <w:r>
        <w:t xml:space="preserve">Because </w:t>
      </w:r>
      <w:r>
        <w:rPr>
          <w:rStyle w:val="VerbatimChar"/>
        </w:rPr>
        <w:t>bmm</w:t>
      </w:r>
      <w:r>
        <w:t xml:space="preserve"> builds on </w:t>
      </w:r>
      <w:r>
        <w:rPr>
          <w:rStyle w:val="VerbatimChar"/>
        </w:rPr>
        <w:t>brms</w:t>
      </w:r>
      <w:r>
        <w:t xml:space="preserve">, fitted models inherit most of the </w:t>
      </w:r>
      <w:r>
        <w:rPr>
          <w:rStyle w:val="VerbatimChar"/>
        </w:rPr>
        <w:t>brms</w:t>
      </w:r>
      <w:r>
        <w:t xml:space="preserve"> post-processing ecosystem, including posterior predictive checks, hypothesis tests, and model comparison.</w:t>
      </w:r>
      <w:r>
        <w:rPr>
          <w:rStyle w:val="FootnoteReference"/>
        </w:rPr>
        <w:footnoteReference w:id="4"/>
      </w:r>
    </w:p>
    <w:p w14:paraId="62D3943C" w14:textId="77777777" w:rsidR="00BB76F5" w:rsidRDefault="00BB76F5">
      <w:pPr>
        <w:spacing w:after="200" w:line="240" w:lineRule="auto"/>
      </w:pPr>
      <w:r>
        <w:br w:type="page"/>
      </w:r>
    </w:p>
    <w:p w14:paraId="104290C0" w14:textId="77777777" w:rsidR="007B6D37" w:rsidRDefault="00000000">
      <w:pPr>
        <w:pStyle w:val="Heading1"/>
      </w:pPr>
      <w:bookmarkStart w:id="11" w:name="tutorial-1-simple-span-m3"/>
      <w:bookmarkEnd w:id="6"/>
      <w:bookmarkEnd w:id="10"/>
      <w:r>
        <w:lastRenderedPageBreak/>
        <w:t xml:space="preserve">Tutorial 1: Simple Span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64B7CE2B" w14:textId="77777777" w:rsidR="007B6D37" w:rsidRDefault="00000000">
      <w:pPr>
        <w:pStyle w:val="FirstParagraph"/>
      </w:pPr>
      <w:r>
        <w:t xml:space="preserve">This tutorial walks through the complete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workflow for the </w:t>
      </w:r>
      <w:r>
        <w:rPr>
          <w:i/>
          <w:iCs/>
        </w:rPr>
        <w:t>simple span</w:t>
      </w:r>
      <w:r>
        <w:t xml:space="preserve"> (ss) version using data from Oberauer (</w:t>
      </w:r>
      <w:hyperlink w:anchor="ref-oberauer2019bindings">
        <w:r>
          <w:rPr>
            <w:rStyle w:val="Hyperlink"/>
          </w:rPr>
          <w:t>2019</w:t>
        </w:r>
      </w:hyperlink>
      <w:r>
        <w:t>), who measured cued recall with words presented in boxes distributed horizontally on the screen. Two experiments (20 participants each) differed in stimulus set type: Experiment 1 used new words on each trial (open set), while Experiment 2 reused a small set of words across trials (closed set). Set size (2, 4, 6, 8 pairs) varied within participants. For more details on the experimental procedure please refer to the original publication. The full companion script available in the online supplement (</w:t>
      </w:r>
      <w:r>
        <w:rPr>
          <w:rStyle w:val="VerbatimChar"/>
        </w:rPr>
        <w:t>scripts/tutorial1_simple_</w:t>
      </w:r>
      <w:proofErr w:type="gramStart"/>
      <w:r>
        <w:rPr>
          <w:rStyle w:val="VerbatimChar"/>
        </w:rPr>
        <w:t>span.R</w:t>
      </w:r>
      <w:proofErr w:type="gramEnd"/>
      <w:r>
        <w:t>) contains all code; we reproduce the key steps here.</w:t>
      </w:r>
    </w:p>
    <w:p w14:paraId="0B9C8C44" w14:textId="77777777" w:rsidR="00BB76F5" w:rsidRPr="00BB76F5" w:rsidRDefault="00BB76F5" w:rsidP="00BB76F5">
      <w:pPr>
        <w:pStyle w:val="BodyText"/>
      </w:pPr>
    </w:p>
    <w:p w14:paraId="7A6D3F34" w14:textId="77777777" w:rsidR="007B6D37" w:rsidRDefault="00000000">
      <w:pPr>
        <w:pStyle w:val="Heading2"/>
      </w:pPr>
      <w:bookmarkStart w:id="12" w:name="data"/>
      <w:r>
        <w:t>Data</w:t>
      </w:r>
    </w:p>
    <w:p w14:paraId="4C1EAA32" w14:textId="77777777" w:rsidR="007B6D37" w:rsidRDefault="00000000">
      <w:pPr>
        <w:pStyle w:val="FirstParagraph"/>
      </w:pPr>
      <w:r>
        <w:t xml:space="preserve">Each recognition trial presents a position probe (“?”) in one of the boxes together with a set of response options. This set contained the correct target, other studied items from the same list, and not-presented lures. Participants selected one item, producing a categorical response: </w:t>
      </w:r>
      <w:r>
        <w:rPr>
          <w:i/>
          <w:iCs/>
        </w:rPr>
        <w:t>correct</w:t>
      </w:r>
      <w:r>
        <w:t xml:space="preserve">, </w:t>
      </w:r>
      <w:r>
        <w:rPr>
          <w:i/>
          <w:iCs/>
        </w:rPr>
        <w:t>other</w:t>
      </w:r>
      <w:r>
        <w:t xml:space="preserve"> (intrusion from a different list position), or </w:t>
      </w:r>
      <w:r>
        <w:rPr>
          <w:i/>
          <w:iCs/>
        </w:rPr>
        <w:t>NPL</w:t>
      </w:r>
      <w:r>
        <w:t xml:space="preserve"> (not-presented lure). The number of response options per category varied across 24 recognition conditions (combinations of set size, list items in the recognition set, and number of lures) that we will not model in detail here.</w:t>
      </w:r>
    </w:p>
    <w:p w14:paraId="4F742731" w14:textId="77777777" w:rsidR="007B6D37" w:rsidRDefault="00000000">
      <w:pPr>
        <w:pStyle w:val="BodyText"/>
      </w:pPr>
      <w:r>
        <w:t xml:space="preserve">A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in </w:t>
      </w:r>
      <w:r>
        <w:rPr>
          <w:rStyle w:val="VerbatimChar"/>
        </w:rPr>
        <w:t>bmm</w:t>
      </w:r>
      <w:r>
        <w:t xml:space="preserve"> expects aggregated data with one row per participant and condition. Each row must contain (a) response frequency counts for each response category — that is how often the participant chose each category — and (b) the number of response options available per category. For the simple span version, the three response categories are </w:t>
      </w:r>
      <w:r>
        <w:rPr>
          <w:i/>
          <w:iCs/>
        </w:rPr>
        <w:t>correct</w:t>
      </w:r>
      <w:r>
        <w:t xml:space="preserve">, </w:t>
      </w:r>
      <w:r>
        <w:rPr>
          <w:i/>
          <w:iCs/>
        </w:rPr>
        <w:t>other</w:t>
      </w:r>
      <w:r>
        <w:t xml:space="preserve">, and </w:t>
      </w:r>
      <w:r>
        <w:rPr>
          <w:i/>
          <w:iCs/>
        </w:rPr>
        <w:t>NPL</w:t>
      </w:r>
      <w:r>
        <w:t>, so the dataset requires three frequency columns (</w:t>
      </w:r>
      <w:r>
        <w:rPr>
          <w:rStyle w:val="VerbatimChar"/>
        </w:rPr>
        <w:t>corr</w:t>
      </w:r>
      <w:r>
        <w:t xml:space="preserve">, </w:t>
      </w:r>
      <w:r>
        <w:rPr>
          <w:rStyle w:val="VerbatimChar"/>
        </w:rPr>
        <w:t>other</w:t>
      </w:r>
      <w:r>
        <w:t xml:space="preserve">, </w:t>
      </w:r>
      <w:r>
        <w:rPr>
          <w:rStyle w:val="VerbatimChar"/>
        </w:rPr>
        <w:t>npl</w:t>
      </w:r>
      <w:r>
        <w:t>) and three option-count columns (</w:t>
      </w:r>
      <w:r>
        <w:rPr>
          <w:rStyle w:val="VerbatimChar"/>
        </w:rPr>
        <w:t>n_corr</w:t>
      </w:r>
      <w:r>
        <w:t xml:space="preserve">, </w:t>
      </w:r>
      <w:r>
        <w:rPr>
          <w:rStyle w:val="VerbatimChar"/>
        </w:rPr>
        <w:t>n_other</w:t>
      </w:r>
      <w:r>
        <w:t xml:space="preserve">, </w:t>
      </w:r>
      <w:r>
        <w:rPr>
          <w:rStyle w:val="VerbatimChar"/>
        </w:rPr>
        <w:t>n_npl</w:t>
      </w:r>
      <w:r>
        <w:t xml:space="preserve">). Any predictors of interest (here, mean-centered set size </w:t>
      </w:r>
      <w:r>
        <w:rPr>
          <w:rStyle w:val="VerbatimChar"/>
        </w:rPr>
        <w:lastRenderedPageBreak/>
        <w:t>ss_lin</w:t>
      </w:r>
      <w:r>
        <w:t xml:space="preserve"> and experiment </w:t>
      </w:r>
      <w:r>
        <w:rPr>
          <w:rStyle w:val="VerbatimChar"/>
        </w:rPr>
        <w:t>exp</w:t>
      </w:r>
      <w:r>
        <w:t>) are included as additional columns. The companion script (</w:t>
      </w:r>
      <w:r>
        <w:rPr>
          <w:rStyle w:val="VerbatimChar"/>
        </w:rPr>
        <w:t>scripts/tutorial1_simple_span.R</w:t>
      </w:r>
      <w:r>
        <w:t>) shows how to aggregate trial-level data from Oberauer (</w:t>
      </w:r>
      <w:hyperlink w:anchor="ref-oberauer2019bindings">
        <w:r>
          <w:rPr>
            <w:rStyle w:val="Hyperlink"/>
          </w:rPr>
          <w:t>2019</w:t>
        </w:r>
      </w:hyperlink>
      <w:r>
        <w:t xml:space="preserve">) into this format; the resulting dataset has 960 rows (40 participants </w:t>
      </w:r>
      <m:oMath>
        <m:r>
          <m:rPr>
            <m:sty m:val="p"/>
          </m:rPr>
          <w:rPr>
            <w:rFonts w:ascii="Cambria Math" w:hAnsi="Cambria Math"/>
          </w:rPr>
          <m:t>×</m:t>
        </m:r>
      </m:oMath>
      <w:r>
        <w:t xml:space="preserve"> 24 recognition conditions). Below are the first rows of the data set:</w:t>
      </w:r>
    </w:p>
    <w:p w14:paraId="51465E69" w14:textId="52767D96" w:rsidR="00BB76F5" w:rsidRPr="00BB76F5" w:rsidRDefault="00000000" w:rsidP="00BB76F5">
      <w:pPr>
        <w:pStyle w:val="SourceCode"/>
        <w:spacing w:line="240" w:lineRule="auto"/>
        <w:rPr>
          <w:rFonts w:ascii="Consolas" w:hAnsi="Consolas"/>
          <w:i/>
          <w:sz w:val="21"/>
          <w:szCs w:val="22"/>
        </w:rPr>
      </w:pPr>
      <w:r w:rsidRPr="00BB76F5">
        <w:rPr>
          <w:rStyle w:val="VerbatimChar"/>
          <w:sz w:val="21"/>
          <w:szCs w:val="22"/>
        </w:rPr>
        <w:t># A tibble: 6 × 12</w:t>
      </w:r>
      <w:r w:rsidRPr="00BB76F5">
        <w:rPr>
          <w:sz w:val="22"/>
          <w:szCs w:val="22"/>
        </w:rPr>
        <w:br/>
      </w:r>
      <w:r w:rsidRPr="00BB76F5">
        <w:rPr>
          <w:rStyle w:val="VerbatimChar"/>
          <w:sz w:val="21"/>
          <w:szCs w:val="22"/>
        </w:rPr>
        <w:t xml:space="preserve">  id     exp   setsize rsizeList </w:t>
      </w:r>
      <w:proofErr w:type="gramStart"/>
      <w:r w:rsidRPr="00BB76F5">
        <w:rPr>
          <w:rStyle w:val="VerbatimChar"/>
          <w:sz w:val="21"/>
          <w:szCs w:val="22"/>
        </w:rPr>
        <w:t>rsizeNPL  corr</w:t>
      </w:r>
      <w:proofErr w:type="gramEnd"/>
      <w:r w:rsidRPr="00BB76F5">
        <w:rPr>
          <w:rStyle w:val="VerbatimChar"/>
          <w:sz w:val="21"/>
          <w:szCs w:val="22"/>
        </w:rPr>
        <w:t xml:space="preserve"> other   npl n_corr n_other n_npl</w:t>
      </w:r>
      <w:r w:rsidRPr="00BB76F5">
        <w:rPr>
          <w:sz w:val="22"/>
          <w:szCs w:val="22"/>
        </w:rPr>
        <w:br/>
      </w:r>
      <w:r w:rsidRPr="00BB76F5">
        <w:rPr>
          <w:rStyle w:val="VerbatimChar"/>
          <w:sz w:val="21"/>
          <w:szCs w:val="22"/>
        </w:rPr>
        <w:t xml:space="preserve">  &lt;chr</w:t>
      </w:r>
      <w:proofErr w:type="gramStart"/>
      <w:r w:rsidRPr="00BB76F5">
        <w:rPr>
          <w:rStyle w:val="VerbatimChar"/>
          <w:sz w:val="21"/>
          <w:szCs w:val="22"/>
        </w:rPr>
        <w:t>&gt;  &lt;</w:t>
      </w:r>
      <w:proofErr w:type="gramEnd"/>
      <w:r w:rsidRPr="00BB76F5">
        <w:rPr>
          <w:rStyle w:val="VerbatimChar"/>
          <w:sz w:val="21"/>
          <w:szCs w:val="22"/>
        </w:rPr>
        <w:t>fct&gt;   &lt;int&gt;     &lt;int&gt;    &lt;int&gt; &lt;int&gt; &lt;int&gt; &lt;int</w:t>
      </w:r>
      <w:proofErr w:type="gramStart"/>
      <w:r w:rsidRPr="00BB76F5">
        <w:rPr>
          <w:rStyle w:val="VerbatimChar"/>
          <w:sz w:val="21"/>
          <w:szCs w:val="22"/>
        </w:rPr>
        <w:t>&gt;  &lt;</w:t>
      </w:r>
      <w:proofErr w:type="gramEnd"/>
      <w:r w:rsidRPr="00BB76F5">
        <w:rPr>
          <w:rStyle w:val="VerbatimChar"/>
          <w:sz w:val="21"/>
          <w:szCs w:val="22"/>
        </w:rPr>
        <w:t>dbl&gt;   &lt;dbl&gt; &lt;int&gt;</w:t>
      </w:r>
      <w:r w:rsidRPr="00BB76F5">
        <w:rPr>
          <w:sz w:val="22"/>
          <w:szCs w:val="22"/>
        </w:rPr>
        <w:br/>
      </w:r>
      <w:r w:rsidRPr="00BB76F5">
        <w:rPr>
          <w:rStyle w:val="VerbatimChar"/>
          <w:sz w:val="21"/>
          <w:szCs w:val="22"/>
        </w:rPr>
        <w:t>1 10_cl… clos…       2         1        1    23     0     0      1       0     1</w:t>
      </w:r>
      <w:r w:rsidRPr="00BB76F5">
        <w:rPr>
          <w:sz w:val="22"/>
          <w:szCs w:val="22"/>
        </w:rPr>
        <w:br/>
      </w:r>
      <w:r w:rsidRPr="00BB76F5">
        <w:rPr>
          <w:rStyle w:val="VerbatimChar"/>
          <w:sz w:val="21"/>
          <w:szCs w:val="22"/>
        </w:rPr>
        <w:t>2 10_cl… clos…       2         2        0    23     0     0      1       1     0</w:t>
      </w:r>
      <w:r w:rsidRPr="00BB76F5">
        <w:rPr>
          <w:sz w:val="22"/>
          <w:szCs w:val="22"/>
        </w:rPr>
        <w:br/>
      </w:r>
      <w:r w:rsidRPr="00BB76F5">
        <w:rPr>
          <w:rStyle w:val="VerbatimChar"/>
          <w:sz w:val="21"/>
          <w:szCs w:val="22"/>
        </w:rPr>
        <w:t>3 10_cl… clos…       2         2        2    23     0     0      1       1     2</w:t>
      </w:r>
      <w:r w:rsidRPr="00BB76F5">
        <w:rPr>
          <w:sz w:val="22"/>
          <w:szCs w:val="22"/>
        </w:rPr>
        <w:br/>
      </w:r>
      <w:r w:rsidRPr="00BB76F5">
        <w:rPr>
          <w:rStyle w:val="VerbatimChar"/>
          <w:sz w:val="21"/>
          <w:szCs w:val="22"/>
        </w:rPr>
        <w:t>4 10_cl… clos…       4         1        1    23     0     0      1       0     1</w:t>
      </w:r>
      <w:r w:rsidRPr="00BB76F5">
        <w:rPr>
          <w:sz w:val="22"/>
          <w:szCs w:val="22"/>
        </w:rPr>
        <w:br/>
      </w:r>
      <w:r w:rsidRPr="00BB76F5">
        <w:rPr>
          <w:rStyle w:val="VerbatimChar"/>
          <w:sz w:val="21"/>
          <w:szCs w:val="22"/>
        </w:rPr>
        <w:t>5 10_cl… clos…       4         2        0    23     0     0      1       1     0</w:t>
      </w:r>
      <w:r w:rsidRPr="00BB76F5">
        <w:rPr>
          <w:sz w:val="22"/>
          <w:szCs w:val="22"/>
        </w:rPr>
        <w:br/>
      </w:r>
      <w:r w:rsidRPr="00BB76F5">
        <w:rPr>
          <w:rStyle w:val="VerbatimChar"/>
          <w:sz w:val="21"/>
          <w:szCs w:val="22"/>
        </w:rPr>
        <w:t>6 10_cl… clos…       4         2        2    22     0     1      1       1     2</w:t>
      </w:r>
      <w:r w:rsidRPr="00BB76F5">
        <w:rPr>
          <w:sz w:val="22"/>
          <w:szCs w:val="22"/>
        </w:rPr>
        <w:br/>
      </w:r>
      <w:r w:rsidRPr="00BB76F5">
        <w:rPr>
          <w:rStyle w:val="VerbatimChar"/>
          <w:sz w:val="21"/>
          <w:szCs w:val="22"/>
        </w:rPr>
        <w:t xml:space="preserve"># ℹ 1 more variable: </w:t>
      </w:r>
      <w:proofErr w:type="spellStart"/>
      <w:r w:rsidRPr="00BB76F5">
        <w:rPr>
          <w:rStyle w:val="VerbatimChar"/>
          <w:sz w:val="21"/>
          <w:szCs w:val="22"/>
        </w:rPr>
        <w:t>ss_lin</w:t>
      </w:r>
      <w:proofErr w:type="spellEnd"/>
      <w:r w:rsidRPr="00BB76F5">
        <w:rPr>
          <w:rStyle w:val="VerbatimChar"/>
          <w:sz w:val="21"/>
          <w:szCs w:val="22"/>
        </w:rPr>
        <w:t xml:space="preserve"> &lt;</w:t>
      </w:r>
      <w:proofErr w:type="spellStart"/>
      <w:r w:rsidRPr="00BB76F5">
        <w:rPr>
          <w:rStyle w:val="VerbatimChar"/>
          <w:sz w:val="21"/>
          <w:szCs w:val="22"/>
        </w:rPr>
        <w:t>dbl</w:t>
      </w:r>
      <w:proofErr w:type="spellEnd"/>
      <w:r w:rsidRPr="00BB76F5">
        <w:rPr>
          <w:rStyle w:val="VerbatimChar"/>
          <w:sz w:val="21"/>
          <w:szCs w:val="22"/>
        </w:rPr>
        <w:t>&gt;</w:t>
      </w:r>
    </w:p>
    <w:p w14:paraId="2B57816B" w14:textId="78EF09E2" w:rsidR="007B6D37" w:rsidRDefault="00000000" w:rsidP="00BB76F5">
      <w:pPr>
        <w:pStyle w:val="Heading2"/>
        <w:spacing w:before="240"/>
      </w:pPr>
      <w:bookmarkStart w:id="13" w:name="model-specification"/>
      <w:bookmarkEnd w:id="12"/>
      <w:r>
        <w:t>Model Specification</w:t>
      </w:r>
    </w:p>
    <w:p w14:paraId="570CA94E" w14:textId="77777777" w:rsidR="007B6D37" w:rsidRDefault="00000000">
      <w:pPr>
        <w:pStyle w:val="FirstParagraph"/>
      </w:pPr>
      <w:r>
        <w:t xml:space="preserve">Specifying 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requires two R objects: (a)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object using the </w:t>
      </w:r>
      <w:r>
        <w:rPr>
          <w:rStyle w:val="VerbatimChar"/>
        </w:rPr>
        <w:t>m3()</w:t>
      </w:r>
      <w:r>
        <w:t xml:space="preserve"> and (b) a predictor formula (</w:t>
      </w:r>
      <w:r>
        <w:rPr>
          <w:rStyle w:val="VerbatimChar"/>
        </w:rPr>
        <w:t>bmf()</w:t>
      </w:r>
      <w:r>
        <w:t xml:space="preserve">). For creating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object you need to call the </w:t>
      </w:r>
      <w:r>
        <w:rPr>
          <w:rStyle w:val="VerbatimChar"/>
        </w:rPr>
        <w:t>m3()</w:t>
      </w:r>
      <w:r>
        <w:t xml:space="preserve"> model constructor and pass (a) the name of the variables that contain the response frequency in all response categories, (b) the columns containing option counts or a named vector with the number of response options if they are constant for all observations, (c) the model version, and (d) the choice rule. If no model version is specified the </w:t>
      </w:r>
      <w:r>
        <w:rPr>
          <w:rStyle w:val="VerbatimChar"/>
        </w:rPr>
        <w:t>"custom"</w:t>
      </w:r>
      <w:r>
        <w:t xml:space="preserve"> version is used, and if no choice rule is specified the </w:t>
      </w:r>
      <w:r>
        <w:rPr>
          <w:rStyle w:val="VerbatimChar"/>
        </w:rPr>
        <w:t>"softmax"</w:t>
      </w:r>
      <w:r>
        <w:t xml:space="preserve"> rule is used as default.</w:t>
      </w:r>
    </w:p>
    <w:p w14:paraId="1BC80176" w14:textId="77777777" w:rsidR="007B6D37" w:rsidRDefault="00000000">
      <w:pPr>
        <w:pStyle w:val="BodyText"/>
      </w:pPr>
      <w:r>
        <w:t>When explicitly passing all arguments, the specification of the simple span model object for the data from Oberauer (</w:t>
      </w:r>
      <w:hyperlink w:anchor="ref-oberauer2019bindings">
        <w:r>
          <w:rPr>
            <w:rStyle w:val="Hyperlink"/>
          </w:rPr>
          <w:t>2019</w:t>
        </w:r>
      </w:hyperlink>
      <w:r>
        <w:t>) looks like this:</w:t>
      </w:r>
    </w:p>
    <w:p w14:paraId="62ECC376" w14:textId="77777777" w:rsidR="007B6D37" w:rsidRDefault="00000000" w:rsidP="00BB76F5">
      <w:pPr>
        <w:pStyle w:val="SourceCode"/>
        <w:spacing w:line="240" w:lineRule="auto"/>
      </w:pPr>
      <w:r>
        <w:rPr>
          <w:rStyle w:val="NormalTok"/>
        </w:rPr>
        <w:t xml:space="preserve">m3_model_ss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"other"</w:t>
      </w:r>
      <w:r>
        <w:rPr>
          <w:rStyle w:val="NormalTok"/>
        </w:rPr>
        <w:t xml:space="preserve">, </w:t>
      </w:r>
      <w:r>
        <w:rPr>
          <w:rStyle w:val="StringTok"/>
        </w:rPr>
        <w:t>"npl"</w:t>
      </w:r>
      <w:r>
        <w:rPr>
          <w:rStyle w:val="NormalTok"/>
        </w:rPr>
        <w:t>),</w:t>
      </w:r>
      <w:r>
        <w:br/>
      </w:r>
      <w:r>
        <w:rPr>
          <w:rStyle w:val="NormalTok"/>
        </w:rPr>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"n_other"</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"ss"</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br/>
      </w:r>
      <w:r>
        <w:rPr>
          <w:rStyle w:val="NormalTok"/>
        </w:rPr>
        <w:t>)</w:t>
      </w:r>
    </w:p>
    <w:p w14:paraId="30137D87" w14:textId="77777777" w:rsidR="007B6D37" w:rsidRDefault="00000000">
      <w:pPr>
        <w:pStyle w:val="FirstParagraph"/>
      </w:pPr>
      <w:r>
        <w:lastRenderedPageBreak/>
        <w:t xml:space="preserve">Once we have the model object specified, we can assess which parameters the model contains by calling </w:t>
      </w:r>
      <w:r>
        <w:rPr>
          <w:rStyle w:val="VerbatimChar"/>
        </w:rPr>
        <w:t>m3_model_ss$parameters</w:t>
      </w:r>
      <w:r>
        <w:t xml:space="preserve">. For the simple span version, the parameters are </w:t>
      </w:r>
      <w:r>
        <w:rPr>
          <w:rStyle w:val="VerbatimChar"/>
        </w:rPr>
        <w:t>a</w:t>
      </w:r>
      <w:r>
        <w:t xml:space="preserve"> (item activation) and </w:t>
      </w:r>
      <w:r>
        <w:rPr>
          <w:rStyle w:val="VerbatimChar"/>
        </w:rPr>
        <w:t>c</w:t>
      </w:r>
      <w:r>
        <w:t xml:space="preserve"> (context binding). The baseline parameter </w:t>
      </w:r>
      <w:r>
        <w:rPr>
          <w:rStyle w:val="VerbatimChar"/>
        </w:rPr>
        <w:t>b</w:t>
      </w:r>
      <w:r>
        <w:t xml:space="preserve"> is fixed and not estimated as can be seen in </w:t>
      </w:r>
      <w:r>
        <w:rPr>
          <w:rStyle w:val="VerbatimChar"/>
        </w:rPr>
        <w:t>m3_model_ss$fixed_parameters</w:t>
      </w:r>
      <w:r>
        <w:t>.</w:t>
      </w:r>
    </w:p>
    <w:p w14:paraId="76C380F3" w14:textId="77777777" w:rsidR="007B6D37" w:rsidRDefault="00000000">
      <w:pPr>
        <w:pStyle w:val="BodyText"/>
      </w:pPr>
      <w:r>
        <w:t xml:space="preserve">One important note applies to all pre-built </w:t>
      </w:r>
      <w:r>
        <w:rPr>
          <w:rStyle w:val="VerbatimChar"/>
        </w:rPr>
        <w:t>m3()</w:t>
      </w:r>
      <w:r>
        <w:t xml:space="preserve"> versions: activation formulas are assigned to response categories </w:t>
      </w:r>
      <w:r>
        <w:rPr>
          <w:i/>
          <w:iCs/>
        </w:rPr>
        <w:t>by position</w:t>
      </w:r>
      <w:r>
        <w:t xml:space="preserve">, not by name. The </w:t>
      </w:r>
      <w:r>
        <w:rPr>
          <w:rStyle w:val="VerbatimChar"/>
        </w:rPr>
        <w:t>resp_cats</w:t>
      </w:r>
      <w:r>
        <w:t xml:space="preserve"> vector must therefore follow the canonical order for the chosen version — for </w:t>
      </w:r>
      <w:r>
        <w:rPr>
          <w:rStyle w:val="VerbatimChar"/>
        </w:rPr>
        <w:t>ss</w:t>
      </w:r>
      <w:r>
        <w:t xml:space="preserve">: </w:t>
      </w:r>
      <w:r>
        <w:rPr>
          <w:rStyle w:val="VerbatimChar"/>
        </w:rPr>
        <w:t>corr, other, npl</w:t>
      </w:r>
      <w:r>
        <w:t xml:space="preserve">. Supplying categories in a different order will silently assign the wrong activation formulas to the wrong categories, producing incorrect estimates without any warning. The same positional rule applies to </w:t>
      </w:r>
      <w:r>
        <w:rPr>
          <w:rStyle w:val="VerbatimChar"/>
        </w:rPr>
        <w:t>num_options</w:t>
      </w:r>
      <w:r>
        <w:t>.</w:t>
      </w:r>
    </w:p>
    <w:p w14:paraId="4536F379" w14:textId="77777777" w:rsidR="007B6D37" w:rsidRDefault="00000000">
      <w:pPr>
        <w:pStyle w:val="BodyText"/>
      </w:pPr>
      <w:r>
        <w:t xml:space="preserve">With this information, we know that we can specify predictor formulas for the two activation parameters </w:t>
      </w:r>
      <m:oMath>
        <m:r>
          <w:rPr>
            <w:rFonts w:ascii="Cambria Math" w:hAnsi="Cambria Math"/>
          </w:rPr>
          <m:t>a</m:t>
        </m:r>
      </m:oMath>
      <w:r>
        <w:t xml:space="preserve"> and </w:t>
      </w:r>
      <m:oMath>
        <m:r>
          <w:rPr>
            <w:rFonts w:ascii="Cambria Math" w:hAnsi="Cambria Math"/>
          </w:rPr>
          <m:t>c</m:t>
        </m:r>
      </m:oMath>
      <w:r>
        <w:t>. Because the two experiments in Oberauer (</w:t>
      </w:r>
      <w:hyperlink w:anchor="ref-oberauer2019bindings">
        <w:r>
          <w:rPr>
            <w:rStyle w:val="Hyperlink"/>
          </w:rPr>
          <w:t>2019</w:t>
        </w:r>
      </w:hyperlink>
      <w:r>
        <w:t>) are between-subjects, we use cell means coding (</w:t>
      </w:r>
      <w:r>
        <w:rPr>
          <w:rStyle w:val="VerbatimChar"/>
        </w:rPr>
        <w:t>0 + exp</w:t>
      </w:r>
      <w:r>
        <w:t>) so that each experiment receives its own intercept rather than a difference from a reference level or grand mean. Similar to the original study by Oberauer (</w:t>
      </w:r>
      <w:hyperlink w:anchor="ref-oberauer2019bindings">
        <w:r>
          <w:rPr>
            <w:rStyle w:val="Hyperlink"/>
          </w:rPr>
          <w:t>2019</w:t>
        </w:r>
      </w:hyperlink>
      <w:r>
        <w:t>), we entered set size as a linear predictor (</w:t>
      </w:r>
      <w:r>
        <w:rPr>
          <w:rStyle w:val="VerbatimChar"/>
        </w:rPr>
        <w:t>exp:ss_lin</w:t>
      </w:r>
      <w:r>
        <w:t>), and random effects allowed both intercepts and slopes to vary across participants, with separate variance components per experiment (</w:t>
      </w:r>
      <w:r>
        <w:rPr>
          <w:rStyle w:val="VerbatimChar"/>
        </w:rPr>
        <w:t>gr(id, by = exp)</w:t>
      </w:r>
      <w:r>
        <w:t>)</w:t>
      </w:r>
      <w:r>
        <w:rPr>
          <w:rStyle w:val="FootnoteReference"/>
        </w:rPr>
        <w:footnoteReference w:id="5"/>
      </w:r>
      <w:r>
        <w:t>.</w:t>
      </w:r>
    </w:p>
    <w:p w14:paraId="682732E9" w14:textId="77777777" w:rsidR="007B6D37" w:rsidRDefault="00000000" w:rsidP="00BB76F5">
      <w:pPr>
        <w:pStyle w:val="SourceCode"/>
        <w:spacing w:line="240" w:lineRule="auto"/>
      </w:pPr>
      <w:r>
        <w:rPr>
          <w:rStyle w:val="NormalTok"/>
        </w:rPr>
        <w:t xml:space="preserve">m3_formula </w:t>
      </w:r>
      <w:r>
        <w:rPr>
          <w:rStyle w:val="OtherTok"/>
        </w:rPr>
        <w:t>&lt;-</w:t>
      </w:r>
      <w:r>
        <w:rPr>
          <w:rStyle w:val="NormalTok"/>
        </w:rPr>
        <w:t xml:space="preserve"> </w:t>
      </w:r>
      <w:r>
        <w:rPr>
          <w:rStyle w:val="FunctionTok"/>
        </w:rPr>
        <w:t>bmf</w:t>
      </w:r>
      <w:r>
        <w:rPr>
          <w:rStyle w:val="NormalTok"/>
        </w:rPr>
        <w: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exp </w:t>
      </w:r>
      <w:r>
        <w:rPr>
          <w:rStyle w:val="SpecialCharTok"/>
        </w:rPr>
        <w:t>+</w:t>
      </w:r>
      <w:r>
        <w:rPr>
          <w:rStyle w:val="NormalTok"/>
        </w:rPr>
        <w:t xml:space="preserve"> exp</w:t>
      </w:r>
      <w:r>
        <w:rPr>
          <w:rStyle w:val="SpecialCharTok"/>
        </w:rPr>
        <w:t>:</w:t>
      </w:r>
      <w:r>
        <w:rPr>
          <w:rStyle w:val="NormalTok"/>
        </w:rPr>
        <w:t xml:space="preserve">ss_lin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ss_lin </w:t>
      </w:r>
      <w:r>
        <w:rPr>
          <w:rStyle w:val="SpecialCharTok"/>
        </w:rPr>
        <w:t>|</w:t>
      </w:r>
      <w:r>
        <w:rPr>
          <w:rStyle w:val="NormalTok"/>
        </w:rPr>
        <w:t xml:space="preserve"> </w:t>
      </w:r>
      <w:r>
        <w:rPr>
          <w:rStyle w:val="FunctionTok"/>
        </w:rPr>
        <w:t>gr</w:t>
      </w:r>
      <w:r>
        <w:rPr>
          <w:rStyle w:val="NormalTok"/>
        </w:rPr>
        <w:t xml:space="preserve">(id, </w:t>
      </w:r>
      <w:r>
        <w:rPr>
          <w:rStyle w:val="AttributeTok"/>
        </w:rPr>
        <w:t>by =</w:t>
      </w:r>
      <w:r>
        <w:rPr>
          <w:rStyle w:val="NormalTok"/>
        </w:rPr>
        <w:t xml:space="preserve"> exp)),</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exp </w:t>
      </w:r>
      <w:r>
        <w:rPr>
          <w:rStyle w:val="SpecialCharTok"/>
        </w:rPr>
        <w:t>+</w:t>
      </w:r>
      <w:r>
        <w:rPr>
          <w:rStyle w:val="NormalTok"/>
        </w:rPr>
        <w:t xml:space="preserve"> exp</w:t>
      </w:r>
      <w:r>
        <w:rPr>
          <w:rStyle w:val="SpecialCharTok"/>
        </w:rPr>
        <w:t>:</w:t>
      </w:r>
      <w:r>
        <w:rPr>
          <w:rStyle w:val="NormalTok"/>
        </w:rPr>
        <w:t xml:space="preserve">ss_lin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ss_lin </w:t>
      </w:r>
      <w:r>
        <w:rPr>
          <w:rStyle w:val="SpecialCharTok"/>
        </w:rPr>
        <w:t>|</w:t>
      </w:r>
      <w:r>
        <w:rPr>
          <w:rStyle w:val="NormalTok"/>
        </w:rPr>
        <w:t xml:space="preserve"> </w:t>
      </w:r>
      <w:r>
        <w:rPr>
          <w:rStyle w:val="FunctionTok"/>
        </w:rPr>
        <w:t>gr</w:t>
      </w:r>
      <w:r>
        <w:rPr>
          <w:rStyle w:val="NormalTok"/>
        </w:rPr>
        <w:t xml:space="preserve">(id, </w:t>
      </w:r>
      <w:r>
        <w:rPr>
          <w:rStyle w:val="AttributeTok"/>
        </w:rPr>
        <w:t>by =</w:t>
      </w:r>
      <w:r>
        <w:rPr>
          <w:rStyle w:val="NormalTok"/>
        </w:rPr>
        <w:t xml:space="preserve"> exp))</w:t>
      </w:r>
      <w:r>
        <w:br/>
      </w:r>
      <w:r>
        <w:rPr>
          <w:rStyle w:val="NormalTok"/>
        </w:rPr>
        <w:t>)</w:t>
      </w:r>
    </w:p>
    <w:p w14:paraId="5F1DB4DE" w14:textId="5645FCE9" w:rsidR="00BB76F5" w:rsidRPr="00BB76F5" w:rsidRDefault="00000000" w:rsidP="00BB76F5">
      <w:pPr>
        <w:pStyle w:val="FirstParagraph"/>
        <w:spacing w:before="240"/>
      </w:pPr>
      <w:r>
        <w:lastRenderedPageBreak/>
        <w:t xml:space="preserve">When using the softmax rule, </w:t>
      </w:r>
      <m:oMath>
        <m:r>
          <w:rPr>
            <w:rFonts w:ascii="Cambria Math" w:hAnsi="Cambria Math"/>
          </w:rPr>
          <m:t>a</m:t>
        </m:r>
      </m:oMath>
      <w:r>
        <w:t xml:space="preserve"> and </w:t>
      </w:r>
      <m:oMath>
        <m:r>
          <w:rPr>
            <w:rFonts w:ascii="Cambria Math" w:hAnsi="Cambria Math"/>
          </w:rPr>
          <m:t>c</m:t>
        </m:r>
      </m:oMath>
      <w:r>
        <w:t xml:space="preserve"> are estimated on the identity link (native activation scale) which can be seen via </w:t>
      </w:r>
      <w:r>
        <w:rPr>
          <w:rStyle w:val="VerbatimChar"/>
        </w:rPr>
        <w:t>m3_model_ss$links</w:t>
      </w:r>
      <w:r>
        <w:t xml:space="preserve">. Because there is some information about parameter ranges available from previous literature, </w:t>
      </w:r>
      <w:r>
        <w:rPr>
          <w:rStyle w:val="VerbatimChar"/>
        </w:rPr>
        <w:t>bmm</w:t>
      </w:r>
      <w:r>
        <w:t xml:space="preserve"> specifies weakly informative priors on the intercepts and effect parameters. This is different to </w:t>
      </w:r>
      <w:r>
        <w:rPr>
          <w:rStyle w:val="VerbatimChar"/>
        </w:rPr>
        <w:t>brms</w:t>
      </w:r>
      <w:r>
        <w:t xml:space="preserve">, which uses flat priors for effects by default. These default priors can be inspected with </w:t>
      </w:r>
      <w:r>
        <w:rPr>
          <w:rStyle w:val="VerbatimChar"/>
        </w:rPr>
        <w:t>default_prior(m3_formula, m3_model_ss, data = data_agg)</w:t>
      </w:r>
      <w:r>
        <w:t>. All these priors can be overridden if needed. Throughout this tutorial we use the defaults; Tutorial 2 shows how to set custom priors when needed.</w:t>
      </w:r>
    </w:p>
    <w:p w14:paraId="18DCEA3A" w14:textId="77777777" w:rsidR="007B6D37" w:rsidRDefault="00000000">
      <w:pPr>
        <w:pStyle w:val="Heading2"/>
      </w:pPr>
      <w:bookmarkStart w:id="14" w:name="model-fitting"/>
      <w:bookmarkEnd w:id="13"/>
      <w:r>
        <w:t>Model Fitting</w:t>
      </w:r>
    </w:p>
    <w:p w14:paraId="6E127E98" w14:textId="77777777" w:rsidR="007B6D37" w:rsidRDefault="00000000">
      <w:pPr>
        <w:pStyle w:val="FirstParagraph"/>
      </w:pPr>
      <w:r>
        <w:t xml:space="preserve">The </w:t>
      </w:r>
      <w:r>
        <w:rPr>
          <w:rStyle w:val="VerbatimChar"/>
        </w:rPr>
        <w:t>bmm()</w:t>
      </w:r>
      <w:r>
        <w:t xml:space="preserve"> function combines the model definition and formula, and passes them together with the data to </w:t>
      </w:r>
      <w:r>
        <w:rPr>
          <w:rStyle w:val="VerbatimChar"/>
        </w:rPr>
        <w:t>brms</w:t>
      </w:r>
      <w:r>
        <w:t xml:space="preserve"> and Stan, and returns a fitted model object. All models in this tutorial were estimated with the default setting of 4 chains of 2,000 iterations each (1,000 warmup), using </w:t>
      </w:r>
      <w:r>
        <w:rPr>
          <w:rStyle w:val="VerbatimChar"/>
        </w:rPr>
        <w:t>cmdstanr</w:t>
      </w:r>
      <w:r>
        <w:t xml:space="preserve"> as the backend. We set </w:t>
      </w:r>
      <w:r>
        <w:rPr>
          <w:rStyle w:val="VerbatimChar"/>
        </w:rPr>
        <w:t>sample_prior = "yes"</w:t>
      </w:r>
      <w:r>
        <w:t xml:space="preserve"> so that prior samples are available for later hypothesis tests. In addition, </w:t>
      </w:r>
      <w:r>
        <w:rPr>
          <w:rStyle w:val="VerbatimChar"/>
        </w:rPr>
        <w:t>save_pars = save_pars(all = TRUE)</w:t>
      </w:r>
      <w:r>
        <w:t xml:space="preserve"> specifies that all model parameters and likelihood results should be saved, which is necessary to perform model comparisons via Bayes Factors. The </w:t>
      </w:r>
      <w:r>
        <w:rPr>
          <w:rStyle w:val="VerbatimChar"/>
        </w:rPr>
        <w:t>file</w:t>
      </w:r>
      <w:r>
        <w:t xml:space="preserve"> argument caches the fitted model to disk; re-running the script loads the cached fit rather than re-fitting.</w:t>
      </w:r>
      <w:r>
        <w:rPr>
          <w:rStyle w:val="FootnoteReference"/>
        </w:rPr>
        <w:footnoteReference w:id="6"/>
      </w:r>
    </w:p>
    <w:p w14:paraId="568F9104" w14:textId="77777777" w:rsidR="007B6D37" w:rsidRDefault="00000000" w:rsidP="00BB76F5">
      <w:pPr>
        <w:pStyle w:val="SourceCode"/>
        <w:spacing w:line="240" w:lineRule="auto"/>
      </w:pPr>
      <w:r>
        <w:rPr>
          <w:rStyle w:val="NormalTok"/>
        </w:rPr>
        <w:t xml:space="preserve">fit_m3_ss_softmax </w:t>
      </w:r>
      <w:r>
        <w:rPr>
          <w:rStyle w:val="OtherTok"/>
        </w:rPr>
        <w:t>&lt;-</w:t>
      </w:r>
      <w:r>
        <w:rPr>
          <w:rStyle w:val="NormalTok"/>
        </w:rPr>
        <w:t xml:space="preserve"> </w:t>
      </w:r>
      <w:r>
        <w:rPr>
          <w:rStyle w:val="FunctionTok"/>
        </w:rPr>
        <w:t>bmm</w:t>
      </w:r>
      <w:r>
        <w:rPr>
          <w:rStyle w:val="NormalTok"/>
        </w:rPr>
        <w:t>(</w:t>
      </w:r>
      <w:r>
        <w:br/>
      </w:r>
      <w:r>
        <w:rPr>
          <w:rStyle w:val="NormalTok"/>
        </w:rPr>
        <w:t xml:space="preserve">  </w:t>
      </w:r>
      <w:r>
        <w:rPr>
          <w:rStyle w:val="AttributeTok"/>
        </w:rPr>
        <w:t>formula      =</w:t>
      </w:r>
      <w:r>
        <w:rPr>
          <w:rStyle w:val="NormalTok"/>
        </w:rPr>
        <w:t xml:space="preserve"> m3_formula,</w:t>
      </w:r>
      <w:r>
        <w:br/>
      </w:r>
      <w:r>
        <w:rPr>
          <w:rStyle w:val="NormalTok"/>
        </w:rPr>
        <w:t xml:space="preserve">  </w:t>
      </w:r>
      <w:r>
        <w:rPr>
          <w:rStyle w:val="AttributeTok"/>
        </w:rPr>
        <w:t>model        =</w:t>
      </w:r>
      <w:r>
        <w:rPr>
          <w:rStyle w:val="NormalTok"/>
        </w:rPr>
        <w:t xml:space="preserve"> m3_model_ss,</w:t>
      </w:r>
      <w:r>
        <w:br/>
      </w:r>
      <w:r>
        <w:rPr>
          <w:rStyle w:val="NormalTok"/>
        </w:rPr>
        <w:t xml:space="preserve">  </w:t>
      </w:r>
      <w:r>
        <w:rPr>
          <w:rStyle w:val="AttributeTok"/>
        </w:rPr>
        <w:t>data         =</w:t>
      </w:r>
      <w:r>
        <w:rPr>
          <w:rStyle w:val="NormalTok"/>
        </w:rPr>
        <w:t xml:space="preserve"> data_agg,</w:t>
      </w:r>
      <w:r>
        <w:br/>
      </w:r>
      <w:r>
        <w:rPr>
          <w:rStyle w:val="NormalTok"/>
        </w:rPr>
        <w:t xml:space="preserve">  </w:t>
      </w:r>
      <w:r>
        <w:rPr>
          <w:rStyle w:val="AttributeTok"/>
        </w:rPr>
        <w:t>cores        =</w:t>
      </w:r>
      <w:r>
        <w:rPr>
          <w:rStyle w:val="NormalTok"/>
        </w:rPr>
        <w:t xml:space="preserve"> </w:t>
      </w:r>
      <w:r>
        <w:rPr>
          <w:rStyle w:val="DecValTok"/>
        </w:rPr>
        <w:t>4</w:t>
      </w:r>
      <w:r>
        <w:rPr>
          <w:rStyle w:val="NormalTok"/>
        </w:rPr>
        <w:t>,</w:t>
      </w:r>
      <w:r>
        <w:br/>
      </w:r>
      <w:r>
        <w:rPr>
          <w:rStyle w:val="NormalTok"/>
        </w:rPr>
        <w:t xml:space="preserve">  </w:t>
      </w:r>
      <w:r>
        <w:rPr>
          <w:rStyle w:val="AttributeTok"/>
        </w:rPr>
        <w:t>backend      =</w:t>
      </w:r>
      <w:r>
        <w:rPr>
          <w:rStyle w:val="NormalTok"/>
        </w:rPr>
        <w:t xml:space="preserve"> </w:t>
      </w:r>
      <w:r>
        <w:rPr>
          <w:rStyle w:val="StringTok"/>
        </w:rPr>
        <w:t>"cmdstanr"</w:t>
      </w:r>
      <w:r>
        <w:rPr>
          <w:rStyle w:val="NormalTok"/>
        </w:rPr>
        <w:t>,</w:t>
      </w:r>
      <w:r>
        <w:br/>
      </w:r>
      <w:r>
        <w:rPr>
          <w:rStyle w:val="NormalTok"/>
        </w:rPr>
        <w:t xml:space="preserve">  </w:t>
      </w:r>
      <w:r>
        <w:rPr>
          <w:rStyle w:val="AttributeTok"/>
        </w:rPr>
        <w:t>sample_prior =</w:t>
      </w:r>
      <w:r>
        <w:rPr>
          <w:rStyle w:val="NormalTok"/>
        </w:rPr>
        <w:t xml:space="preserve"> </w:t>
      </w:r>
      <w:r>
        <w:rPr>
          <w:rStyle w:val="StringTok"/>
        </w:rPr>
        <w:t>"yes"</w:t>
      </w:r>
      <w:r>
        <w:rPr>
          <w:rStyle w:val="NormalTok"/>
        </w:rPr>
        <w:t>,</w:t>
      </w:r>
      <w:r>
        <w:br/>
      </w:r>
      <w:r>
        <w:rPr>
          <w:rStyle w:val="NormalTok"/>
        </w:rPr>
        <w:t xml:space="preserve">  </w:t>
      </w:r>
      <w:r>
        <w:rPr>
          <w:rStyle w:val="AttributeTok"/>
        </w:rPr>
        <w:t>save_pars    =</w:t>
      </w:r>
      <w:r>
        <w:rPr>
          <w:rStyle w:val="NormalTok"/>
        </w:rPr>
        <w:t xml:space="preserve"> </w:t>
      </w:r>
      <w:r>
        <w:rPr>
          <w:rStyle w:val="FunctionTok"/>
        </w:rPr>
        <w:t>save_pars</w:t>
      </w:r>
      <w:r>
        <w:rPr>
          <w:rStyle w:val="NormalTok"/>
        </w:rPr>
        <w:t>(</w:t>
      </w:r>
      <w:r>
        <w:rPr>
          <w:rStyle w:val="AttributeTok"/>
        </w:rPr>
        <w:t>all =</w:t>
      </w:r>
      <w:r>
        <w:rPr>
          <w:rStyle w:val="NormalTok"/>
        </w:rPr>
        <w:t xml:space="preserve"> </w:t>
      </w:r>
      <w:r>
        <w:rPr>
          <w:rStyle w:val="ConstantTok"/>
        </w:rPr>
        <w:t>TRUE</w:t>
      </w:r>
      <w:r>
        <w:rPr>
          <w:rStyle w:val="NormalTok"/>
        </w:rPr>
        <w:t>),</w:t>
      </w:r>
      <w:r>
        <w:br/>
      </w:r>
      <w:r>
        <w:rPr>
          <w:rStyle w:val="NormalTok"/>
        </w:rPr>
        <w:t xml:space="preserve">  </w:t>
      </w:r>
      <w:r>
        <w:rPr>
          <w:rStyle w:val="AttributeTok"/>
        </w:rPr>
        <w:t>file         =</w:t>
      </w:r>
      <w:r>
        <w:rPr>
          <w:rStyle w:val="NormalTok"/>
        </w:rPr>
        <w:t xml:space="preserve"> </w:t>
      </w:r>
      <w:r>
        <w:rPr>
          <w:rStyle w:val="FunctionTok"/>
        </w:rPr>
        <w:t>here</w:t>
      </w:r>
      <w:r>
        <w:rPr>
          <w:rStyle w:val="NormalTok"/>
        </w:rPr>
        <w:t>(</w:t>
      </w:r>
      <w:r>
        <w:rPr>
          <w:rStyle w:val="StringTok"/>
        </w:rPr>
        <w:t>"output"</w:t>
      </w:r>
      <w:r>
        <w:rPr>
          <w:rStyle w:val="NormalTok"/>
        </w:rPr>
        <w:t xml:space="preserve">, </w:t>
      </w:r>
      <w:r>
        <w:rPr>
          <w:rStyle w:val="StringTok"/>
        </w:rPr>
        <w:t>"fit_m3_ss_softmax"</w:t>
      </w:r>
      <w:r>
        <w:rPr>
          <w:rStyle w:val="NormalTok"/>
        </w:rPr>
        <w:t>)</w:t>
      </w:r>
      <w:r>
        <w:br/>
      </w:r>
      <w:r>
        <w:rPr>
          <w:rStyle w:val="NormalTok"/>
        </w:rPr>
        <w:t>)</w:t>
      </w:r>
    </w:p>
    <w:p w14:paraId="5CBB33C6" w14:textId="77777777" w:rsidR="007B6D37" w:rsidRDefault="00000000">
      <w:pPr>
        <w:pStyle w:val="FirstParagraph"/>
      </w:pPr>
      <w:r>
        <w:lastRenderedPageBreak/>
        <w:t xml:space="preserve">As for all Bayesian models we should check convergence after fitting. The summary contains </w:t>
      </w:r>
      <w:r>
        <w:rPr>
          <w:rStyle w:val="VerbatimChar"/>
        </w:rPr>
        <w:t>summary(fit_m3_ss_softmax)</w:t>
      </w:r>
      <w:r>
        <w:t xml:space="preserve"> convergence statistics </w:t>
      </w:r>
      <m:oMath>
        <m:acc>
          <m:accPr>
            <m:ctrlPr>
              <w:rPr>
                <w:rFonts w:ascii="Cambria Math" w:hAnsi="Cambria Math"/>
              </w:rPr>
            </m:ctrlPr>
          </m:accPr>
          <m:e>
            <m:r>
              <w:rPr>
                <w:rFonts w:ascii="Cambria Math" w:hAnsi="Cambria Math"/>
              </w:rPr>
              <m:t>R</m:t>
            </m:r>
          </m:e>
        </m:acc>
      </m:oMath>
      <w:r>
        <w:t xml:space="preserve"> for all major model parameters. All </w:t>
      </w:r>
      <m:oMath>
        <m:acc>
          <m:accPr>
            <m:ctrlPr>
              <w:rPr>
                <w:rFonts w:ascii="Cambria Math" w:hAnsi="Cambria Math"/>
              </w:rPr>
            </m:ctrlPr>
          </m:accPr>
          <m:e>
            <m:r>
              <w:rPr>
                <w:rFonts w:ascii="Cambria Math" w:hAnsi="Cambria Math"/>
              </w:rPr>
              <m:t>R</m:t>
            </m:r>
          </m:e>
        </m:acc>
      </m:oMath>
      <w:r>
        <w:t xml:space="preserve"> values (</w:t>
      </w:r>
      <w:hyperlink w:anchor="ref-gelman1992inference">
        <w:r>
          <w:rPr>
            <w:rStyle w:val="Hyperlink"/>
          </w:rPr>
          <w:t>Gelman &amp; Rubin, 1992</w:t>
        </w:r>
      </w:hyperlink>
      <w:r>
        <w:t>) should be below 1.01 and effective sample sizes should be adequate. For all models in this tutorial, these criteria were met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t xml:space="preserve"> 1.006, bulk ESS </w:t>
      </w:r>
      <m:oMath>
        <m:r>
          <m:rPr>
            <m:sty m:val="p"/>
          </m:rPr>
          <w:rPr>
            <w:rFonts w:ascii="Cambria Math" w:hAnsi="Cambria Math"/>
          </w:rPr>
          <m:t>&gt;</m:t>
        </m:r>
      </m:oMath>
      <w:r>
        <w:t xml:space="preserve"> 514).</w:t>
      </w:r>
      <w:r>
        <w:rPr>
          <w:rStyle w:val="FootnoteReference"/>
        </w:rPr>
        <w:footnoteReference w:id="7"/>
      </w:r>
      <w:r>
        <w:t xml:space="preserve"> Occasionally, Stan may report warnings for divergent transitions, hitting the maximum tree depth, or low effective sample sizes. These issues can often be resolved by increasing the number of iterations, adjusting the </w:t>
      </w:r>
      <w:r>
        <w:rPr>
          <w:rStyle w:val="VerbatimChar"/>
        </w:rPr>
        <w:t>adapt_delta</w:t>
      </w:r>
      <w:r>
        <w:t xml:space="preserve"> parameter, or reparametrizing the model. For guidance on addressing convergence issues, see the </w:t>
      </w:r>
      <w:r>
        <w:rPr>
          <w:rStyle w:val="VerbatimChar"/>
        </w:rPr>
        <w:t>brms</w:t>
      </w:r>
      <w:r>
        <w:t xml:space="preserve"> documentation and resources on Bayesian modeling best practices. In cases where more samples and tuning do not resolve convergence issues, it may be necessary to simplify the model or reconsider the model specification.</w:t>
      </w:r>
    </w:p>
    <w:p w14:paraId="14BE0D4C" w14:textId="77777777" w:rsidR="007B6D37" w:rsidRDefault="00000000">
      <w:pPr>
        <w:pStyle w:val="Heading2"/>
      </w:pPr>
      <w:bookmarkStart w:id="15" w:name="model-evaluation"/>
      <w:bookmarkEnd w:id="14"/>
      <w:r>
        <w:t>Model Evaluation</w:t>
      </w:r>
    </w:p>
    <w:p w14:paraId="5A10D255" w14:textId="2C466BE9" w:rsidR="007B6D37" w:rsidRDefault="00000000">
      <w:pPr>
        <w:pStyle w:val="FirstParagraph"/>
      </w:pPr>
      <w:r>
        <w:t xml:space="preserve">Before interpreting parameter estimates, we verify that the fitted model matches the observed data. A posterior predictive check compares observed response proportions to model-predicted proportions; systematic discrepancies would indicate that the activation formulas or choice rule fail to capture the data-generating process. We used </w:t>
      </w:r>
      <w:r>
        <w:rPr>
          <w:rStyle w:val="VerbatimChar"/>
        </w:rPr>
        <w:t>posterior_epred()</w:t>
      </w:r>
      <w:r>
        <w:t xml:space="preserve"> provided from the </w:t>
      </w:r>
      <w:r>
        <w:rPr>
          <w:rStyle w:val="VerbatimChar"/>
        </w:rPr>
        <w:t>brms</w:t>
      </w:r>
      <w:r>
        <w:t xml:space="preserve"> package to obtain expected counts per category for each observation. We then averaged across posterior draws, and aggregated to participant-level proportions by set size and experiment. </w:t>
      </w:r>
      <w:hyperlink w:anchor="fig-t1-pp-check">
        <w:r>
          <w:rPr>
            <w:rStyle w:val="Hyperlink"/>
          </w:rPr>
          <w:t>Figure 3</w:t>
        </w:r>
      </w:hyperlink>
      <w:r>
        <w:t xml:space="preserve"> shows the result. Across all conditions and response categories, predicted </w:t>
      </w:r>
      <w:r w:rsidR="00BB76F5">
        <w:rPr>
          <w:noProof/>
        </w:rPr>
        <w:lastRenderedPageBreak/>
        <mc:AlternateContent>
          <mc:Choice Requires="wps">
            <w:drawing>
              <wp:anchor distT="0" distB="0" distL="114300" distR="114300" simplePos="0" relativeHeight="251663360" behindDoc="0" locked="0" layoutInCell="1" allowOverlap="1" wp14:anchorId="1E0A12EE" wp14:editId="6EBEFAB5">
                <wp:simplePos x="0" y="0"/>
                <wp:positionH relativeFrom="column">
                  <wp:posOffset>0</wp:posOffset>
                </wp:positionH>
                <wp:positionV relativeFrom="paragraph">
                  <wp:posOffset>1285711</wp:posOffset>
                </wp:positionV>
                <wp:extent cx="1828800" cy="1828800"/>
                <wp:effectExtent l="0" t="0" r="0" b="0"/>
                <wp:wrapSquare wrapText="bothSides"/>
                <wp:docPr id="61917451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D14AB0D" w14:textId="77777777" w:rsidR="00BB76F5" w:rsidRDefault="00BB76F5">
                            <w:pPr>
                              <w:pStyle w:val="FigureTitle"/>
                            </w:pPr>
                            <w:r>
                              <w:t>Figure 3</w:t>
                            </w:r>
                          </w:p>
                          <w:p w14:paraId="7CF2F47A" w14:textId="77777777" w:rsidR="00BB76F5" w:rsidRDefault="00BB76F5" w:rsidP="00BB76F5">
                            <w:pPr>
                              <w:pStyle w:val="Caption"/>
                              <w:spacing w:line="240" w:lineRule="auto"/>
                            </w:pPr>
                            <w:r>
                              <w:t xml:space="preserve">Posterior predictive check for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(softmax choice rule). Points and lines show mean response proportions by set size and experiment; error bars show </w:t>
                            </w:r>
                            <m:oMath>
                              <m:r>
                                <w:rPr>
                                  <w:rFonts w:ascii="Cambria Math" w:hAnsi="Cambria Math"/>
                                </w:rPr>
                                <m:t>±1</m:t>
                              </m:r>
                            </m:oMath>
                            <w:r>
                              <w:t xml:space="preserve"> SE across participants. Color distinguishes observed from predicted values.</w:t>
                            </w:r>
                          </w:p>
                          <w:p w14:paraId="0F99D599" w14:textId="77777777" w:rsidR="00BB76F5" w:rsidRPr="0046209F" w:rsidRDefault="00BB76F5" w:rsidP="0046209F">
                            <w:pPr>
                              <w:pStyle w:val="FigureWithoutNote"/>
                              <w:rPr>
                                <w:noProof/>
                              </w:rPr>
                            </w:pPr>
                            <w:r>
                              <w:rPr>
                                <w:noProof/>
                              </w:rPr>
                              <w:drawing>
                                <wp:inline distT="0" distB="0" distL="0" distR="0" wp14:anchorId="7F207D69" wp14:editId="1C781610">
                                  <wp:extent cx="5943600" cy="5486400"/>
                                  <wp:effectExtent l="0" t="0" r="0" b="0"/>
                                  <wp:docPr id="1366927678" name="Picture"/>
                                  <wp:cNvGraphicFramePr/>
                                  <a:graphic xmlns:a="http://schemas.openxmlformats.org/drawingml/2006/main">
                                    <a:graphicData uri="http://schemas.openxmlformats.org/drawingml/2006/picture">
                                      <pic:pic xmlns:pic="http://schemas.openxmlformats.org/drawingml/2006/picture">
                                        <pic:nvPicPr>
                                          <pic:cNvPr id="61" name="Picture" descr="../figures/tutorial1_pp_check_softmax.pdf"/>
                                          <pic:cNvPicPr>
                                            <a:picLocks noChangeAspect="1" noChangeArrowheads="1"/>
                                          </pic:cNvPicPr>
                                        </pic:nvPicPr>
                                        <pic:blipFill>
                                          <a:blip r:embed="rId14"/>
                                          <a:stretch>
                                            <a:fillRect/>
                                          </a:stretch>
                                        </pic:blipFill>
                                        <pic:spPr bwMode="auto">
                                          <a:xfrm>
                                            <a:off x="0" y="0"/>
                                            <a:ext cx="5943600" cy="54864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E0A12EE" id="_x0000_s1028" type="#_x0000_t202" style="position:absolute;left:0;text-align:left;margin-left:0;margin-top:101.25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yzCFgIAADIEAAAOAAAAZHJzL2Uyb0RvYy54bWysU99v2jAQfp/U/8Hye0lgtGMRoWKtmCah&#13;&#10;thKd+mwcm0SyfZZtSNhfv7NDAHV7mvbi3OXO9+P7Ps8fOq3IQTjfgCnpeJRTIgyHqjG7kv58W93O&#13;&#10;KPGBmYopMKKkR+Hpw+Lm07y1hZhADaoSjmAR44vWlrQOwRZZ5nktNPMjsMJgUILTLKDrdlnlWIvV&#13;&#10;tcomeX6fteAq64AL7/HvUx+ki1RfSsHDi5ReBKJKirOFdLp0buOZLeas2Dlm64afxmD/MIVmjcGm&#13;&#10;51JPLDCyd80fpXTDHXiQYcRBZyBlw0XaAbcZ5x+22dTMirQLguPtGSb//8ry58PGvjoSum/QIYER&#13;&#10;kNb6wuPPuE8nnY5fnJRgHCE8nmETXSA8XppNZrMcQxxjg4N1sst163z4LkCTaJTUIS8JLnZY+9Cn&#13;&#10;Dimxm4FVo1TiRhnSlvT+812eLpwjWFwZ7HEZNlqh23akqUo6GRbZQnXE/Rz01HvLVw3OsGY+vDKH&#13;&#10;XOPcqN/wgodUgL3gZFFSg/v1t/8xHynAKCUtaqekBsVNifphkJqv4+k0Si0507svE3TcdWR7HTF7&#13;&#10;/QgozjG+E8uTGfODGkzpQL+jyJexJ4aY4di5pGEwH0OvZ3wkXCyXKQnFZVlYm43lsXTENOL71r0z&#13;&#10;Z08kBOTvGQaNseIDF31uvOntch+QkURURLnH9AQ+CjNRfXpEUfnXfsq6PPXFbwAAAP//AwBQSwME&#13;&#10;FAAGAAgAAAAhACfQlDHiAAAADQEAAA8AAABkcnMvZG93bnJldi54bWxMj0FPwzAMhe9I/IfISNxY&#13;&#10;QmGo6+pOaIhdEAcGYte0ydqqjVM1WVf49ZgTXCzZT+/5fflmdr2Y7BhaTwi3CwXCUuVNSzXCx/vz&#13;&#10;TQoiRE1G954swpcNsCkuL3KdGX+mNzvtYy04hEKmEZoYh0zKUDXW6bDwgyXWjn50OvI61tKM+szh&#13;&#10;rpeJUg/S6Zb4Q6MHu21s1e1PDuFVf+7iNHfVrhuO5uCGcnv3/YJ4fTU/rXk8rkFEO8c/B/wycH8o&#13;&#10;uFjpT2SC6BGYJiIkKlmCYDlJU76UCPcrtQRZ5PI/RfEDAAD//wMAUEsBAi0AFAAGAAgAAAAhALaD&#13;&#10;OJL+AAAA4QEAABMAAAAAAAAAAAAAAAAAAAAAAFtDb250ZW50X1R5cGVzXS54bWxQSwECLQAUAAYA&#13;&#10;CAAAACEAOP0h/9YAAACUAQAACwAAAAAAAAAAAAAAAAAvAQAAX3JlbHMvLnJlbHNQSwECLQAUAAYA&#13;&#10;CAAAACEAa5MswhYCAAAyBAAADgAAAAAAAAAAAAAAAAAuAgAAZHJzL2Uyb0RvYy54bWxQSwECLQAU&#13;&#10;AAYACAAAACEAJ9CUMeIAAAANAQAADwAAAAAAAAAAAAAAAABwBAAAZHJzL2Rvd25yZXYueG1sUEsF&#13;&#10;BgAAAAAEAAQA8wAAAH8FAAAAAA==&#13;&#10;" filled="f" stroked="f" strokeweight=".5pt">
                <v:fill o:detectmouseclick="t"/>
                <v:textbox style="mso-fit-shape-to-text:t">
                  <w:txbxContent>
                    <w:p w14:paraId="5D14AB0D" w14:textId="77777777" w:rsidR="00BB76F5" w:rsidRDefault="00BB76F5">
                      <w:pPr>
                        <w:pStyle w:val="FigureTitle"/>
                      </w:pPr>
                      <w:r>
                        <w:t>Figure 3</w:t>
                      </w:r>
                    </w:p>
                    <w:p w14:paraId="7CF2F47A" w14:textId="77777777" w:rsidR="00BB76F5" w:rsidRDefault="00BB76F5" w:rsidP="00BB76F5">
                      <w:pPr>
                        <w:pStyle w:val="Caption"/>
                        <w:spacing w:line="240" w:lineRule="auto"/>
                      </w:pPr>
                      <w:r>
                        <w:t xml:space="preserve">Posterior predictive check for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(softmax choice rule). Points and lines show mean response proportions by set size and experiment; error bars show </w:t>
                      </w:r>
                      <m:oMath>
                        <m:r>
                          <w:rPr>
                            <w:rFonts w:ascii="Cambria Math" w:hAnsi="Cambria Math"/>
                          </w:rPr>
                          <m:t>±1</m:t>
                        </m:r>
                      </m:oMath>
                      <w:r>
                        <w:t xml:space="preserve"> SE across participants. Color distinguishes observed from predicted values.</w:t>
                      </w:r>
                    </w:p>
                    <w:p w14:paraId="0F99D599" w14:textId="77777777" w:rsidR="00BB76F5" w:rsidRPr="0046209F" w:rsidRDefault="00BB76F5" w:rsidP="0046209F">
                      <w:pPr>
                        <w:pStyle w:val="FigureWithoutNote"/>
                        <w:rPr>
                          <w:noProof/>
                        </w:rPr>
                      </w:pPr>
                      <w:r>
                        <w:rPr>
                          <w:noProof/>
                        </w:rPr>
                        <w:drawing>
                          <wp:inline distT="0" distB="0" distL="0" distR="0" wp14:anchorId="7F207D69" wp14:editId="1C781610">
                            <wp:extent cx="5943600" cy="5486400"/>
                            <wp:effectExtent l="0" t="0" r="0" b="0"/>
                            <wp:docPr id="1366927678" name="Picture"/>
                            <wp:cNvGraphicFramePr/>
                            <a:graphic xmlns:a="http://schemas.openxmlformats.org/drawingml/2006/main">
                              <a:graphicData uri="http://schemas.openxmlformats.org/drawingml/2006/picture">
                                <pic:pic xmlns:pic="http://schemas.openxmlformats.org/drawingml/2006/picture">
                                  <pic:nvPicPr>
                                    <pic:cNvPr id="61" name="Picture" descr="../figures/tutorial1_pp_check_softmax.pdf"/>
                                    <pic:cNvPicPr>
                                      <a:picLocks noChangeAspect="1" noChangeArrowheads="1"/>
                                    </pic:cNvPicPr>
                                  </pic:nvPicPr>
                                  <pic:blipFill>
                                    <a:blip r:embed="rId14"/>
                                    <a:stretch>
                                      <a:fillRect/>
                                    </a:stretch>
                                  </pic:blipFill>
                                  <pic:spPr bwMode="auto">
                                    <a:xfrm>
                                      <a:off x="0" y="0"/>
                                      <a:ext cx="5943600" cy="5486400"/>
                                    </a:xfrm>
                                    <a:prstGeom prst="rect">
                                      <a:avLst/>
                                    </a:prstGeom>
                                    <a:noFill/>
                                    <a:ln w="9525">
                                      <a:noFill/>
                                      <a:headEnd/>
                                      <a:tailEnd/>
                                    </a:ln>
                                  </pic:spPr>
                                </pic:pic>
                              </a:graphicData>
                            </a:graphic>
                          </wp:inline>
                        </w:drawing>
                      </w:r>
                    </w:p>
                  </w:txbxContent>
                </v:textbox>
                <w10:wrap type="square"/>
              </v:shape>
            </w:pict>
          </mc:Fallback>
        </mc:AlternateContent>
      </w:r>
      <w:r>
        <w:t xml:space="preserve">proportions fall within one standard error of the observed means, indicating that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softmax choice rule adequately captures the response distributions.</w:t>
      </w:r>
    </w:p>
    <w:p w14:paraId="506047BA" w14:textId="1C596362" w:rsidR="007B6D37" w:rsidRDefault="00000000">
      <w:pPr>
        <w:pStyle w:val="Heading2"/>
      </w:pPr>
      <w:bookmarkStart w:id="16" w:name="parameter-estimates"/>
      <w:bookmarkEnd w:id="15"/>
      <w:r>
        <w:lastRenderedPageBreak/>
        <w:t>Parameter Estimates</w:t>
      </w:r>
    </w:p>
    <w:p w14:paraId="18AC9891" w14:textId="77777777" w:rsidR="007B6D37" w:rsidRDefault="00000000">
      <w:pPr>
        <w:pStyle w:val="FirstParagraph"/>
      </w:pPr>
      <w:r>
        <w:t>With the model validated, we can examine how item memory (</w:t>
      </w:r>
      <m:oMath>
        <m:r>
          <w:rPr>
            <w:rFonts w:ascii="Cambria Math" w:hAnsi="Cambria Math"/>
          </w:rPr>
          <m:t>a</m:t>
        </m:r>
      </m:oMath>
      <w:r>
        <w:t>) and context binding (</w:t>
      </w:r>
      <m:oMath>
        <m:r>
          <w:rPr>
            <w:rFonts w:ascii="Cambria Math" w:hAnsi="Cambria Math"/>
          </w:rPr>
          <m:t>c</m:t>
        </m:r>
      </m:oMath>
      <w:r>
        <w:t xml:space="preserve">) varied across set sizes and experiments. Under the softmax choice rule, both parameters are on the identity link, so the posterior draws are directly interpretable as activation values. To compute condition-specific estimates, we reconstructed the linear predictor from the fixed effects: for each set size </w:t>
      </w:r>
      <m:oMath>
        <m:r>
          <w:rPr>
            <w:rFonts w:ascii="Cambria Math" w:hAnsi="Cambria Math"/>
          </w:rPr>
          <m:t>s</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nor/>
              </m:rPr>
              <m:t>exp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r>
              <m:rPr>
                <m:sty m:val="p"/>
              </m:rPr>
              <w:rPr>
                <w:rFonts w:ascii="Cambria Math" w:hAnsi="Cambria Math"/>
              </w:rPr>
              <m:t>,</m:t>
            </m:r>
            <m:r>
              <m:rPr>
                <m:nor/>
              </m:rPr>
              <m:t>exp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r>
              <m:rPr>
                <m:sty m:val="p"/>
              </m:rPr>
              <w:rPr>
                <w:rFonts w:ascii="Cambria Math" w:hAnsi="Cambria Math"/>
              </w:rPr>
              <m:t>,</m:t>
            </m:r>
            <m:r>
              <m:rPr>
                <m:nor/>
              </m:rPr>
              <m:t>exp:ss_lin</m:t>
            </m:r>
          </m:sub>
        </m:sSub>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s</m:t>
                </m:r>
              </m:e>
            </m:acc>
          </m:e>
        </m:d>
      </m:oMath>
      <w:r>
        <w:t xml:space="preserve">, and analogously for </w:t>
      </w:r>
      <m:oMath>
        <m:r>
          <w:rPr>
            <w:rFonts w:ascii="Cambria Math" w:hAnsi="Cambria Math"/>
          </w:rPr>
          <m:t>c</m:t>
        </m:r>
      </m:oMath>
      <w:r>
        <w:t xml:space="preserve">. The companion script extracts draws using </w:t>
      </w:r>
      <w:r>
        <w:rPr>
          <w:rStyle w:val="VerbatimChar"/>
        </w:rPr>
        <w:t>tidybayes::as_draws_df()</w:t>
      </w:r>
      <w:r>
        <w:t xml:space="preserve"> and computes 95% highest-density intervals [HDIs; McElreath (</w:t>
      </w:r>
      <w:hyperlink w:anchor="ref-mcelreath2020statistical">
        <w:r>
          <w:rPr>
            <w:rStyle w:val="Hyperlink"/>
          </w:rPr>
          <w:t>2020</w:t>
        </w:r>
      </w:hyperlink>
      <w:r>
        <w:t xml:space="preserve">)] via </w:t>
      </w:r>
      <w:r>
        <w:rPr>
          <w:rStyle w:val="VerbatimChar"/>
        </w:rPr>
        <w:t>tidybayes::mean_hdci()</w:t>
      </w:r>
      <w:r>
        <w:t>.</w:t>
      </w:r>
    </w:p>
    <w:p w14:paraId="3065BF07" w14:textId="46F49C04" w:rsidR="007B6D37" w:rsidRDefault="00BB76F5">
      <w:pPr>
        <w:pStyle w:val="BodyText"/>
      </w:pPr>
      <w:r>
        <w:rPr>
          <w:noProof/>
        </w:rPr>
        <mc:AlternateContent>
          <mc:Choice Requires="wps">
            <w:drawing>
              <wp:anchor distT="0" distB="0" distL="114300" distR="114300" simplePos="0" relativeHeight="251665408" behindDoc="0" locked="0" layoutInCell="1" allowOverlap="1" wp14:anchorId="383D71F6" wp14:editId="461A9AD2">
                <wp:simplePos x="0" y="0"/>
                <wp:positionH relativeFrom="column">
                  <wp:posOffset>0</wp:posOffset>
                </wp:positionH>
                <wp:positionV relativeFrom="paragraph">
                  <wp:posOffset>1380060</wp:posOffset>
                </wp:positionV>
                <wp:extent cx="1828800" cy="1828800"/>
                <wp:effectExtent l="0" t="0" r="0" b="0"/>
                <wp:wrapSquare wrapText="bothSides"/>
                <wp:docPr id="198363045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979E571" w14:textId="77777777" w:rsidR="00BB76F5" w:rsidRDefault="00BB76F5">
                            <w:pPr>
                              <w:pStyle w:val="FigureTitle"/>
                            </w:pPr>
                            <w:r>
                              <w:t>Figure 4</w:t>
                            </w:r>
                          </w:p>
                          <w:p w14:paraId="046405CF" w14:textId="77777777" w:rsidR="00BB76F5" w:rsidRDefault="00BB76F5" w:rsidP="00BB76F5">
                            <w:pPr>
                              <w:pStyle w:val="Caption"/>
                              <w:spacing w:line="240" w:lineRule="auto"/>
                            </w:pPr>
                            <w:r>
                              <w:t>Posterior estimates of item memory (</w:t>
                            </w:r>
                            <m:oMath>
                              <m:r>
                                <w:rPr>
                                  <w:rFonts w:ascii="Cambria Math" w:hAnsi="Cambria Math"/>
                                </w:rPr>
                                <m:t>a</m:t>
                              </m:r>
                            </m:oMath>
                            <w:r>
                              <w:t>) and context binding (</w:t>
                            </w:r>
                            <m:oMath>
                              <m:r>
                                <w:rPr>
                                  <w:rFonts w:ascii="Cambria Math" w:hAnsi="Cambria Math"/>
                                </w:rPr>
                                <m:t>c</m:t>
                              </m:r>
                            </m:oMath>
                            <w:r>
                              <w:t>) across set sizes for the open-set and closed-set experiments (softmax choice rule). Points show posterior means; error bars show 95% HDIs.</w:t>
                            </w:r>
                          </w:p>
                          <w:p w14:paraId="0C3F7CF1" w14:textId="77777777" w:rsidR="00BB76F5" w:rsidRPr="0021488C" w:rsidRDefault="00BB76F5" w:rsidP="0021488C">
                            <w:pPr>
                              <w:pStyle w:val="FigureWithoutNote"/>
                              <w:rPr>
                                <w:noProof/>
                              </w:rPr>
                            </w:pPr>
                            <w:r>
                              <w:rPr>
                                <w:noProof/>
                              </w:rPr>
                              <w:drawing>
                                <wp:inline distT="0" distB="0" distL="0" distR="0" wp14:anchorId="3AAD0D4B" wp14:editId="1BE3D196">
                                  <wp:extent cx="5943600" cy="2552700"/>
                                  <wp:effectExtent l="0" t="0" r="0" b="0"/>
                                  <wp:docPr id="677666188" name="Picture"/>
                                  <wp:cNvGraphicFramePr/>
                                  <a:graphic xmlns:a="http://schemas.openxmlformats.org/drawingml/2006/main">
                                    <a:graphicData uri="http://schemas.openxmlformats.org/drawingml/2006/picture">
                                      <pic:pic xmlns:pic="http://schemas.openxmlformats.org/drawingml/2006/picture">
                                        <pic:nvPicPr>
                                          <pic:cNvPr id="66" name="Picture" descr="../figures/tutorial1_param_estimates_softmax.pdf"/>
                                          <pic:cNvPicPr>
                                            <a:picLocks noChangeAspect="1" noChangeArrowheads="1"/>
                                          </pic:cNvPicPr>
                                        </pic:nvPicPr>
                                        <pic:blipFill>
                                          <a:blip r:embed="rId15"/>
                                          <a:stretch>
                                            <a:fillRect/>
                                          </a:stretch>
                                        </pic:blipFill>
                                        <pic:spPr bwMode="auto">
                                          <a:xfrm>
                                            <a:off x="0" y="0"/>
                                            <a:ext cx="5943600" cy="25527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83D71F6" id="_x0000_s1029" type="#_x0000_t202" style="position:absolute;left:0;text-align:left;margin-left:0;margin-top:108.65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steFgIAADIEAAAOAAAAZHJzL2Uyb0RvYy54bWysU99v2jAQfp+0/8Hy+0igtKMRoWKtmCah&#13;&#10;thKd+mwcm0SyfZZtSNhfv7NDAHV7mvbi3OXO9+P7Ps8fOq3IQTjfgCnpeJRTIgyHqjG7kv58W32Z&#13;&#10;UeIDMxVTYERJj8LTh8XnT/PWFmICNahKOIJFjC9aW9I6BFtkmee10MyPwAqDQQlOs4Cu22WVYy1W&#13;&#10;1yqb5Pld1oKrrAMuvMe/T32QLlJ9KQUPL1J6EYgqKc4W0unSuY1ntpizYueYrRt+GoP9wxSaNQab&#13;&#10;nks9scDI3jV/lNINd+BBhhEHnYGUDRdpB9xmnH/YZlMzK9IuCI63Z5j8/yvLnw8b++pI6L5BhwRG&#13;&#10;QFrrC48/4z6ddDp+cVKCcYTweIZNdIHweGk2mc1yDHGMDQ7WyS7XrfPhuwBNolFSh7wkuNhh7UOf&#13;&#10;OqTEbgZWjVKJG2VIW9K7m9s8XThHsLgy2OMybLRCt+1IU5X0ZlhkC9UR93PQU+8tXzU4w5r58Moc&#13;&#10;co1zo37DCx5SAfaCk0VJDe7X3/7HfKQAo5S0qJ2SGhQ3JeqHQWrux9NplFpyprdfJ+i468j2OmL2&#13;&#10;+hFQnGN8J5YnM+YHNZjSgX5HkS9jTwwxw7FzScNgPoZez/hIuFguUxKKy7KwNhvLY+mIacT3rXtn&#13;&#10;zp5ICMjfMwwaY8UHLvrceNPb5T4gI4moiHKP6Ql8FGai+vSIovKv/ZR1eeqL3wAAAP//AwBQSwME&#13;&#10;FAAGAAgAAAAhAMOQsQbjAAAADQEAAA8AAABkcnMvZG93bnJldi54bWxMj0FPg0AQhe8m/ofNNPFm&#13;&#10;l0KqhDI0psZejAersdeB3QKB3SXslqK/3vFkL5PMvLw378u3s+nFpEffOouwWkYgtK2cam2N8Pnx&#13;&#10;cp+C8IGsot5ZjfCtPWyL25ucMuUu9l1Ph1ALDrE+I4QmhCGT0leNNuSXbtCWtZMbDQVex1qqkS4c&#13;&#10;bnoZR9GDNNRa/tDQoHeNrrrD2SC80dc+THNX7bvhpI5mKHfJzyvi3WJ+3vB42oAIeg7/Dvhj4P5Q&#13;&#10;cLHSna3yokdgmoAQrx4TECzHacqXEmEdrROQRS6vKYpfAAAA//8DAFBLAQItABQABgAIAAAAIQC2&#13;&#10;gziS/gAAAOEBAAATAAAAAAAAAAAAAAAAAAAAAABbQ29udGVudF9UeXBlc10ueG1sUEsBAi0AFAAG&#13;&#10;AAgAAAAhADj9If/WAAAAlAEAAAsAAAAAAAAAAAAAAAAALwEAAF9yZWxzLy5yZWxzUEsBAi0AFAAG&#13;&#10;AAgAAAAhAFc2y14WAgAAMgQAAA4AAAAAAAAAAAAAAAAALgIAAGRycy9lMm9Eb2MueG1sUEsBAi0A&#13;&#10;FAAGAAgAAAAhAMOQsQbjAAAADQEAAA8AAAAAAAAAAAAAAAAAcAQAAGRycy9kb3ducmV2LnhtbFBL&#13;&#10;BQYAAAAABAAEAPMAAACABQAAAAA=&#13;&#10;" filled="f" stroked="f" strokeweight=".5pt">
                <v:fill o:detectmouseclick="t"/>
                <v:textbox style="mso-fit-shape-to-text:t">
                  <w:txbxContent>
                    <w:p w14:paraId="6979E571" w14:textId="77777777" w:rsidR="00BB76F5" w:rsidRDefault="00BB76F5">
                      <w:pPr>
                        <w:pStyle w:val="FigureTitle"/>
                      </w:pPr>
                      <w:r>
                        <w:t>Figure 4</w:t>
                      </w:r>
                    </w:p>
                    <w:p w14:paraId="046405CF" w14:textId="77777777" w:rsidR="00BB76F5" w:rsidRDefault="00BB76F5" w:rsidP="00BB76F5">
                      <w:pPr>
                        <w:pStyle w:val="Caption"/>
                        <w:spacing w:line="240" w:lineRule="auto"/>
                      </w:pPr>
                      <w:r>
                        <w:t>Posterior estimates of item memory (</w:t>
                      </w:r>
                      <m:oMath>
                        <m:r>
                          <w:rPr>
                            <w:rFonts w:ascii="Cambria Math" w:hAnsi="Cambria Math"/>
                          </w:rPr>
                          <m:t>a</m:t>
                        </m:r>
                      </m:oMath>
                      <w:r>
                        <w:t>) and context binding (</w:t>
                      </w:r>
                      <m:oMath>
                        <m:r>
                          <w:rPr>
                            <w:rFonts w:ascii="Cambria Math" w:hAnsi="Cambria Math"/>
                          </w:rPr>
                          <m:t>c</m:t>
                        </m:r>
                      </m:oMath>
                      <w:r>
                        <w:t>) across set sizes for the open-set and closed-set experiments (softmax choice rule). Points show posterior means; error bars show 95% HDIs.</w:t>
                      </w:r>
                    </w:p>
                    <w:p w14:paraId="0C3F7CF1" w14:textId="77777777" w:rsidR="00BB76F5" w:rsidRPr="0021488C" w:rsidRDefault="00BB76F5" w:rsidP="0021488C">
                      <w:pPr>
                        <w:pStyle w:val="FigureWithoutNote"/>
                        <w:rPr>
                          <w:noProof/>
                        </w:rPr>
                      </w:pPr>
                      <w:r>
                        <w:rPr>
                          <w:noProof/>
                        </w:rPr>
                        <w:drawing>
                          <wp:inline distT="0" distB="0" distL="0" distR="0" wp14:anchorId="3AAD0D4B" wp14:editId="1BE3D196">
                            <wp:extent cx="5943600" cy="2552700"/>
                            <wp:effectExtent l="0" t="0" r="0" b="0"/>
                            <wp:docPr id="677666188" name="Picture"/>
                            <wp:cNvGraphicFramePr/>
                            <a:graphic xmlns:a="http://schemas.openxmlformats.org/drawingml/2006/main">
                              <a:graphicData uri="http://schemas.openxmlformats.org/drawingml/2006/picture">
                                <pic:pic xmlns:pic="http://schemas.openxmlformats.org/drawingml/2006/picture">
                                  <pic:nvPicPr>
                                    <pic:cNvPr id="66" name="Picture" descr="../figures/tutorial1_param_estimates_softmax.pdf"/>
                                    <pic:cNvPicPr>
                                      <a:picLocks noChangeAspect="1" noChangeArrowheads="1"/>
                                    </pic:cNvPicPr>
                                  </pic:nvPicPr>
                                  <pic:blipFill>
                                    <a:blip r:embed="rId15"/>
                                    <a:stretch>
                                      <a:fillRect/>
                                    </a:stretch>
                                  </pic:blipFill>
                                  <pic:spPr bwMode="auto">
                                    <a:xfrm>
                                      <a:off x="0" y="0"/>
                                      <a:ext cx="5943600" cy="2552700"/>
                                    </a:xfrm>
                                    <a:prstGeom prst="rect">
                                      <a:avLst/>
                                    </a:prstGeom>
                                    <a:noFill/>
                                    <a:ln w="9525">
                                      <a:noFill/>
                                      <a:headEnd/>
                                      <a:tailEnd/>
                                    </a:ln>
                                  </pic:spPr>
                                </pic:pic>
                              </a:graphicData>
                            </a:graphic>
                          </wp:inline>
                        </w:drawing>
                      </w:r>
                    </w:p>
                  </w:txbxContent>
                </v:textbox>
                <w10:wrap type="square"/>
              </v:shape>
            </w:pict>
          </mc:Fallback>
        </mc:AlternateContent>
      </w:r>
      <w:hyperlink w:anchor="fig-t1-param-estimates">
        <w:r w:rsidR="00000000">
          <w:rPr>
            <w:rStyle w:val="Hyperlink"/>
          </w:rPr>
          <w:t>Figure 4</w:t>
        </w:r>
      </w:hyperlink>
      <w:r w:rsidR="00000000">
        <w:t xml:space="preserve"> shows the resulting estimates. Context binding (</w:t>
      </w:r>
      <m:oMath>
        <m:r>
          <w:rPr>
            <w:rFonts w:ascii="Cambria Math" w:hAnsi="Cambria Math"/>
          </w:rPr>
          <m:t>c</m:t>
        </m:r>
      </m:oMath>
      <w:r w:rsidR="00000000">
        <w:t>) is descriptively higher than item memory (</w:t>
      </w:r>
      <m:oMath>
        <m:r>
          <w:rPr>
            <w:rFonts w:ascii="Cambria Math" w:hAnsi="Cambria Math"/>
          </w:rPr>
          <m:t>a</m:t>
        </m:r>
      </m:oMath>
      <w:r w:rsidR="00000000">
        <w:t xml:space="preserve">) across all set sizes in both experiments, with the gap being especially pronounced in the closed-set experiment. Both parameters decrease with set size, but the decline is substantially steeper for </w:t>
      </w:r>
      <m:oMath>
        <m:r>
          <w:rPr>
            <w:rFonts w:ascii="Cambria Math" w:hAnsi="Cambria Math"/>
          </w:rPr>
          <m:t>c</m:t>
        </m:r>
      </m:oMath>
      <w:r w:rsidR="00000000">
        <w:t xml:space="preserve"> than for </w:t>
      </w:r>
      <m:oMath>
        <m:r>
          <w:rPr>
            <w:rFonts w:ascii="Cambria Math" w:hAnsi="Cambria Math"/>
          </w:rPr>
          <m:t>a</m:t>
        </m:r>
      </m:oMath>
      <w:r w:rsidR="00000000">
        <w:t xml:space="preserve">, consistent with binding being more sensitive to memory </w:t>
      </w:r>
      <w:r w:rsidR="00000000">
        <w:lastRenderedPageBreak/>
        <w:t xml:space="preserve">load. The two experiments differ markedly in item activation: </w:t>
      </w:r>
      <m:oMath>
        <m:r>
          <w:rPr>
            <w:rFonts w:ascii="Cambria Math" w:hAnsi="Cambria Math"/>
          </w:rPr>
          <m:t>a</m:t>
        </m:r>
      </m:oMath>
      <w:r w:rsidR="00000000">
        <w:t xml:space="preserve"> is notably higher in the open-set experiment than in the closed-set experiment. These results are consistent with the original findings by Oberauer (</w:t>
      </w:r>
      <w:hyperlink w:anchor="ref-oberauer2019bindings">
        <w:r w:rsidR="00000000">
          <w:rPr>
            <w:rStyle w:val="Hyperlink"/>
          </w:rPr>
          <w:t>2019</w:t>
        </w:r>
      </w:hyperlink>
      <w:r w:rsidR="00000000">
        <w:t>, see their discussion for theoretical interpretation of the experiment differences).</w:t>
      </w:r>
    </w:p>
    <w:p w14:paraId="4F8498EB" w14:textId="77777777" w:rsidR="00BB76F5" w:rsidRDefault="00BB76F5">
      <w:pPr>
        <w:pStyle w:val="BodyText"/>
      </w:pPr>
    </w:p>
    <w:p w14:paraId="2221F40C" w14:textId="725F23FD" w:rsidR="007B6D37" w:rsidRDefault="00000000">
      <w:pPr>
        <w:pStyle w:val="Heading2"/>
      </w:pPr>
      <w:bookmarkStart w:id="17" w:name="choice-rule-comparison"/>
      <w:bookmarkEnd w:id="16"/>
      <w:r>
        <w:t>Choice Rule Comparison</w:t>
      </w:r>
    </w:p>
    <w:p w14:paraId="0B9C300D" w14:textId="77777777" w:rsidR="007B6D37" w:rsidRDefault="00000000">
      <w:pPr>
        <w:pStyle w:val="FirstParagraph"/>
      </w:pPr>
      <w:r>
        <w:t xml:space="preserve">As introduced in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section, the choice rule determines how activations are converted to response probabilities. Because the choice rule affects both the parameter scale and the model’s fit to data, selecting the appropriate rule is an important modeling decision. To compare the two options, we fit a second model with </w:t>
      </w:r>
      <w:r>
        <w:rPr>
          <w:rStyle w:val="VerbatimChar"/>
        </w:rPr>
        <w:t>choice_rule = "simple"</w:t>
      </w:r>
      <w:r>
        <w:t xml:space="preserve"> using the same formula and data. Under the simple rule, </w:t>
      </w:r>
      <m:oMath>
        <m:r>
          <w:rPr>
            <w:rFonts w:ascii="Cambria Math" w:hAnsi="Cambria Math"/>
          </w:rPr>
          <m:t>a</m:t>
        </m:r>
      </m:oMath>
      <w:r>
        <w:t xml:space="preserve"> and </w:t>
      </w:r>
      <m:oMath>
        <m:r>
          <w:rPr>
            <w:rFonts w:ascii="Cambria Math" w:hAnsi="Cambria Math"/>
          </w:rPr>
          <m:t>c</m:t>
        </m:r>
      </m:oMath>
      <w:r>
        <w:t xml:space="preserve"> are estimated on the log link, so the raw coefficients must be exponentiated to obtain activation values.</w:t>
      </w:r>
    </w:p>
    <w:p w14:paraId="01EC2557" w14:textId="77777777" w:rsidR="007B6D37" w:rsidRDefault="00000000">
      <w:pPr>
        <w:pStyle w:val="BodyText"/>
      </w:pPr>
      <w:r>
        <w:t>The posterior predictive checks for both models are qualitatively similar, but the softmax rule tends to capture the tails of the response distribution more accurately, particularly for the NPL category at larger set sizes. The simple rule slightly overpredicts other-list intrusions in some conditions. The companion script (</w:t>
      </w:r>
      <w:r>
        <w:rPr>
          <w:rStyle w:val="VerbatimChar"/>
        </w:rPr>
        <w:t>scripts/tutorial1_simple_span.R</w:t>
      </w:r>
      <w:r>
        <w:t>) generates posterior predictive figures for both models; readers can inspect these in the online supplement to compare the fit of both choice rules across all conditions.</w:t>
      </w:r>
    </w:p>
    <w:p w14:paraId="5B611A13" w14:textId="72139892" w:rsidR="007B6D37" w:rsidRDefault="00000000">
      <w:pPr>
        <w:pStyle w:val="BodyText"/>
      </w:pPr>
      <w:r>
        <w:t>For a formal comparison, we computed the marginal likelihood of each model via bridge sampling (</w:t>
      </w:r>
      <w:hyperlink w:anchor="ref-gronau2017bridge">
        <w:r>
          <w:rPr>
            <w:rStyle w:val="Hyperlink"/>
          </w:rPr>
          <w:t>Gronau et al., 2017</w:t>
        </w:r>
      </w:hyperlink>
      <w:r>
        <w:t>) and derive a Bayes factor</w:t>
      </w:r>
      <w:r w:rsidR="00BB76F5">
        <w:t xml:space="preserve"> using the </w:t>
      </w:r>
      <w:r w:rsidR="00BB76F5" w:rsidRPr="00BB76F5">
        <w:rPr>
          <w:rFonts w:ascii="Consolas" w:hAnsi="Consolas" w:cs="Consolas"/>
          <w:i/>
          <w:iCs/>
        </w:rPr>
        <w:t>bf</w:t>
      </w:r>
      <w:r w:rsidR="00BB76F5">
        <w:t xml:space="preserve"> function</w:t>
      </w:r>
      <w:r>
        <w:t xml:space="preserve">. This requires </w:t>
      </w:r>
      <w:r>
        <w:rPr>
          <w:rStyle w:val="VerbatimChar"/>
        </w:rPr>
        <w:t>save_pars(all = TRUE)</w:t>
      </w:r>
      <w:r>
        <w:t xml:space="preserve"> during fitting (set in the </w:t>
      </w:r>
      <w:r>
        <w:rPr>
          <w:rStyle w:val="VerbatimChar"/>
        </w:rPr>
        <w:t>bmm()</w:t>
      </w:r>
      <w:r>
        <w:t xml:space="preserve"> call above):</w:t>
      </w:r>
    </w:p>
    <w:p w14:paraId="37322FD5" w14:textId="77777777" w:rsidR="007B6D37" w:rsidRDefault="00000000" w:rsidP="00BB76F5">
      <w:pPr>
        <w:pStyle w:val="SourceCode"/>
        <w:spacing w:line="240" w:lineRule="auto"/>
      </w:pPr>
      <w:r>
        <w:rPr>
          <w:rStyle w:val="NormalTok"/>
        </w:rPr>
        <w:t xml:space="preserve">bridge_softmax </w:t>
      </w:r>
      <w:r>
        <w:rPr>
          <w:rStyle w:val="OtherTok"/>
        </w:rPr>
        <w:t>&lt;-</w:t>
      </w:r>
      <w:r>
        <w:rPr>
          <w:rStyle w:val="NormalTok"/>
        </w:rPr>
        <w:t xml:space="preserve"> </w:t>
      </w:r>
      <w:r>
        <w:rPr>
          <w:rStyle w:val="FunctionTok"/>
        </w:rPr>
        <w:t>bridge_sampler</w:t>
      </w:r>
      <w:r>
        <w:rPr>
          <w:rStyle w:val="NormalTok"/>
        </w:rPr>
        <w:t xml:space="preserve">(fit_m3_ss_softmax, </w:t>
      </w:r>
      <w:r>
        <w:rPr>
          <w:rStyle w:val="AttributeTok"/>
        </w:rPr>
        <w:t>repetitions =</w:t>
      </w:r>
      <w:r>
        <w:rPr>
          <w:rStyle w:val="NormalTok"/>
        </w:rPr>
        <w:t xml:space="preserve"> </w:t>
      </w:r>
      <w:r>
        <w:rPr>
          <w:rStyle w:val="DecValTok"/>
        </w:rPr>
        <w:t>10</w:t>
      </w:r>
      <w:r>
        <w:rPr>
          <w:rStyle w:val="NormalTok"/>
        </w:rPr>
        <w:t>)</w:t>
      </w:r>
      <w:r>
        <w:br/>
      </w:r>
      <w:r>
        <w:rPr>
          <w:rStyle w:val="NormalTok"/>
        </w:rPr>
        <w:t xml:space="preserve">bridge_simple  </w:t>
      </w:r>
      <w:r>
        <w:rPr>
          <w:rStyle w:val="OtherTok"/>
        </w:rPr>
        <w:t>&lt;-</w:t>
      </w:r>
      <w:r>
        <w:rPr>
          <w:rStyle w:val="NormalTok"/>
        </w:rPr>
        <w:t xml:space="preserve"> </w:t>
      </w:r>
      <w:r>
        <w:rPr>
          <w:rStyle w:val="FunctionTok"/>
        </w:rPr>
        <w:t>bridge_sampler</w:t>
      </w:r>
      <w:r>
        <w:rPr>
          <w:rStyle w:val="NormalTok"/>
        </w:rPr>
        <w:t xml:space="preserve">(fit_m3_ss_simple,  </w:t>
      </w:r>
      <w:r>
        <w:rPr>
          <w:rStyle w:val="AttributeTok"/>
        </w:rPr>
        <w:t>repetitions =</w:t>
      </w:r>
      <w:r>
        <w:rPr>
          <w:rStyle w:val="NormalTok"/>
        </w:rPr>
        <w:t xml:space="preserve"> </w:t>
      </w:r>
      <w:r>
        <w:rPr>
          <w:rStyle w:val="DecValTok"/>
        </w:rPr>
        <w:t>10</w:t>
      </w:r>
      <w:r>
        <w:rPr>
          <w:rStyle w:val="NormalTok"/>
        </w:rPr>
        <w:t>)</w:t>
      </w:r>
      <w:r>
        <w:br/>
      </w:r>
      <w:r>
        <w:rPr>
          <w:rStyle w:val="FunctionTok"/>
        </w:rPr>
        <w:t>bf</w:t>
      </w:r>
      <w:r>
        <w:rPr>
          <w:rStyle w:val="NormalTok"/>
        </w:rPr>
        <w:t>(bridge_softmax, bridge_simple)</w:t>
      </w:r>
    </w:p>
    <w:p w14:paraId="1B61E290" w14:textId="77777777" w:rsidR="007B6D37" w:rsidRDefault="00000000">
      <w:pPr>
        <w:pStyle w:val="FirstParagraph"/>
      </w:pPr>
      <w:r>
        <w:lastRenderedPageBreak/>
        <w:t xml:space="preserve">The Bayes factor strongly favored the softmax rule (median </w:t>
      </w:r>
      <w:r>
        <w:rPr>
          <w:i/>
          <w:iCs/>
        </w:rPr>
        <w:t>BF</w:t>
      </w:r>
      <w:r>
        <w:rPr>
          <w:vertAlign w:val="subscript"/>
        </w:rPr>
        <w:t>10</w:t>
      </w:r>
      <w:r>
        <w:t xml:space="preserve"> = </w:t>
      </w:r>
      <m:oMath>
        <m:r>
          <w:rPr>
            <w:rFonts w:ascii="Cambria Math" w:hAnsi="Cambria Math"/>
          </w:rPr>
          <m:t>4.8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across 10 bridge sampling repetitions). This is consistent with recent comparisons by Oberauer (</w:t>
      </w:r>
      <w:hyperlink w:anchor="ref-oberauer2023measurement">
        <w:r>
          <w:rPr>
            <w:rStyle w:val="Hyperlink"/>
          </w:rPr>
          <w:t>2023</w:t>
        </w:r>
      </w:hyperlink>
      <w:r>
        <w:t>) and Li et al. (</w:t>
      </w:r>
      <w:hyperlink w:anchor="ref-li2026filtering">
        <w:r>
          <w:rPr>
            <w:rStyle w:val="Hyperlink"/>
          </w:rPr>
          <w:t>2026</w:t>
        </w:r>
      </w:hyperlink>
      <w:r>
        <w:t>), who found softmax to outperform the simple rule across different working memory tasks. We use the softmax rule as the default in the remaining tutorials.</w:t>
      </w:r>
    </w:p>
    <w:p w14:paraId="5E19170D" w14:textId="77777777" w:rsidR="00BB76F5" w:rsidRPr="00BB76F5" w:rsidRDefault="00BB76F5" w:rsidP="00BB76F5">
      <w:pPr>
        <w:pStyle w:val="BodyText"/>
      </w:pPr>
    </w:p>
    <w:p w14:paraId="153D5C2C" w14:textId="77777777" w:rsidR="007B6D37" w:rsidRDefault="00000000">
      <w:pPr>
        <w:pStyle w:val="Heading2"/>
      </w:pPr>
      <w:bookmarkStart w:id="18" w:name="hypothesis-testing"/>
      <w:bookmarkEnd w:id="17"/>
      <w:r>
        <w:t>Hypothesis Testing</w:t>
      </w:r>
    </w:p>
    <w:p w14:paraId="6E05BDC0" w14:textId="77777777" w:rsidR="007B6D37" w:rsidRDefault="00000000">
      <w:pPr>
        <w:pStyle w:val="FirstParagraph"/>
      </w:pPr>
      <w:r>
        <w:t xml:space="preserve">Because we fitted the model with </w:t>
      </w:r>
      <w:r>
        <w:rPr>
          <w:rStyle w:val="VerbatimChar"/>
        </w:rPr>
        <w:t>sample_prior = "yes"</w:t>
      </w:r>
      <w:r>
        <w:t xml:space="preserve">, we can use </w:t>
      </w:r>
      <w:r>
        <w:rPr>
          <w:rStyle w:val="VerbatimChar"/>
        </w:rPr>
        <w:t>brms::hypothesis()</w:t>
      </w:r>
      <w:r>
        <w:t xml:space="preserve"> to test directed hypotheses and obtain evidence ratios (Savage-Dickey density ratios comparing posterior to prior density at the hypothesis boundary). For example, to test whether set size reduces context binding (averaged across experiments):</w:t>
      </w:r>
    </w:p>
    <w:p w14:paraId="6D4D70AC" w14:textId="77777777" w:rsidR="007B6D37" w:rsidRDefault="00000000" w:rsidP="00BB76F5">
      <w:pPr>
        <w:pStyle w:val="SourceCode"/>
        <w:spacing w:line="240" w:lineRule="auto"/>
      </w:pPr>
      <w:r>
        <w:rPr>
          <w:rStyle w:val="CommentTok"/>
        </w:rPr>
        <w:t># Set size effect on context binding (averaged across experiments)</w:t>
      </w:r>
      <w:r>
        <w:br/>
      </w:r>
      <w:r>
        <w:rPr>
          <w:rStyle w:val="FunctionTok"/>
        </w:rPr>
        <w:t>hypothesis</w:t>
      </w:r>
      <w:r>
        <w:rPr>
          <w:rStyle w:val="NormalTok"/>
        </w:rPr>
        <w:t>(fit_m3_ss_softmax,</w:t>
      </w:r>
      <w:r>
        <w:br/>
      </w:r>
      <w:r>
        <w:rPr>
          <w:rStyle w:val="NormalTok"/>
        </w:rPr>
        <w:t xml:space="preserve">  </w:t>
      </w:r>
      <w:r>
        <w:rPr>
          <w:rStyle w:val="StringTok"/>
        </w:rPr>
        <w:t>"(c_expopenset:ss_lin + c_expclosedset:ss_lin) / 2 = 0"</w:t>
      </w:r>
      <w:r>
        <w:rPr>
          <w:rStyle w:val="NormalTok"/>
        </w:rPr>
        <w:t>)</w:t>
      </w:r>
    </w:p>
    <w:p w14:paraId="4EE87556" w14:textId="3F329BC4" w:rsidR="007B6D37" w:rsidRDefault="00000000" w:rsidP="00BB76F5">
      <w:pPr>
        <w:pStyle w:val="FirstParagraph"/>
        <w:spacing w:before="240"/>
      </w:pPr>
      <w:r>
        <w:t xml:space="preserve">This returns a Savage-Dickey density ratio: the ratio of prior to posterior density at the point null. Values substantially greater than 1 indicate that the data have shifted belief away from equality; values near 1 indicate inconclusive evidence. There is strong evidence for </w:t>
      </w:r>
      <m:oMath>
        <m:r>
          <w:rPr>
            <w:rFonts w:ascii="Cambria Math" w:hAnsi="Cambria Math"/>
          </w:rPr>
          <m:t>c</m:t>
        </m:r>
      </m:oMath>
      <w:r>
        <w:t xml:space="preserve"> decreasing with larger set size</w:t>
      </w:r>
      <w:r w:rsidR="00BB76F5">
        <w:t xml:space="preserve"> in both experiments</w:t>
      </w:r>
      <w:r>
        <w:t xml:space="preserv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w:t>
      </w:r>
      <m:oMath>
        <m:r>
          <m:rPr>
            <m:sty m:val="p"/>
          </m:rPr>
          <w:rPr>
            <w:rFonts w:ascii="Cambria Math" w:hAnsi="Cambria Math"/>
          </w:rPr>
          <m:t>≥</m:t>
        </m:r>
      </m:oMath>
      <w:r>
        <w:t xml:space="preserve"> 10,000). We can similarly test whether set size reduces item memory and whether the set size effects differ between experiments:</w:t>
      </w:r>
    </w:p>
    <w:p w14:paraId="46EA5203" w14:textId="77777777" w:rsidR="007B6D37" w:rsidRDefault="00000000" w:rsidP="00BB76F5">
      <w:pPr>
        <w:pStyle w:val="SourceCode"/>
        <w:spacing w:line="240" w:lineRule="auto"/>
      </w:pPr>
      <w:r>
        <w:rPr>
          <w:rStyle w:val="CommentTok"/>
        </w:rPr>
        <w:t># Set size effect on item memory (averaged across experiments)</w:t>
      </w:r>
      <w:r>
        <w:br/>
      </w:r>
      <w:r>
        <w:rPr>
          <w:rStyle w:val="FunctionTok"/>
        </w:rPr>
        <w:t>hypothesis</w:t>
      </w:r>
      <w:r>
        <w:rPr>
          <w:rStyle w:val="NormalTok"/>
        </w:rPr>
        <w:t>(fit_m3_ss_softmax,</w:t>
      </w:r>
      <w:r>
        <w:br/>
      </w:r>
      <w:r>
        <w:rPr>
          <w:rStyle w:val="NormalTok"/>
        </w:rPr>
        <w:t xml:space="preserve">  </w:t>
      </w:r>
      <w:r>
        <w:rPr>
          <w:rStyle w:val="StringTok"/>
        </w:rPr>
        <w:t>"(a_expopenset:ss_lin + a_expclosedset:ss_lin) / 2 = 0"</w:t>
      </w:r>
      <w:r>
        <w:rPr>
          <w:rStyle w:val="NormalTok"/>
        </w:rPr>
        <w:t>)</w:t>
      </w:r>
      <w:r>
        <w:br/>
      </w:r>
      <w:r>
        <w:br/>
      </w:r>
      <w:r>
        <w:rPr>
          <w:rStyle w:val="CommentTok"/>
        </w:rPr>
        <w:t># Experiment difference in set size effect on c</w:t>
      </w:r>
      <w:r>
        <w:br/>
      </w:r>
      <w:r>
        <w:rPr>
          <w:rStyle w:val="FunctionTok"/>
        </w:rPr>
        <w:t>hypothesis</w:t>
      </w:r>
      <w:r>
        <w:rPr>
          <w:rStyle w:val="NormalTok"/>
        </w:rPr>
        <w:t>(fit_m3_ss_softmax,</w:t>
      </w:r>
      <w:r>
        <w:br/>
      </w:r>
      <w:r>
        <w:rPr>
          <w:rStyle w:val="NormalTok"/>
        </w:rPr>
        <w:t xml:space="preserve">  </w:t>
      </w:r>
      <w:r>
        <w:rPr>
          <w:rStyle w:val="StringTok"/>
        </w:rPr>
        <w:t>"c_expopenset:ss_lin = c_expclosedset:ss_lin"</w:t>
      </w:r>
      <w:r>
        <w:rPr>
          <w:rStyle w:val="NormalTok"/>
        </w:rPr>
        <w:t>)</w:t>
      </w:r>
    </w:p>
    <w:p w14:paraId="26591AE7" w14:textId="3A133995" w:rsidR="007B6D37" w:rsidRDefault="00000000" w:rsidP="00BB76F5">
      <w:pPr>
        <w:pStyle w:val="FirstParagraph"/>
        <w:spacing w:before="240"/>
      </w:pPr>
      <w:r>
        <w:lastRenderedPageBreak/>
        <w:t xml:space="preserve">There is also moderate evidence that set size reduces </w:t>
      </w:r>
      <m:oMath>
        <m:r>
          <w:rPr>
            <w:rFonts w:ascii="Cambria Math" w:hAnsi="Cambria Math"/>
          </w:rPr>
          <m:t>a</m:t>
        </m:r>
      </m:oMath>
      <w:r>
        <w:t xml:space="preserv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5.69). The set size effect on </w:t>
      </w:r>
      <m:oMath>
        <m:r>
          <w:rPr>
            <w:rFonts w:ascii="Cambria Math" w:hAnsi="Cambria Math"/>
          </w:rPr>
          <m:t>c</m:t>
        </m:r>
      </m:oMath>
      <w:r>
        <w:t xml:space="preserve"> is comparable across experiments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65.4). The companion script contains the full set of hypothesis tests.</w:t>
      </w:r>
    </w:p>
    <w:p w14:paraId="11F1E11D" w14:textId="77777777" w:rsidR="00BB76F5" w:rsidRPr="00BB76F5" w:rsidRDefault="00BB76F5" w:rsidP="00BB76F5">
      <w:pPr>
        <w:pStyle w:val="BodyText"/>
      </w:pPr>
    </w:p>
    <w:p w14:paraId="4369D347" w14:textId="77777777" w:rsidR="007B6D37" w:rsidRDefault="00000000">
      <w:pPr>
        <w:pStyle w:val="Heading1"/>
      </w:pPr>
      <w:bookmarkStart w:id="19" w:name="tutorial-2-complex-span-m3"/>
      <w:bookmarkEnd w:id="11"/>
      <w:bookmarkEnd w:id="18"/>
      <w:r>
        <w:t xml:space="preserve">Tutorial 2: Complex Span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4DDB2FF2" w14:textId="77777777" w:rsidR="007B6D37" w:rsidRDefault="00000000">
      <w:pPr>
        <w:pStyle w:val="FirstParagraph"/>
      </w:pPr>
      <w:r>
        <w:t>This tutorial extends the workflow to tasks where distractors appear alongside memoranda. We use data from Li et al. (</w:t>
      </w:r>
      <w:hyperlink w:anchor="ref-li2026filtering">
        <w:r>
          <w:rPr>
            <w:rStyle w:val="Hyperlink"/>
          </w:rPr>
          <w:t>2026</w:t>
        </w:r>
      </w:hyperlink>
      <w:r>
        <w:t xml:space="preserve">), who developed a complex-span filtering task to test whether processed information can be kept out of working memory. The companion script is </w:t>
      </w:r>
      <w:r>
        <w:rPr>
          <w:rStyle w:val="VerbatimChar"/>
        </w:rPr>
        <w:t>scripts/tutorial2_complex_</w:t>
      </w:r>
      <w:proofErr w:type="gramStart"/>
      <w:r>
        <w:rPr>
          <w:rStyle w:val="VerbatimChar"/>
        </w:rPr>
        <w:t>span.R</w:t>
      </w:r>
      <w:proofErr w:type="gramEnd"/>
      <w:r>
        <w:t xml:space="preserve">; data preparation is in </w:t>
      </w:r>
      <w:r>
        <w:rPr>
          <w:rStyle w:val="VerbatimChar"/>
        </w:rPr>
        <w:t>scripts/prepare_Li2026_data.R</w:t>
      </w:r>
      <w:r>
        <w:t>.</w:t>
      </w:r>
    </w:p>
    <w:p w14:paraId="1CFC8271" w14:textId="77777777" w:rsidR="00BB76F5" w:rsidRPr="00BB76F5" w:rsidRDefault="00BB76F5" w:rsidP="00BB76F5">
      <w:pPr>
        <w:pStyle w:val="BodyText"/>
      </w:pPr>
    </w:p>
    <w:p w14:paraId="6CCB38FE" w14:textId="77777777" w:rsidR="007B6D37" w:rsidRDefault="00000000">
      <w:pPr>
        <w:pStyle w:val="Heading2"/>
      </w:pPr>
      <w:bookmarkStart w:id="20" w:name="what-makes-complex-span-different"/>
      <w:r>
        <w:t>What makes complex span different</w:t>
      </w:r>
    </w:p>
    <w:p w14:paraId="093B010D" w14:textId="4D3946F6" w:rsidR="00BB76F5" w:rsidRDefault="00000000">
      <w:pPr>
        <w:pStyle w:val="FirstParagraph"/>
      </w:pPr>
      <w:r>
        <w:t xml:space="preserve">Complex span tasks impose higher cognitive load than simple span tasks because they require participants to perform a processing task and a memory task simultaneously (for a detailed description and task illustration, see </w:t>
      </w:r>
      <w:hyperlink w:anchor="ref-li2026filtering">
        <w:r>
          <w:rPr>
            <w:rStyle w:val="Hyperlink"/>
          </w:rPr>
          <w:t>Li et al., 2026, Figure 1</w:t>
        </w:r>
      </w:hyperlink>
      <w:r>
        <w:t>). In these tasks, stimuli that only serve the processing task but not the memory task may be encoded into working memory and interfere with the maintenance of other items. These stimuli are referred to as distractors and may also be recalled at retrieval</w:t>
      </w:r>
      <w:r w:rsidR="00BB76F5">
        <w:t xml:space="preserve">, if the materials of distractors </w:t>
      </w:r>
      <w:proofErr w:type="gramStart"/>
      <w:r w:rsidR="00BB76F5">
        <w:t>matches</w:t>
      </w:r>
      <w:proofErr w:type="gramEnd"/>
      <w:r w:rsidR="00BB76F5">
        <w:t xml:space="preserve"> the materials of the memoranda</w:t>
      </w:r>
      <w:r>
        <w:t>. Therefore, in addition to the three response categories used in simple span tasks, complex span tasks include two additional categories to account for distractor responses:</w:t>
      </w:r>
      <w:r w:rsidR="00BB76F5">
        <w:t xml:space="preserve"> the</w:t>
      </w:r>
      <w:r>
        <w:t xml:space="preserve"> </w:t>
      </w:r>
      <w:r>
        <w:rPr>
          <w:i/>
          <w:iCs/>
        </w:rPr>
        <w:t>paired distractor</w:t>
      </w:r>
      <w:r>
        <w:t xml:space="preserve">, which refers to the distractor associated with the context of the tested target, and </w:t>
      </w:r>
      <w:r>
        <w:rPr>
          <w:i/>
          <w:iCs/>
        </w:rPr>
        <w:t>other distractor</w:t>
      </w:r>
      <w:r w:rsidR="00BB76F5">
        <w:rPr>
          <w:i/>
          <w:iCs/>
        </w:rPr>
        <w:t>s</w:t>
      </w:r>
      <w:r>
        <w:t xml:space="preserve">, which refers to distractors from different contexts. </w:t>
      </w:r>
    </w:p>
    <w:p w14:paraId="4B565F8F" w14:textId="1E24EA3E" w:rsidR="007B6D37" w:rsidRDefault="00000000">
      <w:pPr>
        <w:pStyle w:val="FirstParagraph"/>
      </w:pPr>
      <w:r>
        <w:lastRenderedPageBreak/>
        <w:t>In the complex span (</w:t>
      </w:r>
      <w:r>
        <w:rPr>
          <w:rStyle w:val="VerbatimChar"/>
        </w:rPr>
        <w:t>cs</w:t>
      </w:r>
      <w:r>
        <w:t xml:space="preserve">) model, a filtering process (represented by parameter </w:t>
      </w:r>
      <m:oMath>
        <m:r>
          <w:rPr>
            <w:rFonts w:ascii="Cambria Math" w:hAnsi="Cambria Math"/>
          </w:rPr>
          <m:t>f</m:t>
        </m:r>
      </m:oMath>
      <w:r>
        <w:t>) determines the extent to which a distractor is activated relative to a memorandum. In the model for complex span tasks proposed by Oberauer and Lewandowsky (</w:t>
      </w:r>
      <w:hyperlink w:anchor="ref-oberauer2019simple">
        <w:r>
          <w:rPr>
            <w:rStyle w:val="Hyperlink"/>
          </w:rPr>
          <w:t>2019</w:t>
        </w:r>
      </w:hyperlink>
      <w:r>
        <w:t>) it appears as a multiplier on item memory and context binding for distractor categories:</w:t>
      </w:r>
    </w:p>
    <w:p w14:paraId="4B9CD162" w14:textId="77777777" w:rsidR="007B6D3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close dist.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other dist.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5A196DAC" w14:textId="77777777" w:rsidR="007B6D37" w:rsidRDefault="00000000">
      <w:pPr>
        <w:pStyle w:val="FirstParagraph"/>
      </w:pPr>
      <w:r>
        <w:t xml:space="preserve">The parameter </w:t>
      </w:r>
      <m:oMath>
        <m:r>
          <w:rPr>
            <w:rFonts w:ascii="Cambria Math" w:hAnsi="Cambria Math"/>
          </w:rPr>
          <m:t>f</m:t>
        </m:r>
      </m:oMath>
      <w:r>
        <w:t xml:space="preserve"> ranges from 0 to 1 (estimated on the logit scale). At the extremes, </w:t>
      </w:r>
      <m:oMath>
        <m:r>
          <w:rPr>
            <w:rFonts w:ascii="Cambria Math" w:hAnsi="Cambria Math"/>
          </w:rPr>
          <m:t>f</m:t>
        </m:r>
        <m:r>
          <m:rPr>
            <m:sty m:val="p"/>
          </m:rPr>
          <w:rPr>
            <w:rFonts w:ascii="Cambria Math" w:hAnsi="Cambria Math"/>
          </w:rPr>
          <m:t>=</m:t>
        </m:r>
        <m:r>
          <w:rPr>
            <w:rFonts w:ascii="Cambria Math" w:hAnsi="Cambria Math"/>
          </w:rPr>
          <m:t>0</m:t>
        </m:r>
      </m:oMath>
      <w:r>
        <w:t xml:space="preserve"> means distractors receive only baseline activation, as if they were never encountered (perfect filtering); </w:t>
      </w:r>
      <m:oMath>
        <m:r>
          <w:rPr>
            <w:rFonts w:ascii="Cambria Math" w:hAnsi="Cambria Math"/>
          </w:rPr>
          <m:t>f</m:t>
        </m:r>
        <m:r>
          <m:rPr>
            <m:sty m:val="p"/>
          </m:rPr>
          <w:rPr>
            <w:rFonts w:ascii="Cambria Math" w:hAnsi="Cambria Math"/>
          </w:rPr>
          <m:t>=</m:t>
        </m:r>
        <m:r>
          <w:rPr>
            <w:rFonts w:ascii="Cambria Math" w:hAnsi="Cambria Math"/>
          </w:rPr>
          <m:t>1</m:t>
        </m:r>
      </m:oMath>
      <w:r>
        <w:t xml:space="preserve"> means distractors are activated identically to memoranda, as if filtering failed entirely.</w:t>
      </w:r>
    </w:p>
    <w:p w14:paraId="3B0A0486" w14:textId="77777777" w:rsidR="00BF5F09" w:rsidRPr="00BF5F09" w:rsidRDefault="00BF5F09" w:rsidP="00BF5F09">
      <w:pPr>
        <w:pStyle w:val="BodyText"/>
      </w:pPr>
    </w:p>
    <w:p w14:paraId="1C914DDB" w14:textId="77777777" w:rsidR="007B6D37" w:rsidRDefault="00000000">
      <w:pPr>
        <w:pStyle w:val="Heading2"/>
      </w:pPr>
      <w:bookmarkStart w:id="21" w:name="data-1"/>
      <w:bookmarkEnd w:id="20"/>
      <w:r>
        <w:t>Data</w:t>
      </w:r>
    </w:p>
    <w:p w14:paraId="0D649364" w14:textId="77777777" w:rsidR="007B6D37" w:rsidRDefault="00000000">
      <w:pPr>
        <w:pStyle w:val="FirstParagraph"/>
      </w:pPr>
      <w:r>
        <w:t>Li et al. (</w:t>
      </w:r>
      <w:hyperlink w:anchor="ref-li2026filtering">
        <w:r>
          <w:rPr>
            <w:rStyle w:val="Hyperlink"/>
          </w:rPr>
          <w:t>2026</w:t>
        </w:r>
      </w:hyperlink>
      <w:r>
        <w:t>) presented participants with image pairs and manipulated whether targets and distractors were identified using an arrow cue pointing to one of the items before processing (pre-cue), after processing (retro-cue), or whether no distractors were present (control). We use Experiment 1 (45 participants after exclusions, within-subjects) for this tutorial. The data are pre-aggregated into response frequencies across the five categories:</w:t>
      </w:r>
    </w:p>
    <w:p w14:paraId="66772C15" w14:textId="77777777" w:rsidR="007B6D37" w:rsidRPr="00BF5F09" w:rsidRDefault="00000000" w:rsidP="00BF5F09">
      <w:pPr>
        <w:pStyle w:val="SourceCode"/>
        <w:spacing w:line="240" w:lineRule="auto"/>
        <w:rPr>
          <w:sz w:val="22"/>
          <w:szCs w:val="22"/>
        </w:rPr>
      </w:pPr>
      <w:r w:rsidRPr="00BF5F09">
        <w:rPr>
          <w:rStyle w:val="VerbatimChar"/>
          <w:sz w:val="21"/>
          <w:szCs w:val="22"/>
        </w:rPr>
        <w:t># A tibble: 6 × 12</w:t>
      </w:r>
      <w:r w:rsidRPr="00BF5F09">
        <w:rPr>
          <w:sz w:val="22"/>
          <w:szCs w:val="22"/>
        </w:rPr>
        <w:br/>
      </w:r>
      <w:r w:rsidRPr="00BF5F09">
        <w:rPr>
          <w:rStyle w:val="VerbatimChar"/>
          <w:sz w:val="21"/>
          <w:szCs w:val="22"/>
        </w:rPr>
        <w:t xml:space="preserve">  participant condition  corr other distc disto   npl n_corr n_other n_distc</w:t>
      </w:r>
      <w:r w:rsidRPr="00BF5F09">
        <w:rPr>
          <w:sz w:val="22"/>
          <w:szCs w:val="22"/>
        </w:rPr>
        <w:br/>
      </w:r>
      <w:r w:rsidRPr="00BF5F09">
        <w:rPr>
          <w:rStyle w:val="VerbatimChar"/>
          <w:sz w:val="21"/>
          <w:szCs w:val="22"/>
        </w:rPr>
        <w:t xml:space="preserve">        &lt;dbl&gt; &lt;fct&gt;     &lt;dbl&gt; &lt;dbl&gt; &lt;dbl&gt; &lt;dbl&gt; &lt;dbl&gt;  &lt;dbl&gt;   &lt;dbl&gt;   &lt;dbl&gt;</w:t>
      </w:r>
      <w:r w:rsidRPr="00BF5F09">
        <w:rPr>
          <w:sz w:val="22"/>
          <w:szCs w:val="22"/>
        </w:rPr>
        <w:br/>
      </w:r>
      <w:r w:rsidRPr="00BF5F09">
        <w:rPr>
          <w:rStyle w:val="VerbatimChar"/>
          <w:sz w:val="21"/>
          <w:szCs w:val="22"/>
        </w:rPr>
        <w:t>1           1 control      41    18     0     0     1      1       2       0</w:t>
      </w:r>
      <w:r w:rsidRPr="00BF5F09">
        <w:rPr>
          <w:sz w:val="22"/>
          <w:szCs w:val="22"/>
        </w:rPr>
        <w:br/>
      </w:r>
      <w:r w:rsidRPr="00BF5F09">
        <w:rPr>
          <w:rStyle w:val="VerbatimChar"/>
          <w:sz w:val="21"/>
          <w:szCs w:val="22"/>
        </w:rPr>
        <w:t>2           1 pre          31    17     4     6     1      1       2       1</w:t>
      </w:r>
      <w:r w:rsidRPr="00BF5F09">
        <w:rPr>
          <w:sz w:val="22"/>
          <w:szCs w:val="22"/>
        </w:rPr>
        <w:br/>
      </w:r>
      <w:r w:rsidRPr="00BF5F09">
        <w:rPr>
          <w:rStyle w:val="VerbatimChar"/>
          <w:sz w:val="21"/>
          <w:szCs w:val="22"/>
        </w:rPr>
        <w:t>3           1 retro        34    15     5     4     1      1       2       1</w:t>
      </w:r>
      <w:r w:rsidRPr="00BF5F09">
        <w:rPr>
          <w:sz w:val="22"/>
          <w:szCs w:val="22"/>
        </w:rPr>
        <w:br/>
      </w:r>
      <w:r w:rsidRPr="00BF5F09">
        <w:rPr>
          <w:rStyle w:val="VerbatimChar"/>
          <w:sz w:val="21"/>
          <w:szCs w:val="22"/>
        </w:rPr>
        <w:t>4           2 control      52     7     0     0     1      1       2       0</w:t>
      </w:r>
      <w:r w:rsidRPr="00BF5F09">
        <w:rPr>
          <w:sz w:val="22"/>
          <w:szCs w:val="22"/>
        </w:rPr>
        <w:br/>
      </w:r>
      <w:r w:rsidRPr="00BF5F09">
        <w:rPr>
          <w:rStyle w:val="VerbatimChar"/>
          <w:sz w:val="21"/>
          <w:szCs w:val="22"/>
        </w:rPr>
        <w:t>5           2 pre          33    14     6     7     0      1       2       1</w:t>
      </w:r>
      <w:r w:rsidRPr="00BF5F09">
        <w:rPr>
          <w:sz w:val="22"/>
          <w:szCs w:val="22"/>
        </w:rPr>
        <w:br/>
      </w:r>
      <w:r w:rsidRPr="00BF5F09">
        <w:rPr>
          <w:rStyle w:val="VerbatimChar"/>
          <w:sz w:val="21"/>
          <w:szCs w:val="22"/>
        </w:rPr>
        <w:t>6           2 retro        44     9     4     3     0      1       2       1</w:t>
      </w:r>
      <w:r w:rsidRPr="00BF5F09">
        <w:rPr>
          <w:sz w:val="22"/>
          <w:szCs w:val="22"/>
        </w:rPr>
        <w:br/>
      </w:r>
      <w:r w:rsidRPr="00BF5F09">
        <w:rPr>
          <w:rStyle w:val="VerbatimChar"/>
          <w:sz w:val="21"/>
          <w:szCs w:val="22"/>
        </w:rPr>
        <w:t># ℹ 2 more variables: n_disto &lt;dbl&gt;, n_npl &lt;dbl&gt;</w:t>
      </w:r>
    </w:p>
    <w:p w14:paraId="04E309C8" w14:textId="77777777" w:rsidR="007B6D37" w:rsidRDefault="00000000">
      <w:pPr>
        <w:pStyle w:val="Heading2"/>
      </w:pPr>
      <w:bookmarkStart w:id="22" w:name="model-specification-1"/>
      <w:bookmarkEnd w:id="21"/>
      <w:r>
        <w:lastRenderedPageBreak/>
        <w:t>Model specification</w:t>
      </w:r>
    </w:p>
    <w:p w14:paraId="14FB0391" w14:textId="77777777" w:rsidR="007B6D37" w:rsidRDefault="00000000">
      <w:pPr>
        <w:pStyle w:val="FirstParagraph"/>
      </w:pPr>
      <w:r>
        <w:t xml:space="preserve">The model definition follows the same pattern as in Tutorial 1. As noted before, the </w:t>
      </w:r>
      <w:r>
        <w:rPr>
          <w:rStyle w:val="VerbatimChar"/>
        </w:rPr>
        <w:t>cs</w:t>
      </w:r>
      <w:r>
        <w:t xml:space="preserve"> version assigns activation formulas by position: the </w:t>
      </w:r>
      <w:r>
        <w:rPr>
          <w:rStyle w:val="VerbatimChar"/>
        </w:rPr>
        <w:t>resp_cats</w:t>
      </w:r>
      <w:r>
        <w:t xml:space="preserve"> vector must follow the order </w:t>
      </w:r>
      <w:r>
        <w:rPr>
          <w:rStyle w:val="VerbatimChar"/>
        </w:rPr>
        <w:t>corr, distc, other, disto, npl</w:t>
      </w:r>
      <w:r>
        <w:t xml:space="preserve">. The </w:t>
      </w:r>
      <w:r>
        <w:rPr>
          <w:rStyle w:val="VerbatimChar"/>
        </w:rPr>
        <w:t>num_options</w:t>
      </w:r>
      <w:r>
        <w:t xml:space="preserve"> entries should follow the same order as the names of the response categories passed to </w:t>
      </w:r>
      <w:r>
        <w:rPr>
          <w:rStyle w:val="VerbatimChar"/>
        </w:rPr>
        <w:t>resp_cats</w:t>
      </w:r>
      <w:r>
        <w:t>. The model specification for the complex span version thus looks like this:</w:t>
      </w:r>
    </w:p>
    <w:p w14:paraId="7CC49735" w14:textId="77777777" w:rsidR="007B6D37" w:rsidRDefault="00000000" w:rsidP="00BF5F09">
      <w:pPr>
        <w:pStyle w:val="SourceCode"/>
        <w:spacing w:line="240" w:lineRule="auto"/>
      </w:pPr>
      <w:r>
        <w:rPr>
          <w:rStyle w:val="NormalTok"/>
        </w:rPr>
        <w:t xml:space="preserve">m3_model_cs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"distc"</w:t>
      </w:r>
      <w:r>
        <w:rPr>
          <w:rStyle w:val="NormalTok"/>
        </w:rPr>
        <w:t xml:space="preserve">, </w:t>
      </w:r>
      <w:r>
        <w:rPr>
          <w:rStyle w:val="StringTok"/>
        </w:rPr>
        <w:t>"other"</w:t>
      </w:r>
      <w:r>
        <w:rPr>
          <w:rStyle w:val="NormalTok"/>
        </w:rPr>
        <w:t xml:space="preserve">, </w:t>
      </w:r>
      <w:r>
        <w:rPr>
          <w:rStyle w:val="StringTok"/>
        </w:rPr>
        <w:t>"disto"</w:t>
      </w:r>
      <w:r>
        <w:rPr>
          <w:rStyle w:val="NormalTok"/>
        </w:rPr>
        <w:t xml:space="preserve">, </w:t>
      </w:r>
      <w:r>
        <w:rPr>
          <w:rStyle w:val="StringTok"/>
        </w:rPr>
        <w:t>"npl"</w:t>
      </w:r>
      <w:r>
        <w:rPr>
          <w:rStyle w:val="NormalTok"/>
        </w:rPr>
        <w:t>),</w:t>
      </w:r>
      <w:r>
        <w:br/>
      </w:r>
      <w:r>
        <w:rPr>
          <w:rStyle w:val="NormalTok"/>
        </w:rPr>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"n_distc"</w:t>
      </w:r>
      <w:r>
        <w:rPr>
          <w:rStyle w:val="NormalTok"/>
        </w:rPr>
        <w:t xml:space="preserve">, </w:t>
      </w:r>
      <w:r>
        <w:rPr>
          <w:rStyle w:val="StringTok"/>
        </w:rPr>
        <w:t>"n_other"</w:t>
      </w:r>
      <w:r>
        <w:rPr>
          <w:rStyle w:val="NormalTok"/>
        </w:rPr>
        <w:t xml:space="preserve">, </w:t>
      </w:r>
      <w:r>
        <w:rPr>
          <w:rStyle w:val="StringTok"/>
        </w:rPr>
        <w:t>"n_disto"</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"cs"</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br/>
      </w:r>
      <w:r>
        <w:rPr>
          <w:rStyle w:val="NormalTok"/>
        </w:rPr>
        <w:t>)</w:t>
      </w:r>
    </w:p>
    <w:p w14:paraId="1CE9BBAD" w14:textId="77777777" w:rsidR="007B6D37" w:rsidRDefault="00000000" w:rsidP="00BF5F09">
      <w:pPr>
        <w:pStyle w:val="FirstParagraph"/>
        <w:spacing w:before="240"/>
      </w:pPr>
      <w:r>
        <w:t xml:space="preserve">Again, we can use the information from the model object that is returned by the </w:t>
      </w:r>
      <w:r>
        <w:rPr>
          <w:rStyle w:val="VerbatimChar"/>
        </w:rPr>
        <w:t>m3</w:t>
      </w:r>
      <w:r>
        <w:t xml:space="preserve"> call to obtain information on the parameters that are estimated and can be predicted. For the </w:t>
      </w:r>
      <w:r>
        <w:rPr>
          <w:rStyle w:val="VerbatimChar"/>
        </w:rPr>
        <w:t>cs</w:t>
      </w:r>
      <w:r>
        <w:t xml:space="preserve"> version, these are again context activation </w:t>
      </w:r>
      <m:oMath>
        <m:r>
          <w:rPr>
            <w:rFonts w:ascii="Cambria Math" w:hAnsi="Cambria Math"/>
          </w:rPr>
          <m:t>c</m:t>
        </m:r>
      </m:oMath>
      <w:r>
        <w:t xml:space="preserve">, general activation </w:t>
      </w:r>
      <m:oMath>
        <m:r>
          <w:rPr>
            <w:rFonts w:ascii="Cambria Math" w:hAnsi="Cambria Math"/>
          </w:rPr>
          <m:t>a</m:t>
        </m:r>
      </m:oMath>
      <w:r>
        <w:t xml:space="preserve">, and now also the filtering parameter </w:t>
      </w:r>
      <m:oMath>
        <m:r>
          <w:rPr>
            <w:rFonts w:ascii="Cambria Math" w:hAnsi="Cambria Math"/>
          </w:rPr>
          <m:t>f</m:t>
        </m:r>
      </m:oMath>
      <w:r>
        <w:t>. According to the experimental design of experiment 1 from Li et al. (</w:t>
      </w:r>
      <w:hyperlink w:anchor="ref-li2026filtering">
        <w:r>
          <w:rPr>
            <w:rStyle w:val="Hyperlink"/>
          </w:rPr>
          <w:t>2026</w:t>
        </w:r>
      </w:hyperlink>
      <w:r>
        <w:t>), the predictor formula specifies condition effects on all three parameters with cell means coding and uncorrelated random effects per condition:</w:t>
      </w:r>
    </w:p>
    <w:p w14:paraId="4DD19338" w14:textId="77777777" w:rsidR="007B6D37" w:rsidRDefault="00000000" w:rsidP="00BF5F09">
      <w:pPr>
        <w:pStyle w:val="SourceCode"/>
        <w:spacing w:line="240" w:lineRule="auto"/>
      </w:pPr>
      <w:r>
        <w:rPr>
          <w:rStyle w:val="NormalTok"/>
        </w:rPr>
        <w:t xml:space="preserve">m3_formula_cs </w:t>
      </w:r>
      <w:r>
        <w:rPr>
          <w:rStyle w:val="OtherTok"/>
        </w:rPr>
        <w:t>&lt;-</w:t>
      </w:r>
      <w:r>
        <w:rPr>
          <w:rStyle w:val="NormalTok"/>
        </w:rPr>
        <w:t xml:space="preserve"> </w:t>
      </w:r>
      <w:r>
        <w:rPr>
          <w:rStyle w:val="FunctionTok"/>
        </w:rPr>
        <w:t>bmf</w:t>
      </w:r>
      <w:r>
        <w:rPr>
          <w:rStyle w:val="NormalTok"/>
        </w:rPr>
        <w: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f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w:t>
      </w:r>
    </w:p>
    <w:p w14:paraId="7C09AE19" w14:textId="77777777" w:rsidR="007B6D37" w:rsidRDefault="00000000" w:rsidP="00BF5F09">
      <w:pPr>
        <w:pStyle w:val="FirstParagraph"/>
        <w:spacing w:before="240"/>
      </w:pPr>
      <w:r>
        <w:t>There is one complication that we should address for this data: in the control condition, no distractors are presented (</w:t>
      </w:r>
      <w:r>
        <w:rPr>
          <w:rStyle w:val="VerbatimChar"/>
        </w:rPr>
        <w:t>n_distc = 0</w:t>
      </w:r>
      <w:r>
        <w:t xml:space="preserve">, </w:t>
      </w:r>
      <w:r>
        <w:rPr>
          <w:rStyle w:val="VerbatimChar"/>
        </w:rPr>
        <w:t>n_disto = 0</w:t>
      </w:r>
      <w:r>
        <w:t xml:space="preserve">), so </w:t>
      </w:r>
      <m:oMath>
        <m:r>
          <w:rPr>
            <w:rFonts w:ascii="Cambria Math" w:hAnsi="Cambria Math"/>
          </w:rPr>
          <m:t>f</m:t>
        </m:r>
      </m:oMath>
      <w:r>
        <w:t xml:space="preserve"> does not influence the likelihood and is not identified. If left free, the sampler will wander through the prior, which can slow down sampling. The solution is to fix </w:t>
      </w:r>
      <m:oMath>
        <m:r>
          <w:rPr>
            <w:rFonts w:ascii="Cambria Math" w:hAnsi="Cambria Math"/>
          </w:rPr>
          <m:t>f</m:t>
        </m:r>
      </m:oMath>
      <w:r>
        <w:t xml:space="preserve"> in the control condition using a </w:t>
      </w:r>
      <w:r>
        <w:rPr>
          <w:rStyle w:val="VerbatimChar"/>
        </w:rPr>
        <w:t>constant()</w:t>
      </w:r>
      <w:r>
        <w:t xml:space="preserve"> prior on both the fixed effect and the random effect SD:</w:t>
      </w:r>
    </w:p>
    <w:p w14:paraId="1A68DE5C" w14:textId="77777777" w:rsidR="007B6D37" w:rsidRDefault="00000000" w:rsidP="00BF5F09">
      <w:pPr>
        <w:pStyle w:val="SourceCode"/>
        <w:spacing w:line="240" w:lineRule="auto"/>
      </w:pPr>
      <w:r>
        <w:rPr>
          <w:rStyle w:val="NormalTok"/>
        </w:rPr>
        <w:lastRenderedPageBreak/>
        <w:t xml:space="preserve">priors_cs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nlpar =</w:t>
      </w:r>
      <w:r>
        <w:rPr>
          <w:rStyle w:val="NormalTok"/>
        </w:rPr>
        <w:t xml:space="preserve"> </w:t>
      </w:r>
      <w:r>
        <w:rPr>
          <w:rStyle w:val="StringTok"/>
        </w:rPr>
        <w:t>"f"</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"f"</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w:t>
      </w:r>
    </w:p>
    <w:p w14:paraId="44272AD7" w14:textId="77777777" w:rsidR="007B6D37" w:rsidRDefault="00000000" w:rsidP="00BF5F09">
      <w:pPr>
        <w:pStyle w:val="FirstParagraph"/>
        <w:spacing w:before="240"/>
      </w:pPr>
      <w:r>
        <w:t xml:space="preserve">The specific values are not critical, as </w:t>
      </w:r>
      <m:oMath>
        <m:r>
          <w:rPr>
            <w:rFonts w:ascii="Cambria Math" w:hAnsi="Cambria Math"/>
          </w:rPr>
          <m:t>f</m:t>
        </m:r>
      </m:oMath>
      <w:r>
        <w:t xml:space="preserve"> will not influence the likelihood in the control condition. Still, setting the fixed effect to 0 on the logit scale (effectively </w:t>
      </w:r>
      <m:oMath>
        <m:r>
          <w:rPr>
            <w:rFonts w:ascii="Cambria Math" w:hAnsi="Cambria Math"/>
          </w:rPr>
          <m:t>f</m:t>
        </m:r>
        <m:r>
          <m:rPr>
            <m:sty m:val="p"/>
          </m:rPr>
          <w:rPr>
            <w:rFonts w:ascii="Cambria Math" w:hAnsi="Cambria Math"/>
          </w:rPr>
          <m:t>=</m:t>
        </m:r>
        <m:r>
          <w:rPr>
            <w:rFonts w:ascii="Cambria Math" w:hAnsi="Cambria Math"/>
          </w:rPr>
          <m:t>0.5</m:t>
        </m:r>
      </m:oMath>
      <w:r>
        <w:t xml:space="preserve">) and the SD to 0 pins the control-condition filtering at a fixed value. The remaining conditions still estimate </w:t>
      </w:r>
      <m:oMath>
        <m:r>
          <w:rPr>
            <w:rFonts w:ascii="Cambria Math" w:hAnsi="Cambria Math"/>
          </w:rPr>
          <m:t>f</m:t>
        </m:r>
      </m:oMath>
      <w:r>
        <w:t xml:space="preserve"> freely. For more information on setting priors in </w:t>
      </w:r>
      <w:r>
        <w:rPr>
          <w:rStyle w:val="VerbatimChar"/>
        </w:rPr>
        <w:t>bmm</w:t>
      </w:r>
      <w:r>
        <w:t xml:space="preserve">, you can check the </w:t>
      </w:r>
      <w:r>
        <w:rPr>
          <w:rStyle w:val="VerbatimChar"/>
        </w:rPr>
        <w:t>brms</w:t>
      </w:r>
      <w:r>
        <w:t xml:space="preserve"> documentation. As </w:t>
      </w:r>
      <w:r>
        <w:rPr>
          <w:rStyle w:val="VerbatimChar"/>
        </w:rPr>
        <w:t>bmm</w:t>
      </w:r>
      <w:r>
        <w:t xml:space="preserve"> builds on </w:t>
      </w:r>
      <w:r>
        <w:rPr>
          <w:rStyle w:val="VerbatimChar"/>
        </w:rPr>
        <w:t>brms</w:t>
      </w:r>
      <w:r>
        <w:t>, the same syntax applies for setting priors. The companion script contains the full set of priors used for this model, which are mostly the default weakly informative priors.</w:t>
      </w:r>
    </w:p>
    <w:p w14:paraId="341E2833" w14:textId="77777777" w:rsidR="00BF5F09" w:rsidRPr="00BF5F09" w:rsidRDefault="00BF5F09" w:rsidP="00BF5F09">
      <w:pPr>
        <w:pStyle w:val="BodyText"/>
      </w:pPr>
    </w:p>
    <w:p w14:paraId="2DA35585" w14:textId="77777777" w:rsidR="007B6D37" w:rsidRDefault="00000000">
      <w:pPr>
        <w:pStyle w:val="Heading2"/>
      </w:pPr>
      <w:bookmarkStart w:id="23" w:name="model-fitting-and-evaluation"/>
      <w:bookmarkEnd w:id="22"/>
      <w:r>
        <w:t>Model fitting and evaluation</w:t>
      </w:r>
    </w:p>
    <w:p w14:paraId="6E1499DE" w14:textId="77777777" w:rsidR="007B6D37" w:rsidRDefault="00000000">
      <w:pPr>
        <w:pStyle w:val="FirstParagraph"/>
      </w:pPr>
      <w:r>
        <w:t xml:space="preserve">Fitting follows the same </w:t>
      </w:r>
      <w:r>
        <w:rPr>
          <w:rStyle w:val="VerbatimChar"/>
        </w:rPr>
        <w:t>bmm()</w:t>
      </w:r>
      <w:r>
        <w:t xml:space="preserve"> call as in Tutorial 1, now additionally passing the custom priors. The model converged without issues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t xml:space="preserve"> 1.005, bulk ESS </w:t>
      </w:r>
      <m:oMath>
        <m:r>
          <m:rPr>
            <m:sty m:val="p"/>
          </m:rPr>
          <w:rPr>
            <w:rFonts w:ascii="Cambria Math" w:hAnsi="Cambria Math"/>
          </w:rPr>
          <m:t>&gt;</m:t>
        </m:r>
      </m:oMath>
      <w:r>
        <w:t xml:space="preserve"> 1,027, no divergent transitions). </w:t>
      </w:r>
      <w:hyperlink w:anchor="fig-t2-pp-check">
        <w:r>
          <w:rPr>
            <w:rStyle w:val="Hyperlink"/>
          </w:rPr>
          <w:t>Figure 5</w:t>
        </w:r>
      </w:hyperlink>
      <w:r>
        <w:t xml:space="preserve"> shows the posterior predictive check. The model captured the observed response proportions well across all three conditions and five categories.</w:t>
      </w:r>
    </w:p>
    <w:p w14:paraId="0015E115" w14:textId="41FCBF3F" w:rsidR="007B6D37" w:rsidRDefault="00BF5F09">
      <w:pPr>
        <w:pStyle w:val="Heading2"/>
      </w:pPr>
      <w:r>
        <w:rPr>
          <w:noProof/>
        </w:rPr>
        <w:lastRenderedPageBreak/>
        <mc:AlternateContent>
          <mc:Choice Requires="wps">
            <w:drawing>
              <wp:anchor distT="0" distB="0" distL="114300" distR="114300" simplePos="0" relativeHeight="251667456" behindDoc="0" locked="0" layoutInCell="1" allowOverlap="1" wp14:anchorId="1841B299" wp14:editId="1E4F28CF">
                <wp:simplePos x="0" y="0"/>
                <wp:positionH relativeFrom="column">
                  <wp:posOffset>0</wp:posOffset>
                </wp:positionH>
                <wp:positionV relativeFrom="paragraph">
                  <wp:posOffset>0</wp:posOffset>
                </wp:positionV>
                <wp:extent cx="1828800" cy="1828800"/>
                <wp:effectExtent l="0" t="0" r="0" b="0"/>
                <wp:wrapSquare wrapText="bothSides"/>
                <wp:docPr id="208087359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019043A" w14:textId="77777777" w:rsidR="00BF5F09" w:rsidRDefault="00BF5F09">
                            <w:pPr>
                              <w:pStyle w:val="FigureTitle"/>
                            </w:pPr>
                            <w:r>
                              <w:t>Figure 5</w:t>
                            </w:r>
                          </w:p>
                          <w:p w14:paraId="3AC418E9" w14:textId="77777777" w:rsidR="00BF5F09" w:rsidRDefault="00BF5F09" w:rsidP="00BF5F09">
                            <w:pPr>
                              <w:pStyle w:val="Caption"/>
                              <w:spacing w:line="240" w:lineRule="auto"/>
                            </w:pPr>
                            <w:r>
                              <w:t xml:space="preserve">Posterior predictive check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0FFC7572" w14:textId="77777777" w:rsidR="00BF5F09" w:rsidRPr="009E32F4" w:rsidRDefault="00BF5F09" w:rsidP="009E32F4">
                            <w:pPr>
                              <w:pStyle w:val="FigureWithoutNote"/>
                              <w:rPr>
                                <w:noProof/>
                              </w:rPr>
                            </w:pPr>
                            <w:r>
                              <w:rPr>
                                <w:noProof/>
                              </w:rPr>
                              <w:drawing>
                                <wp:inline distT="0" distB="0" distL="0" distR="0" wp14:anchorId="19A2F483" wp14:editId="1DBD8ED5">
                                  <wp:extent cx="5745480" cy="2651760"/>
                                  <wp:effectExtent l="0" t="0" r="0" b="2540"/>
                                  <wp:docPr id="10832197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figures/tutorial2_pp_check.pdf"/>
                                          <pic:cNvPicPr>
                                            <a:picLocks noChangeAspect="1" noChangeArrowheads="1"/>
                                          </pic:cNvPicPr>
                                        </pic:nvPicPr>
                                        <pic:blipFill>
                                          <a:blip r:embed="rId16"/>
                                          <a:stretch>
                                            <a:fillRect/>
                                          </a:stretch>
                                        </pic:blipFill>
                                        <pic:spPr bwMode="auto">
                                          <a:xfrm>
                                            <a:off x="0" y="0"/>
                                            <a:ext cx="5745480" cy="265176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41B299" id="_x0000_s1030" type="#_x0000_t202" style="position:absolute;margin-left:0;margin-top:0;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Z8+FgIAADIEAAAOAAAAZHJzL2Uyb0RvYy54bWysU99v2jAQfp/U/8Hye0lgtGMRoWKtmCah&#13;&#10;thKd+mwcm0SyfZZtSNhfv7NDAHV7mvbi3OXO9+P7Ps8fOq3IQTjfgCnpeJRTIgyHqjG7kv58W93O&#13;&#10;KPGBmYopMKKkR+Hpw+Lm07y1hZhADaoSjmAR44vWlrQOwRZZ5nktNPMjsMJgUILTLKDrdlnlWIvV&#13;&#10;tcomeX6fteAq64AL7/HvUx+ki1RfSsHDi5ReBKJKirOFdLp0buOZLeas2Dlm64afxmD/MIVmjcGm&#13;&#10;51JPLDCyd80fpXTDHXiQYcRBZyBlw0XaAbcZ5x+22dTMirQLguPtGSb//8ry58PGvjoSum/QIYER&#13;&#10;kNb6wuPPuE8nnY5fnJRgHCE8nmETXSA8XppNZrMcQxxjg4N1sst163z4LkCTaJTUIS8JLnZY+9Cn&#13;&#10;Dimxm4FVo1TiRhnSlvT+812eLpwjWFwZ7HEZNlqh23akqUo6HRbZQnXE/Rz01HvLVw3OsGY+vDKH&#13;&#10;XOPcqN/wgodUgL3gZFFSg/v1t/8xHynAKCUtaqekBsVNifphkJqv4+k0Si0507svE3TcdWR7HTF7&#13;&#10;/QgozjG+E8uTGfODGkzpQL+jyJexJ4aY4di5pGEwH0OvZ3wkXCyXKQnFZVlYm43lsXTENOL71r0z&#13;&#10;Z08kBOTvGQaNseIDF31uvOntch+QkURURLnH9AQ+CjNRfXpEUfnXfsq6PPXFbwAAAP//AwBQSwME&#13;&#10;FAAGAAgAAAAhAIASkIbaAAAACgEAAA8AAABkcnMvZG93bnJldi54bWxMT9FKw0AQfBf8h2MF3+yl&#13;&#10;FSSkuZRSsS/ig1X0dZPbJiG5vZC7ptGvdxVBX4YdhpmdyTez69VEY2g9G1guElDElbct1wZeXx5u&#13;&#10;UlAhIlvsPZOBDwqwKS4vcsysP/MzTYdYKwnhkKGBJsYh0zpUDTkMCz8Qi3b0o8ModKy1HfEs4a7X&#13;&#10;qyS50w5blg8NDrRrqOoOJ2fgCd/2cZq7at8NR/vuhnJ3+/lozPXVfL8W2K5BRZrjnwO+N0h/KKRY&#13;&#10;6U9sg+oNyJr4g6Kt0lRo+XvoItf/JxRfAAAA//8DAFBLAQItABQABgAIAAAAIQC2gziS/gAAAOEB&#13;&#10;AAATAAAAAAAAAAAAAAAAAAAAAABbQ29udGVudF9UeXBlc10ueG1sUEsBAi0AFAAGAAgAAAAhADj9&#13;&#10;If/WAAAAlAEAAAsAAAAAAAAAAAAAAAAALwEAAF9yZWxzLy5yZWxzUEsBAi0AFAAGAAgAAAAhAGFB&#13;&#10;nz4WAgAAMgQAAA4AAAAAAAAAAAAAAAAALgIAAGRycy9lMm9Eb2MueG1sUEsBAi0AFAAGAAgAAAAh&#13;&#10;AIASkIbaAAAACgEAAA8AAAAAAAAAAAAAAAAAcAQAAGRycy9kb3ducmV2LnhtbFBLBQYAAAAABAAE&#13;&#10;APMAAAB3BQAAAAA=&#13;&#10;" filled="f" stroked="f" strokeweight=".5pt">
                <v:fill o:detectmouseclick="t"/>
                <v:textbox style="mso-fit-shape-to-text:t">
                  <w:txbxContent>
                    <w:p w14:paraId="6019043A" w14:textId="77777777" w:rsidR="00BF5F09" w:rsidRDefault="00BF5F09">
                      <w:pPr>
                        <w:pStyle w:val="FigureTitle"/>
                      </w:pPr>
                      <w:r>
                        <w:t>Figure 5</w:t>
                      </w:r>
                    </w:p>
                    <w:p w14:paraId="3AC418E9" w14:textId="77777777" w:rsidR="00BF5F09" w:rsidRDefault="00BF5F09" w:rsidP="00BF5F09">
                      <w:pPr>
                        <w:pStyle w:val="Caption"/>
                        <w:spacing w:line="240" w:lineRule="auto"/>
                      </w:pPr>
                      <w:r>
                        <w:t xml:space="preserve">Posterior predictive check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0FFC7572" w14:textId="77777777" w:rsidR="00BF5F09" w:rsidRPr="009E32F4" w:rsidRDefault="00BF5F09" w:rsidP="009E32F4">
                      <w:pPr>
                        <w:pStyle w:val="FigureWithoutNote"/>
                        <w:rPr>
                          <w:noProof/>
                        </w:rPr>
                      </w:pPr>
                      <w:r>
                        <w:rPr>
                          <w:noProof/>
                        </w:rPr>
                        <w:drawing>
                          <wp:inline distT="0" distB="0" distL="0" distR="0" wp14:anchorId="19A2F483" wp14:editId="1DBD8ED5">
                            <wp:extent cx="5745480" cy="2651760"/>
                            <wp:effectExtent l="0" t="0" r="0" b="2540"/>
                            <wp:docPr id="10832197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figures/tutorial2_pp_check.pdf"/>
                                    <pic:cNvPicPr>
                                      <a:picLocks noChangeAspect="1" noChangeArrowheads="1"/>
                                    </pic:cNvPicPr>
                                  </pic:nvPicPr>
                                  <pic:blipFill>
                                    <a:blip r:embed="rId16"/>
                                    <a:stretch>
                                      <a:fillRect/>
                                    </a:stretch>
                                  </pic:blipFill>
                                  <pic:spPr bwMode="auto">
                                    <a:xfrm>
                                      <a:off x="0" y="0"/>
                                      <a:ext cx="5745480" cy="2651760"/>
                                    </a:xfrm>
                                    <a:prstGeom prst="rect">
                                      <a:avLst/>
                                    </a:prstGeom>
                                    <a:noFill/>
                                    <a:ln w="9525">
                                      <a:noFill/>
                                      <a:headEnd/>
                                      <a:tailEnd/>
                                    </a:ln>
                                  </pic:spPr>
                                </pic:pic>
                              </a:graphicData>
                            </a:graphic>
                          </wp:inline>
                        </w:drawing>
                      </w:r>
                    </w:p>
                  </w:txbxContent>
                </v:textbox>
                <w10:wrap type="square"/>
              </v:shape>
            </w:pict>
          </mc:Fallback>
        </mc:AlternateContent>
      </w:r>
      <w:bookmarkStart w:id="24" w:name="parameter-estimates-and-interpreting-f"/>
      <w:bookmarkEnd w:id="23"/>
      <w:r w:rsidR="00000000">
        <w:t>Parameter estimates and interpreting f</w:t>
      </w:r>
    </w:p>
    <w:p w14:paraId="62689E1F" w14:textId="77777777" w:rsidR="007B6D37" w:rsidRDefault="00000000">
      <w:pPr>
        <w:pStyle w:val="FirstParagraph"/>
      </w:pPr>
      <w:r>
        <w:t>We now examine the posterior estimates for all three parameters. Item memory (</w:t>
      </w:r>
      <m:oMath>
        <m:r>
          <w:rPr>
            <w:rFonts w:ascii="Cambria Math" w:hAnsi="Cambria Math"/>
          </w:rPr>
          <m:t>a</m:t>
        </m:r>
      </m:oMath>
      <w:r>
        <w:t>) and context binding (</w:t>
      </w:r>
      <m:oMath>
        <m:r>
          <w:rPr>
            <w:rFonts w:ascii="Cambria Math" w:hAnsi="Cambria Math"/>
          </w:rPr>
          <m:t>c</m:t>
        </m:r>
      </m:oMath>
      <w:r>
        <w:t xml:space="preserve">) are on the identity link and can be read directly from the posterior draws. The filtering parameter </w:t>
      </w:r>
      <m:oMath>
        <m:r>
          <w:rPr>
            <w:rFonts w:ascii="Cambria Math" w:hAnsi="Cambria Math"/>
          </w:rPr>
          <m:t>f</m:t>
        </m:r>
      </m:oMath>
      <w:r>
        <w:t>, however, is estimated on the logit scale. To interpret it as a proportional reduction between 0 and 1, we apply the inverse logit transformation (</w:t>
      </w:r>
      <w:r>
        <w:rPr>
          <w:rStyle w:val="VerbatimChar"/>
        </w:rPr>
        <w:t>plogis()</w:t>
      </w:r>
      <w:r>
        <w:t>):</w:t>
      </w:r>
    </w:p>
    <w:p w14:paraId="6286EDA4" w14:textId="77777777" w:rsidR="007B6D37" w:rsidRDefault="00000000" w:rsidP="00BF5F09">
      <w:pPr>
        <w:pStyle w:val="SourceCode"/>
        <w:spacing w:line="240" w:lineRule="auto"/>
      </w:pPr>
      <w:r>
        <w:rPr>
          <w:rStyle w:val="NormalTok"/>
        </w:rPr>
        <w:t xml:space="preserve">draws </w:t>
      </w:r>
      <w:r>
        <w:rPr>
          <w:rStyle w:val="OtherTok"/>
        </w:rPr>
        <w:t>&lt;-</w:t>
      </w:r>
      <w:r>
        <w:rPr>
          <w:rStyle w:val="NormalTok"/>
        </w:rPr>
        <w:t xml:space="preserve"> </w:t>
      </w:r>
      <w:r>
        <w:rPr>
          <w:rStyle w:val="FunctionTok"/>
        </w:rPr>
        <w:t>as_draws_df</w:t>
      </w:r>
      <w:r>
        <w:rPr>
          <w:rStyle w:val="NormalTok"/>
        </w:rPr>
        <w:t xml:space="preserve">(fit_m3_cs) </w:t>
      </w:r>
      <w:r>
        <w:rPr>
          <w:rStyle w:val="SpecialCharTok"/>
        </w:rPr>
        <w:t>%&gt;%</w:t>
      </w:r>
      <w:r>
        <w:rPr>
          <w:rStyle w:val="NormalTok"/>
        </w:rPr>
        <w:t xml:space="preserve"> </w:t>
      </w:r>
      <w:r>
        <w:rPr>
          <w:rStyle w:val="FunctionTok"/>
        </w:rPr>
        <w:t>as_tibble</w:t>
      </w:r>
      <w:r>
        <w:rPr>
          <w:rStyle w:val="NormalTok"/>
        </w:rPr>
        <w:t>()</w:t>
      </w:r>
      <w:r>
        <w:br/>
      </w:r>
      <w:r>
        <w:rPr>
          <w:rStyle w:val="NormalTok"/>
        </w:rPr>
        <w:t xml:space="preserve">f_pre   </w:t>
      </w:r>
      <w:r>
        <w:rPr>
          <w:rStyle w:val="OtherTok"/>
        </w:rPr>
        <w:t>&lt;-</w:t>
      </w:r>
      <w:r>
        <w:rPr>
          <w:rStyle w:val="NormalTok"/>
        </w:rPr>
        <w:t xml:space="preserve"> </w:t>
      </w:r>
      <w:r>
        <w:rPr>
          <w:rStyle w:val="FunctionTok"/>
        </w:rPr>
        <w:t>plogis</w:t>
      </w:r>
      <w:r>
        <w:rPr>
          <w:rStyle w:val="NormalTok"/>
        </w:rPr>
        <w:t>(draws</w:t>
      </w:r>
      <w:r>
        <w:rPr>
          <w:rStyle w:val="SpecialCharTok"/>
        </w:rPr>
        <w:t>$</w:t>
      </w:r>
      <w:r>
        <w:rPr>
          <w:rStyle w:val="NormalTok"/>
        </w:rPr>
        <w:t>b_f_conditionpre)</w:t>
      </w:r>
      <w:r>
        <w:br/>
      </w:r>
      <w:r>
        <w:rPr>
          <w:rStyle w:val="NormalTok"/>
        </w:rPr>
        <w:t xml:space="preserve">f_retro </w:t>
      </w:r>
      <w:r>
        <w:rPr>
          <w:rStyle w:val="OtherTok"/>
        </w:rPr>
        <w:t>&lt;-</w:t>
      </w:r>
      <w:r>
        <w:rPr>
          <w:rStyle w:val="NormalTok"/>
        </w:rPr>
        <w:t xml:space="preserve"> </w:t>
      </w:r>
      <w:r>
        <w:rPr>
          <w:rStyle w:val="FunctionTok"/>
        </w:rPr>
        <w:t>plogis</w:t>
      </w:r>
      <w:r>
        <w:rPr>
          <w:rStyle w:val="NormalTok"/>
        </w:rPr>
        <w:t>(draws</w:t>
      </w:r>
      <w:r>
        <w:rPr>
          <w:rStyle w:val="SpecialCharTok"/>
        </w:rPr>
        <w:t>$</w:t>
      </w:r>
      <w:r>
        <w:rPr>
          <w:rStyle w:val="NormalTok"/>
        </w:rPr>
        <w:t>b_f_conditionretro)</w:t>
      </w:r>
    </w:p>
    <w:p w14:paraId="42C69BC4" w14:textId="36EAA8EB" w:rsidR="007B6D37" w:rsidRDefault="00000000">
      <w:pPr>
        <w:pStyle w:val="AfterWithoutNote"/>
      </w:pPr>
      <w:r>
        <w:t xml:space="preserve">On the probability scale, </w:t>
      </w:r>
      <m:oMath>
        <m:r>
          <w:rPr>
            <w:rFonts w:ascii="Cambria Math" w:hAnsi="Cambria Math"/>
          </w:rPr>
          <m:t>f</m:t>
        </m:r>
      </m:oMath>
      <w:r>
        <w:t xml:space="preserve"> is around 0.65 in both conditions (pre-cue: </w:t>
      </w:r>
      <m:oMath>
        <m:r>
          <w:rPr>
            <w:rFonts w:ascii="Cambria Math" w:hAnsi="Cambria Math"/>
          </w:rPr>
          <m:t>M</m:t>
        </m:r>
      </m:oMath>
      <w:r>
        <w:t xml:space="preserve"> = 0.66, 95% HDI [0.61, 0.70]; retro-cue: </w:t>
      </w:r>
      <m:oMath>
        <m:r>
          <w:rPr>
            <w:rFonts w:ascii="Cambria Math" w:hAnsi="Cambria Math"/>
          </w:rPr>
          <m:t>M</m:t>
        </m:r>
      </m:oMath>
      <w:r>
        <w:t xml:space="preserve"> = 0.63, 95% HDI [0.59, 0.66]), indicating some filtering. This matches the conclusion of Li et al. (</w:t>
      </w:r>
      <w:hyperlink w:anchor="ref-li2026filtering">
        <w:r>
          <w:rPr>
            <w:rStyle w:val="Hyperlink"/>
          </w:rPr>
          <w:t>2026</w:t>
        </w:r>
      </w:hyperlink>
      <w:r>
        <w:t>): once distractors are processed, they are encoded into working memory regardless of whether participants knew in advance which items were distractors.</w:t>
      </w:r>
    </w:p>
    <w:p w14:paraId="58527875" w14:textId="635F19F5" w:rsidR="007B6D37" w:rsidRDefault="00BF5F09">
      <w:pPr>
        <w:pStyle w:val="Heading2"/>
      </w:pPr>
      <w:bookmarkStart w:id="25" w:name="hypothesis-tests"/>
      <w:bookmarkEnd w:id="24"/>
      <w:r>
        <w:rPr>
          <w:noProof/>
        </w:rPr>
        <w:lastRenderedPageBreak/>
        <mc:AlternateContent>
          <mc:Choice Requires="wps">
            <w:drawing>
              <wp:anchor distT="0" distB="0" distL="114300" distR="114300" simplePos="0" relativeHeight="251669504" behindDoc="0" locked="0" layoutInCell="1" allowOverlap="1" wp14:anchorId="343F8A04" wp14:editId="1825077A">
                <wp:simplePos x="0" y="0"/>
                <wp:positionH relativeFrom="column">
                  <wp:posOffset>0</wp:posOffset>
                </wp:positionH>
                <wp:positionV relativeFrom="paragraph">
                  <wp:posOffset>1966</wp:posOffset>
                </wp:positionV>
                <wp:extent cx="5949950" cy="4133215"/>
                <wp:effectExtent l="0" t="0" r="0" b="0"/>
                <wp:wrapSquare wrapText="bothSides"/>
                <wp:docPr id="449217927" name="Text Box 1"/>
                <wp:cNvGraphicFramePr/>
                <a:graphic xmlns:a="http://schemas.openxmlformats.org/drawingml/2006/main">
                  <a:graphicData uri="http://schemas.microsoft.com/office/word/2010/wordprocessingShape">
                    <wps:wsp>
                      <wps:cNvSpPr txBox="1"/>
                      <wps:spPr>
                        <a:xfrm>
                          <a:off x="0" y="0"/>
                          <a:ext cx="5949950" cy="4133215"/>
                        </a:xfrm>
                        <a:prstGeom prst="rect">
                          <a:avLst/>
                        </a:prstGeom>
                        <a:noFill/>
                        <a:ln w="6350">
                          <a:noFill/>
                        </a:ln>
                      </wps:spPr>
                      <wps:txbx>
                        <w:txbxContent>
                          <w:p w14:paraId="6561FEE0" w14:textId="77777777" w:rsidR="00BF5F09" w:rsidRDefault="00BF5F09">
                            <w:pPr>
                              <w:pStyle w:val="FigureTitle"/>
                            </w:pPr>
                            <w:r>
                              <w:t>Figure 6</w:t>
                            </w:r>
                          </w:p>
                          <w:p w14:paraId="7B7BB2DC" w14:textId="77777777" w:rsidR="00BF5F09" w:rsidRDefault="00BF5F09" w:rsidP="00BF5F09">
                            <w:pPr>
                              <w:pStyle w:val="Caption"/>
                              <w:spacing w:line="240" w:lineRule="auto"/>
                            </w:pPr>
                            <w:r>
                              <w:t xml:space="preserve">Posterior parameter estimates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across conditions. Right panel shows distractor filtering (</w:t>
                            </w:r>
                            <m:oMath>
                              <m:r>
                                <w:rPr>
                                  <w:rFonts w:ascii="Cambria Math" w:hAnsi="Cambria Math"/>
                                </w:rPr>
                                <m:t>f</m:t>
                              </m:r>
                            </m:oMath>
                            <w:r>
                              <w:t xml:space="preserve">) for pre-cue and retro-cue conditions, transformed to the probability scale. The control condition is omitted from the </w:t>
                            </w:r>
                            <m:oMath>
                              <m:r>
                                <w:rPr>
                                  <w:rFonts w:ascii="Cambria Math" w:hAnsi="Cambria Math"/>
                                </w:rPr>
                                <m:t>f</m:t>
                              </m:r>
                            </m:oMath>
                            <w:r>
                              <w:t xml:space="preserve"> panel because it was fixed (no distractors present).</w:t>
                            </w:r>
                          </w:p>
                          <w:p w14:paraId="538999CE" w14:textId="77777777" w:rsidR="00BF5F09" w:rsidRPr="00A4485B" w:rsidRDefault="00BF5F09" w:rsidP="00A4485B">
                            <w:pPr>
                              <w:pStyle w:val="FigureWithoutNote"/>
                              <w:rPr>
                                <w:noProof/>
                              </w:rPr>
                            </w:pPr>
                            <w:r>
                              <w:rPr>
                                <w:noProof/>
                              </w:rPr>
                              <w:drawing>
                                <wp:inline distT="0" distB="0" distL="0" distR="0" wp14:anchorId="4EEE8E22" wp14:editId="770CBBA1">
                                  <wp:extent cx="5581815" cy="2743200"/>
                                  <wp:effectExtent l="0" t="0" r="6350" b="0"/>
                                  <wp:docPr id="1859652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figures/tutorial2_param_estimates.pdf"/>
                                          <pic:cNvPicPr>
                                            <a:picLocks noChangeAspect="1" noChangeArrowheads="1"/>
                                          </pic:cNvPicPr>
                                        </pic:nvPicPr>
                                        <pic:blipFill>
                                          <a:blip r:embed="rId17"/>
                                          <a:stretch>
                                            <a:fillRect/>
                                          </a:stretch>
                                        </pic:blipFill>
                                        <pic:spPr bwMode="auto">
                                          <a:xfrm>
                                            <a:off x="0" y="0"/>
                                            <a:ext cx="5581815" cy="27432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43F8A04" id="_x0000_s1031" type="#_x0000_t202" style="position:absolute;margin-left:0;margin-top:.15pt;width:468.5pt;height:325.4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lVhEGQIAADIEAAAOAAAAZHJzL2Uyb0RvYy54bWysU8lu2zAQvRfoPxC817K8pLVgOXATuChg&#13;&#10;JAGcImeaIi0BJIcgaUvu13dIeWvaU9ELNcMZzfLe4/y+04ochPMNmJLmgyElwnCoGrMr6Y/X1acv&#13;&#10;lPjATMUUGFHSo/D0fvHxw7y1hRhBDaoSjmAR44vWlrQOwRZZ5nktNPMDsMJgUILTLKDrdlnlWIvV&#13;&#10;tcpGw+Fd1oKrrAMuvMfbxz5IF6m+lIKHZym9CESVFGcL6XTp3MYzW8xZsXPM1g0/jcH+YQrNGoNN&#13;&#10;L6UeWWBk75o/SumGO/Agw4CDzkDKhou0A26TD99ts6mZFWkXBMfbC0z+/5XlT4eNfXEkdF+hQwIj&#13;&#10;IK31hcfLuE8nnY5fnJRgHCE8XmATXSAcL6ezyWw2xRDH2CQfj0f5NNbJrr9b58M3AZpEo6QOeUlw&#13;&#10;scPahz71nBK7GVg1SiVulCFtSe/GWP+3CBZXBntch41W6LYdaSqc6bzIFqoj7uegp95bvmpwhjXz&#13;&#10;4YU55BrnRv2GZzykAuwFJ4uSGtzPv93HfKQAo5S0qJ2SGhQ3Jeq7QWpm+WQSpZacyfTzCB13G9ne&#13;&#10;RsxePwCKM8d3YnkyY35QZ1M60G8o8mXsiSFmOHYuaTibD6HXMz4SLpbLlITisiyszcbyWDoiF/F9&#13;&#10;7d6YsycSAvL3BGeNseIdF31u/NPb5T4gI4moiHKP6Ql8FGai+vSIovJv/ZR1feqLXwAAAP//AwBQ&#13;&#10;SwMEFAAGAAgAAAAhAEtT8+DgAAAACgEAAA8AAABkcnMvZG93bnJldi54bWxMj09Lw0AQxe+C32EZ&#13;&#10;wZvdtMFa02yKVOxFPLRKvU6y0yQk+4fsNo1+eseTXgYej/fm/fLNZHox0hBaZxXMZwkIspXTra0V&#13;&#10;fLy/3K1AhIhWY+8sKfiiAJvi+irHTLuL3dN4iLXgEhsyVNDE6DMpQ9WQwTBznix7JzcYjCyHWuoB&#13;&#10;L1xuerlIkqU02Fr+0KCnbUNVdzgbBW943MVx6qpd50/60/hym36/KnV7Mz2v+TytQUSa4l8Cfhl4&#13;&#10;PxQ8rHRnq4PoFTBNVJCCYO8xfWBZKljezxcgi1z+Ryh+AAAA//8DAFBLAQItABQABgAIAAAAIQC2&#13;&#10;gziS/gAAAOEBAAATAAAAAAAAAAAAAAAAAAAAAABbQ29udGVudF9UeXBlc10ueG1sUEsBAi0AFAAG&#13;&#10;AAgAAAAhADj9If/WAAAAlAEAAAsAAAAAAAAAAAAAAAAALwEAAF9yZWxzLy5yZWxzUEsBAi0AFAAG&#13;&#10;AAgAAAAhAPuVWEQZAgAAMgQAAA4AAAAAAAAAAAAAAAAALgIAAGRycy9lMm9Eb2MueG1sUEsBAi0A&#13;&#10;FAAGAAgAAAAhAEtT8+DgAAAACgEAAA8AAAAAAAAAAAAAAAAAcwQAAGRycy9kb3ducmV2LnhtbFBL&#13;&#10;BQYAAAAABAAEAPMAAACABQAAAAA=&#13;&#10;" filled="f" stroked="f" strokeweight=".5pt">
                <v:fill o:detectmouseclick="t"/>
                <v:textbox style="mso-fit-shape-to-text:t">
                  <w:txbxContent>
                    <w:p w14:paraId="6561FEE0" w14:textId="77777777" w:rsidR="00BF5F09" w:rsidRDefault="00BF5F09">
                      <w:pPr>
                        <w:pStyle w:val="FigureTitle"/>
                      </w:pPr>
                      <w:r>
                        <w:t>Figure 6</w:t>
                      </w:r>
                    </w:p>
                    <w:p w14:paraId="7B7BB2DC" w14:textId="77777777" w:rsidR="00BF5F09" w:rsidRDefault="00BF5F09" w:rsidP="00BF5F09">
                      <w:pPr>
                        <w:pStyle w:val="Caption"/>
                        <w:spacing w:line="240" w:lineRule="auto"/>
                      </w:pPr>
                      <w:r>
                        <w:t xml:space="preserve">Posterior parameter estimates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across conditions. Right panel shows distractor filtering (</w:t>
                      </w:r>
                      <m:oMath>
                        <m:r>
                          <w:rPr>
                            <w:rFonts w:ascii="Cambria Math" w:hAnsi="Cambria Math"/>
                          </w:rPr>
                          <m:t>f</m:t>
                        </m:r>
                      </m:oMath>
                      <w:r>
                        <w:t xml:space="preserve">) for pre-cue and retro-cue conditions, transformed to the probability scale. The control condition is omitted from the </w:t>
                      </w:r>
                      <m:oMath>
                        <m:r>
                          <w:rPr>
                            <w:rFonts w:ascii="Cambria Math" w:hAnsi="Cambria Math"/>
                          </w:rPr>
                          <m:t>f</m:t>
                        </m:r>
                      </m:oMath>
                      <w:r>
                        <w:t xml:space="preserve"> panel because it was fixed (no distractors present).</w:t>
                      </w:r>
                    </w:p>
                    <w:p w14:paraId="538999CE" w14:textId="77777777" w:rsidR="00BF5F09" w:rsidRPr="00A4485B" w:rsidRDefault="00BF5F09" w:rsidP="00A4485B">
                      <w:pPr>
                        <w:pStyle w:val="FigureWithoutNote"/>
                        <w:rPr>
                          <w:noProof/>
                        </w:rPr>
                      </w:pPr>
                      <w:r>
                        <w:rPr>
                          <w:noProof/>
                        </w:rPr>
                        <w:drawing>
                          <wp:inline distT="0" distB="0" distL="0" distR="0" wp14:anchorId="4EEE8E22" wp14:editId="770CBBA1">
                            <wp:extent cx="5581815" cy="2743200"/>
                            <wp:effectExtent l="0" t="0" r="6350" b="0"/>
                            <wp:docPr id="1859652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figures/tutorial2_param_estimates.pdf"/>
                                    <pic:cNvPicPr>
                                      <a:picLocks noChangeAspect="1" noChangeArrowheads="1"/>
                                    </pic:cNvPicPr>
                                  </pic:nvPicPr>
                                  <pic:blipFill>
                                    <a:blip r:embed="rId17"/>
                                    <a:stretch>
                                      <a:fillRect/>
                                    </a:stretch>
                                  </pic:blipFill>
                                  <pic:spPr bwMode="auto">
                                    <a:xfrm>
                                      <a:off x="0" y="0"/>
                                      <a:ext cx="5581815" cy="2743200"/>
                                    </a:xfrm>
                                    <a:prstGeom prst="rect">
                                      <a:avLst/>
                                    </a:prstGeom>
                                    <a:noFill/>
                                    <a:ln w="9525">
                                      <a:noFill/>
                                      <a:headEnd/>
                                      <a:tailEnd/>
                                    </a:ln>
                                  </pic:spPr>
                                </pic:pic>
                              </a:graphicData>
                            </a:graphic>
                          </wp:inline>
                        </w:drawing>
                      </w:r>
                    </w:p>
                  </w:txbxContent>
                </v:textbox>
                <w10:wrap type="square"/>
              </v:shape>
            </w:pict>
          </mc:Fallback>
        </mc:AlternateContent>
      </w:r>
      <w:r w:rsidR="00000000">
        <w:t>Hypothesis tests</w:t>
      </w:r>
    </w:p>
    <w:p w14:paraId="6EE3FA91" w14:textId="77777777" w:rsidR="007B6D37" w:rsidRDefault="00000000">
      <w:pPr>
        <w:pStyle w:val="FirstParagraph"/>
      </w:pPr>
      <w:r>
        <w:t xml:space="preserve">Again, we can test condition differences for the different parameters formally using </w:t>
      </w:r>
      <w:r>
        <w:rPr>
          <w:rStyle w:val="VerbatimChar"/>
        </w:rPr>
        <w:t>brms::hypothesis()</w:t>
      </w:r>
      <w:r>
        <w:t>:</w:t>
      </w:r>
    </w:p>
    <w:p w14:paraId="3B107341" w14:textId="77777777" w:rsidR="007B6D37" w:rsidRDefault="00000000" w:rsidP="00BF5F09">
      <w:pPr>
        <w:pStyle w:val="SourceCode"/>
        <w:spacing w:line="240" w:lineRule="auto"/>
      </w:pPr>
      <w:r>
        <w:rPr>
          <w:rStyle w:val="CommentTok"/>
        </w:rPr>
        <w:t># Does f differ between pre-cue and retro-cue?</w:t>
      </w:r>
      <w:r>
        <w:br/>
      </w:r>
      <w:r>
        <w:rPr>
          <w:rStyle w:val="FunctionTok"/>
        </w:rPr>
        <w:t>hypothesis</w:t>
      </w:r>
      <w:r>
        <w:rPr>
          <w:rStyle w:val="NormalTok"/>
        </w:rPr>
        <w:t xml:space="preserve">(fit_m3_cs, </w:t>
      </w:r>
      <w:r>
        <w:rPr>
          <w:rStyle w:val="StringTok"/>
        </w:rPr>
        <w:t>"f_conditionpre - f_conditionretro = 0"</w:t>
      </w:r>
      <w:r>
        <w:rPr>
          <w:rStyle w:val="NormalTok"/>
        </w:rPr>
        <w:t>)</w:t>
      </w:r>
      <w:r>
        <w:br/>
      </w:r>
      <w:r>
        <w:br/>
      </w:r>
      <w:r>
        <w:rPr>
          <w:rStyle w:val="CommentTok"/>
        </w:rPr>
        <w:t># Do a and c differ between control and distractor conditions?</w:t>
      </w:r>
      <w:r>
        <w:br/>
      </w:r>
      <w:r>
        <w:rPr>
          <w:rStyle w:val="FunctionTok"/>
        </w:rPr>
        <w:t>hypothesis</w:t>
      </w:r>
      <w:r>
        <w:rPr>
          <w:rStyle w:val="NormalTok"/>
        </w:rPr>
        <w:t>(fit_m3_cs,</w:t>
      </w:r>
      <w:r>
        <w:br/>
      </w:r>
      <w:r>
        <w:rPr>
          <w:rStyle w:val="NormalTok"/>
        </w:rPr>
        <w:t xml:space="preserve">  </w:t>
      </w:r>
      <w:r>
        <w:rPr>
          <w:rStyle w:val="StringTok"/>
        </w:rPr>
        <w:t>"a_conditioncontrol - (a_conditionpre + a_conditionretro) / 2 = 0"</w:t>
      </w:r>
      <w:r>
        <w:rPr>
          <w:rStyle w:val="NormalTok"/>
        </w:rPr>
        <w:t>)</w:t>
      </w:r>
    </w:p>
    <w:p w14:paraId="6589E921" w14:textId="151241DE" w:rsidR="00BF5F09" w:rsidRPr="00BF5F09" w:rsidRDefault="00000000" w:rsidP="00BF5F09">
      <w:pPr>
        <w:pStyle w:val="FirstParagraph"/>
        <w:spacing w:before="240"/>
      </w:pPr>
      <w:r>
        <w:t xml:space="preserve">The evidence ratio for the </w:t>
      </w:r>
      <m:oMath>
        <m:r>
          <w:rPr>
            <w:rFonts w:ascii="Cambria Math" w:hAnsi="Cambria Math"/>
          </w:rPr>
          <m:t>f</m:t>
        </m:r>
      </m:oMath>
      <w:r>
        <w:t xml:space="preserve"> comparison indicated that filtering is equivalent between cue conditions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10.8). There is inconclusive evidence for item memory </w:t>
      </w:r>
      <m:oMath>
        <m:r>
          <w:rPr>
            <w:rFonts w:ascii="Cambria Math" w:hAnsi="Cambria Math"/>
          </w:rPr>
          <m:t>a</m:t>
        </m:r>
      </m:oMath>
      <w:r>
        <w:t xml:space="preserve"> comparing the distractor conditions to the control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0.44); however, context activation </w:t>
      </w:r>
      <m:oMath>
        <m:r>
          <w:rPr>
            <w:rFonts w:ascii="Cambria Math" w:hAnsi="Cambria Math"/>
          </w:rPr>
          <m:t>c</m:t>
        </m:r>
      </m:oMath>
      <w:r>
        <w:t xml:space="preserve"> is lower in the distractor conditions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7.20).</w:t>
      </w:r>
      <w:bookmarkStart w:id="26" w:name="comparison-with-the-published-model"/>
      <w:bookmarkEnd w:id="25"/>
    </w:p>
    <w:p w14:paraId="4E927CE5" w14:textId="77777777" w:rsidR="007B6D37" w:rsidRDefault="00000000">
      <w:pPr>
        <w:pStyle w:val="Heading1"/>
      </w:pPr>
      <w:bookmarkStart w:id="27" w:name="tutorial-3-custom-m3"/>
      <w:bookmarkEnd w:id="19"/>
      <w:bookmarkEnd w:id="26"/>
      <w:r>
        <w:lastRenderedPageBreak/>
        <w:t xml:space="preserve">Tutorial 3: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64CE4ED1" w14:textId="77777777" w:rsidR="007B6D37" w:rsidRDefault="00000000">
      <w:pPr>
        <w:pStyle w:val="FirstParagraph"/>
      </w:pPr>
      <w:r>
        <w:t>The previous tutorials used pre-built versions (</w:t>
      </w:r>
      <w:r>
        <w:rPr>
          <w:rStyle w:val="VerbatimChar"/>
        </w:rPr>
        <w:t>ss</w:t>
      </w:r>
      <w:r>
        <w:t xml:space="preserve"> and </w:t>
      </w:r>
      <w:r>
        <w:rPr>
          <w:rStyle w:val="VerbatimChar"/>
        </w:rPr>
        <w:t>cs</w:t>
      </w:r>
      <w:r>
        <w:t xml:space="preserve">) that ship with fixed activation formulas. When a research question requires different assumptions about how activation sources combine — as in the filtering example at the end of Tutorial 2 — </w:t>
      </w:r>
      <w:r>
        <w:rPr>
          <w:rStyle w:val="VerbatimChar"/>
        </w:rPr>
        <w:t>bmm</w:t>
      </w:r>
      <w:r>
        <w:t xml:space="preserve"> allows defining a fully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user-specified response categories and activation formulas. This tutorial demonstrates how to define, fit, and compare a custom version using the same data as Tutorial 2. The companion script is </w:t>
      </w:r>
      <w:r>
        <w:rPr>
          <w:rStyle w:val="VerbatimChar"/>
        </w:rPr>
        <w:t>scripts/tutorial3_custom_filtering.R</w:t>
      </w:r>
      <w:r>
        <w:t>.</w:t>
      </w:r>
    </w:p>
    <w:p w14:paraId="62B695FE" w14:textId="77777777" w:rsidR="00BF5F09" w:rsidRPr="00BF5F09" w:rsidRDefault="00BF5F09" w:rsidP="00BF5F09">
      <w:pPr>
        <w:pStyle w:val="BodyText"/>
      </w:pPr>
    </w:p>
    <w:p w14:paraId="59B2A68E" w14:textId="77777777" w:rsidR="007B6D37" w:rsidRDefault="00000000">
      <w:pPr>
        <w:pStyle w:val="Heading2"/>
      </w:pPr>
      <w:bookmarkStart w:id="28" w:name="X27b1f7a65d1ead4277cbf164ad0561d85835384"/>
      <w:r>
        <w:t xml:space="preserve">From single </w:t>
      </w:r>
      <m:oMath>
        <m:r>
          <m:rPr>
            <m:sty m:val="bi"/>
          </m:rPr>
          <w:rPr>
            <w:rFonts w:ascii="Cambria Math" w:hAnsi="Cambria Math"/>
          </w:rPr>
          <m:t>f</m:t>
        </m:r>
      </m:oMath>
      <w:r>
        <w:t xml:space="preserve"> to separate ratio parameters</w:t>
      </w:r>
    </w:p>
    <w:p w14:paraId="35AC6E60" w14:textId="546B8E8D" w:rsidR="007B6D37" w:rsidRDefault="00BF5F09">
      <w:pPr>
        <w:pStyle w:val="FirstParagraph"/>
      </w:pPr>
      <w:r>
        <w:t xml:space="preserve">The standard </w:t>
      </w:r>
      <w:r>
        <w:rPr>
          <w:rStyle w:val="VerbatimChar"/>
        </w:rPr>
        <w:t>cs</w:t>
      </w:r>
      <w:r>
        <w:t xml:space="preserve"> version makes a simplifying assumption: distractor attenuation is symmetric, with both item memory and context binding scaled by the single parameter </w:t>
      </w:r>
      <m:oMath>
        <m:r>
          <w:rPr>
            <w:rFonts w:ascii="Cambria Math" w:hAnsi="Cambria Math"/>
          </w:rPr>
          <m:t>f</m:t>
        </m:r>
      </m:oMath>
      <w:r>
        <w:t>. This is a reasonable default, but it rules out the possibility that item and context information transfer to distractors at different rates. The original analysis by Li et al. (</w:t>
      </w:r>
      <w:hyperlink w:anchor="ref-li2026filtering">
        <w:r>
          <w:rPr>
            <w:rStyle w:val="Hyperlink"/>
          </w:rPr>
          <w:t>2026</w:t>
        </w:r>
      </w:hyperlink>
      <w:r>
        <w:t xml:space="preserve">) tested exactly this distinction using a custom version with two separate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allowing item and binding activation to transfer differently to distractors. Their findings suggest that item memory is barely reduced, whereas context activation is more affected. When a research question requires this kind of flexibility — or when the task design does not map onto any pre-built version — a custom specification is needed. </w:t>
      </w:r>
      <w:r w:rsidR="00000000">
        <w:t xml:space="preserve">Replacing </w:t>
      </w:r>
      <m:oMath>
        <m:r>
          <w:rPr>
            <w:rFonts w:ascii="Cambria Math" w:hAnsi="Cambria Math"/>
          </w:rPr>
          <m:t>f</m:t>
        </m:r>
      </m:oMath>
      <w:r w:rsidR="00000000">
        <w:t xml:space="preserve"> with two ratio parameters —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00000000">
        <w:t xml:space="preserve"> for item memory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00000000">
        <w:t xml:space="preserve"> for context binding — produces the following activation formulas:</w:t>
      </w:r>
    </w:p>
    <w:p w14:paraId="33133C15" w14:textId="77777777" w:rsidR="007B6D3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close dist.</m:t>
                    </m:r>
                  </m:sub>
                </m:sSub>
              </m:e>
              <m:e>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other dist.</m:t>
                    </m:r>
                  </m:sub>
                </m:sSub>
              </m:e>
              <m:e>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03F4B7FE" w14:textId="77777777" w:rsidR="007B6D37" w:rsidRDefault="00000000">
      <w:pPr>
        <w:pStyle w:val="FirstParagraph"/>
      </w:pPr>
      <w:r>
        <w:lastRenderedPageBreak/>
        <w:t xml:space="preserve">When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this reduces to the standard </w:t>
      </w:r>
      <w:r>
        <w:rPr>
          <w:rStyle w:val="VerbatimChar"/>
        </w:rPr>
        <w:t>cs</w:t>
      </w:r>
      <w:r>
        <w:t xml:space="preserve"> version with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t>. The custom version relaxes this constraint and lets the data decide.</w:t>
      </w:r>
    </w:p>
    <w:p w14:paraId="045A6131" w14:textId="77777777" w:rsidR="00BF5F09" w:rsidRPr="00BF5F09" w:rsidRDefault="00BF5F09" w:rsidP="00BF5F09">
      <w:pPr>
        <w:pStyle w:val="BodyText"/>
      </w:pPr>
    </w:p>
    <w:p w14:paraId="5E432DE4" w14:textId="77777777" w:rsidR="007B6D37" w:rsidRDefault="00000000">
      <w:pPr>
        <w:pStyle w:val="Heading2"/>
      </w:pPr>
      <w:bookmarkStart w:id="29" w:name="defining-a-custom-m3"/>
      <w:bookmarkEnd w:id="28"/>
      <w:r>
        <w:t xml:space="preserve">Defining a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52445A85" w14:textId="77777777" w:rsidR="007B6D37" w:rsidRDefault="00000000">
      <w:pPr>
        <w:pStyle w:val="FirstParagraph"/>
      </w:pPr>
      <w:r>
        <w:t xml:space="preserve">Defining a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requires specifying the response categories, the number of options per category, and — importantly — the link functions for each parameter. Because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are proportions bounded between 0 and 1, we use the logit link; </w:t>
      </w:r>
      <m:oMath>
        <m:r>
          <w:rPr>
            <w:rFonts w:ascii="Cambria Math" w:hAnsi="Cambria Math"/>
          </w:rPr>
          <m:t>a</m:t>
        </m:r>
      </m:oMath>
      <w:r>
        <w:t xml:space="preserve"> and </w:t>
      </w:r>
      <m:oMath>
        <m:r>
          <w:rPr>
            <w:rFonts w:ascii="Cambria Math" w:hAnsi="Cambria Math"/>
          </w:rPr>
          <m:t>c</m:t>
        </m:r>
      </m:oMath>
      <w:r>
        <w:t xml:space="preserve"> are unbounded activations and use the identity link:</w:t>
      </w:r>
    </w:p>
    <w:p w14:paraId="2351803A" w14:textId="77777777" w:rsidR="007B6D37" w:rsidRDefault="00000000" w:rsidP="00BF5F09">
      <w:pPr>
        <w:pStyle w:val="SourceCode"/>
        <w:spacing w:line="240" w:lineRule="auto"/>
      </w:pPr>
      <w:r>
        <w:rPr>
          <w:rStyle w:val="NormalTok"/>
        </w:rPr>
        <w:t xml:space="preserve">m3_model_custom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"distc"</w:t>
      </w:r>
      <w:r>
        <w:rPr>
          <w:rStyle w:val="NormalTok"/>
        </w:rPr>
        <w:t xml:space="preserve">, </w:t>
      </w:r>
      <w:r>
        <w:rPr>
          <w:rStyle w:val="StringTok"/>
        </w:rPr>
        <w:t>"other"</w:t>
      </w:r>
      <w:r>
        <w:rPr>
          <w:rStyle w:val="NormalTok"/>
        </w:rPr>
        <w:t xml:space="preserve">, </w:t>
      </w:r>
      <w:r>
        <w:rPr>
          <w:rStyle w:val="StringTok"/>
        </w:rPr>
        <w:t>"disto"</w:t>
      </w:r>
      <w:r>
        <w:rPr>
          <w:rStyle w:val="NormalTok"/>
        </w:rPr>
        <w:t xml:space="preserve">, </w:t>
      </w:r>
      <w:r>
        <w:rPr>
          <w:rStyle w:val="StringTok"/>
        </w:rPr>
        <w:t>"npl"</w:t>
      </w:r>
      <w:r>
        <w:rPr>
          <w:rStyle w:val="NormalTok"/>
        </w:rPr>
        <w:t>),</w:t>
      </w:r>
      <w:r>
        <w:br/>
      </w:r>
      <w:r>
        <w:rPr>
          <w:rStyle w:val="NormalTok"/>
        </w:rPr>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"n_distc"</w:t>
      </w:r>
      <w:r>
        <w:rPr>
          <w:rStyle w:val="NormalTok"/>
        </w:rPr>
        <w:t xml:space="preserve">, </w:t>
      </w:r>
      <w:r>
        <w:rPr>
          <w:rStyle w:val="StringTok"/>
        </w:rPr>
        <w:t>"n_other"</w:t>
      </w:r>
      <w:r>
        <w:rPr>
          <w:rStyle w:val="NormalTok"/>
        </w:rPr>
        <w:t xml:space="preserve">, </w:t>
      </w:r>
      <w:r>
        <w:rPr>
          <w:rStyle w:val="StringTok"/>
        </w:rPr>
        <w:t>"n_disto"</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"custom"</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rPr>
          <w:rStyle w:val="NormalTok"/>
        </w:rPr>
        <w:t>,</w:t>
      </w:r>
      <w:r>
        <w:br/>
      </w:r>
      <w:r>
        <w:rPr>
          <w:rStyle w:val="NormalTok"/>
        </w:rPr>
        <w:t xml:space="preserve">  </w:t>
      </w:r>
      <w:r>
        <w:rPr>
          <w:rStyle w:val="AttributeTok"/>
        </w:rPr>
        <w:t>links =</w:t>
      </w:r>
      <w:r>
        <w:rPr>
          <w:rStyle w:val="NormalTok"/>
        </w:rPr>
        <w:t xml:space="preserve"> </w:t>
      </w:r>
      <w:r>
        <w:rPr>
          <w:rStyle w:val="FunctionTok"/>
        </w:rPr>
        <w:t>list</w:t>
      </w:r>
      <w:r>
        <w:rPr>
          <w:rStyle w:val="NormalTok"/>
        </w:rPr>
        <w:t>(</w:t>
      </w:r>
      <w:r>
        <w:br/>
      </w:r>
      <w:r>
        <w:rPr>
          <w:rStyle w:val="NormalTok"/>
        </w:rPr>
        <w:t xml:space="preserve">    </w:t>
      </w:r>
      <w:r>
        <w:rPr>
          <w:rStyle w:val="AttributeTok"/>
        </w:rPr>
        <w:t>a  =</w:t>
      </w:r>
      <w:r>
        <w:rPr>
          <w:rStyle w:val="NormalTok"/>
        </w:rPr>
        <w:t xml:space="preserve"> </w:t>
      </w:r>
      <w:r>
        <w:rPr>
          <w:rStyle w:val="StringTok"/>
        </w:rPr>
        <w:t>"identity"</w:t>
      </w:r>
      <w:r>
        <w:rPr>
          <w:rStyle w:val="NormalTok"/>
        </w:rPr>
        <w:t xml:space="preserve">, </w:t>
      </w:r>
      <w:r>
        <w:rPr>
          <w:rStyle w:val="AttributeTok"/>
        </w:rPr>
        <w:t>c  =</w:t>
      </w:r>
      <w:r>
        <w:rPr>
          <w:rStyle w:val="NormalTok"/>
        </w:rPr>
        <w:t xml:space="preserve"> </w:t>
      </w:r>
      <w:r>
        <w:rPr>
          <w:rStyle w:val="StringTok"/>
        </w:rPr>
        <w:t>"identity"</w:t>
      </w:r>
      <w:r>
        <w:rPr>
          <w:rStyle w:val="NormalTok"/>
        </w:rPr>
        <w:t>,</w:t>
      </w:r>
      <w:r>
        <w:br/>
      </w:r>
      <w:r>
        <w:rPr>
          <w:rStyle w:val="NormalTok"/>
        </w:rPr>
        <w:t xml:space="preserve">    </w:t>
      </w:r>
      <w:r>
        <w:rPr>
          <w:rStyle w:val="AttributeTok"/>
        </w:rPr>
        <w:t>ra =</w:t>
      </w:r>
      <w:r>
        <w:rPr>
          <w:rStyle w:val="NormalTok"/>
        </w:rPr>
        <w:t xml:space="preserve"> </w:t>
      </w:r>
      <w:r>
        <w:rPr>
          <w:rStyle w:val="StringTok"/>
        </w:rPr>
        <w:t>"logit"</w:t>
      </w:r>
      <w:r>
        <w:rPr>
          <w:rStyle w:val="NormalTok"/>
        </w:rPr>
        <w:t xml:space="preserve">,    </w:t>
      </w:r>
      <w:r>
        <w:rPr>
          <w:rStyle w:val="AttributeTok"/>
        </w:rPr>
        <w:t>rc =</w:t>
      </w:r>
      <w:r>
        <w:rPr>
          <w:rStyle w:val="NormalTok"/>
        </w:rPr>
        <w:t xml:space="preserve"> </w:t>
      </w:r>
      <w:r>
        <w:rPr>
          <w:rStyle w:val="StringTok"/>
        </w:rPr>
        <w:t>"logit"</w:t>
      </w:r>
      <w:r>
        <w:br/>
      </w:r>
      <w:r>
        <w:rPr>
          <w:rStyle w:val="NormalTok"/>
        </w:rPr>
        <w:t xml:space="preserve">  )</w:t>
      </w:r>
      <w:r>
        <w:br/>
      </w:r>
      <w:r>
        <w:rPr>
          <w:rStyle w:val="NormalTok"/>
        </w:rPr>
        <w:t>)</w:t>
      </w:r>
    </w:p>
    <w:p w14:paraId="08B0F7BB" w14:textId="77777777" w:rsidR="007B6D37" w:rsidRDefault="00000000" w:rsidP="00BF5F09">
      <w:pPr>
        <w:pStyle w:val="FirstParagraph"/>
        <w:spacing w:before="240"/>
      </w:pPr>
      <w:r>
        <w:t xml:space="preserve">For custom versions, </w:t>
      </w:r>
      <w:r>
        <w:rPr>
          <w:rStyle w:val="VerbatimChar"/>
        </w:rPr>
        <w:t>bmf()</w:t>
      </w:r>
      <w:r>
        <w:t xml:space="preserve"> specifies both the activation formulas (how parameters combine into category activations) and the regression formulas (how experimental conditions predict each parameter). The activation formulas translate the equations above into R formula syntax:</w:t>
      </w:r>
    </w:p>
    <w:p w14:paraId="081C7F6D" w14:textId="77777777" w:rsidR="007B6D37" w:rsidRDefault="00000000" w:rsidP="00BF5F09">
      <w:pPr>
        <w:pStyle w:val="SourceCode"/>
        <w:spacing w:line="240" w:lineRule="auto"/>
      </w:pPr>
      <w:r>
        <w:rPr>
          <w:rStyle w:val="NormalTok"/>
        </w:rPr>
        <w:t xml:space="preserve">m3_formula_custom </w:t>
      </w:r>
      <w:r>
        <w:rPr>
          <w:rStyle w:val="OtherTok"/>
        </w:rPr>
        <w:t>&lt;-</w:t>
      </w:r>
      <w:r>
        <w:rPr>
          <w:rStyle w:val="NormalTok"/>
        </w:rPr>
        <w:t xml:space="preserve"> </w:t>
      </w:r>
      <w:r>
        <w:rPr>
          <w:rStyle w:val="FunctionTok"/>
        </w:rPr>
        <w:t>bmf</w:t>
      </w:r>
      <w:r>
        <w:rPr>
          <w:rStyle w:val="NormalTok"/>
        </w:rPr>
        <w:t>(</w:t>
      </w:r>
      <w:r>
        <w:br/>
      </w:r>
      <w:r>
        <w:rPr>
          <w:rStyle w:val="NormalTok"/>
        </w:rPr>
        <w:t xml:space="preserve">  corr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distc </w:t>
      </w:r>
      <w:r>
        <w:rPr>
          <w:rStyle w:val="SpecialCharTok"/>
        </w:rPr>
        <w:t>~</w:t>
      </w:r>
      <w:r>
        <w:rPr>
          <w:rStyle w:val="NormalTok"/>
        </w:rPr>
        <w:t xml:space="preserve"> ra </w:t>
      </w:r>
      <w:r>
        <w:rPr>
          <w:rStyle w:val="SpecialCharTok"/>
        </w:rPr>
        <w:t>*</w:t>
      </w:r>
      <w:r>
        <w:rPr>
          <w:rStyle w:val="NormalTok"/>
        </w:rPr>
        <w:t xml:space="preserve"> a </w:t>
      </w:r>
      <w:r>
        <w:rPr>
          <w:rStyle w:val="SpecialCharTok"/>
        </w:rPr>
        <w:t>+</w:t>
      </w:r>
      <w:r>
        <w:rPr>
          <w:rStyle w:val="NormalTok"/>
        </w:rPr>
        <w:t xml:space="preserve"> rc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other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disto </w:t>
      </w:r>
      <w:r>
        <w:rPr>
          <w:rStyle w:val="SpecialCharTok"/>
        </w:rPr>
        <w:t>~</w:t>
      </w:r>
      <w:r>
        <w:rPr>
          <w:rStyle w:val="NormalTok"/>
        </w:rPr>
        <w:t xml:space="preserve"> ra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npl   </w:t>
      </w:r>
      <w:r>
        <w:rPr>
          <w:rStyle w:val="SpecialCharTok"/>
        </w:rPr>
        <w:t>~</w:t>
      </w:r>
      <w:r>
        <w:rPr>
          <w:rStyle w:val="NormalTok"/>
        </w:rPr>
        <w:t xml:space="preserve"> b,</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ra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rc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w:t>
      </w:r>
    </w:p>
    <w:p w14:paraId="48513ECE" w14:textId="77777777" w:rsidR="007B6D37" w:rsidRDefault="00000000">
      <w:pPr>
        <w:pStyle w:val="FirstParagraph"/>
      </w:pPr>
      <w:r>
        <w:lastRenderedPageBreak/>
        <w:t xml:space="preserve">As in Tutorial 2,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are not identified in the control condition (no distractors present), so we fix them with constant priors on both the fixed effect and the random effect SD:</w:t>
      </w:r>
    </w:p>
    <w:p w14:paraId="6FE3463D" w14:textId="77777777" w:rsidR="007B6D37" w:rsidRDefault="00000000" w:rsidP="00BF5F09">
      <w:pPr>
        <w:pStyle w:val="SourceCode"/>
        <w:spacing w:line="240" w:lineRule="auto"/>
      </w:pPr>
      <w:r>
        <w:rPr>
          <w:rStyle w:val="NormalTok"/>
        </w:rPr>
        <w:t xml:space="preserve">priors_custom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SpecialCharTok"/>
        </w:rPr>
        <w:t>-</w:t>
      </w:r>
      <w:r>
        <w:rPr>
          <w:rStyle w:val="DecValTok"/>
        </w:rPr>
        <w:t>10</w:t>
      </w:r>
      <w:r>
        <w:rPr>
          <w:rStyle w:val="NormalTok"/>
        </w:rPr>
        <w:t xml:space="preserve">), </w:t>
      </w:r>
      <w:r>
        <w:rPr>
          <w:rStyle w:val="AttributeTok"/>
        </w:rPr>
        <w:t>nlpar =</w:t>
      </w:r>
      <w:r>
        <w:rPr>
          <w:rStyle w:val="NormalTok"/>
        </w:rPr>
        <w:t xml:space="preserve"> </w:t>
      </w:r>
      <w:r>
        <w:rPr>
          <w:rStyle w:val="StringTok"/>
        </w:rPr>
        <w:t>"ra"</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"ra"</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SpecialCharTok"/>
        </w:rPr>
        <w:t>-</w:t>
      </w:r>
      <w:r>
        <w:rPr>
          <w:rStyle w:val="DecValTok"/>
        </w:rPr>
        <w:t>10</w:t>
      </w:r>
      <w:r>
        <w:rPr>
          <w:rStyle w:val="NormalTok"/>
        </w:rPr>
        <w:t xml:space="preserve">), </w:t>
      </w:r>
      <w:r>
        <w:rPr>
          <w:rStyle w:val="AttributeTok"/>
        </w:rPr>
        <w:t>nlpar =</w:t>
      </w:r>
      <w:r>
        <w:rPr>
          <w:rStyle w:val="NormalTok"/>
        </w:rPr>
        <w:t xml:space="preserve"> </w:t>
      </w:r>
      <w:r>
        <w:rPr>
          <w:rStyle w:val="StringTok"/>
        </w:rPr>
        <w:t>"rc"</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"rc"</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w:t>
      </w:r>
    </w:p>
    <w:p w14:paraId="7D0A9774" w14:textId="77777777" w:rsidR="007B6D37" w:rsidRDefault="00000000" w:rsidP="00BF5F09">
      <w:pPr>
        <w:pStyle w:val="Heading2"/>
        <w:spacing w:before="240"/>
      </w:pPr>
      <w:bookmarkStart w:id="30" w:name="model-fitting-and-evaluation-1"/>
      <w:bookmarkEnd w:id="29"/>
      <w:r>
        <w:t>Model fitting and evaluation</w:t>
      </w:r>
    </w:p>
    <w:p w14:paraId="1A6142BE" w14:textId="218056F7" w:rsidR="007B6D37" w:rsidRDefault="00BF5F09">
      <w:pPr>
        <w:pStyle w:val="FirstParagraph"/>
      </w:pPr>
      <w:r>
        <w:rPr>
          <w:noProof/>
        </w:rPr>
        <mc:AlternateContent>
          <mc:Choice Requires="wps">
            <w:drawing>
              <wp:anchor distT="0" distB="0" distL="114300" distR="114300" simplePos="0" relativeHeight="251671552" behindDoc="0" locked="0" layoutInCell="1" allowOverlap="1" wp14:anchorId="294D3605" wp14:editId="0EBCF803">
                <wp:simplePos x="0" y="0"/>
                <wp:positionH relativeFrom="column">
                  <wp:posOffset>0</wp:posOffset>
                </wp:positionH>
                <wp:positionV relativeFrom="paragraph">
                  <wp:posOffset>1949266</wp:posOffset>
                </wp:positionV>
                <wp:extent cx="1828800" cy="1828800"/>
                <wp:effectExtent l="0" t="0" r="0" b="0"/>
                <wp:wrapSquare wrapText="bothSides"/>
                <wp:docPr id="156442343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DF4AE6A" w14:textId="77777777" w:rsidR="00BF5F09" w:rsidRDefault="00BF5F09" w:rsidP="00BF5F09">
                            <w:pPr>
                              <w:pStyle w:val="FigureTitle"/>
                              <w:jc w:val="both"/>
                            </w:pPr>
                            <w:r>
                              <w:t>Figure 7</w:t>
                            </w:r>
                          </w:p>
                          <w:p w14:paraId="7ED3CD07" w14:textId="77777777" w:rsidR="00BF5F09" w:rsidRDefault="00BF5F09" w:rsidP="00BF5F09">
                            <w:pPr>
                              <w:pStyle w:val="Caption"/>
                              <w:spacing w:line="240" w:lineRule="auto"/>
                              <w:jc w:val="both"/>
                            </w:pPr>
                            <w:r>
                              <w:t xml:space="preserve">Posterior predictive check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1E6D9269" w14:textId="77777777" w:rsidR="00BF5F09" w:rsidRPr="008B6FB2" w:rsidRDefault="00BF5F09" w:rsidP="008B6FB2">
                            <w:pPr>
                              <w:pStyle w:val="FigureWithoutNote"/>
                              <w:rPr>
                                <w:noProof/>
                              </w:rPr>
                            </w:pPr>
                            <w:r>
                              <w:rPr>
                                <w:noProof/>
                              </w:rPr>
                              <w:drawing>
                                <wp:inline distT="0" distB="0" distL="0" distR="0" wp14:anchorId="668D7A5C" wp14:editId="5CA51BF8">
                                  <wp:extent cx="5745480" cy="2651760"/>
                                  <wp:effectExtent l="0" t="0" r="0" b="2540"/>
                                  <wp:docPr id="16391859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descr="../figures/tutorial3_pp_check.pdf"/>
                                          <pic:cNvPicPr>
                                            <a:picLocks noChangeAspect="1" noChangeArrowheads="1"/>
                                          </pic:cNvPicPr>
                                        </pic:nvPicPr>
                                        <pic:blipFill>
                                          <a:blip r:embed="rId18"/>
                                          <a:stretch>
                                            <a:fillRect/>
                                          </a:stretch>
                                        </pic:blipFill>
                                        <pic:spPr bwMode="auto">
                                          <a:xfrm>
                                            <a:off x="0" y="0"/>
                                            <a:ext cx="5745480" cy="265176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94D3605" id="_x0000_s1032" type="#_x0000_t202" style="position:absolute;left:0;text-align:left;margin-left:0;margin-top:153.5pt;width:2in;height:2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DSHcFQIAADIEAAAOAAAAZHJzL2Uyb0RvYy54bWysU99v2jAQfp/U/8Hye0lgtGMRoWKtmCah&#13;&#10;thKd+mwcm0SyfZZtSNhfv7NDAHV7mvbi3OXO9+P7Ps8fOq3IQTjfgCnpeJRTIgyHqjG7kv58W93O&#13;&#10;KPGBmYopMKKkR+Hpw+Lm07y1hZhADaoSjmAR44vWlrQOwRZZ5nktNPMjsMJgUILTLKDrdlnlWIvV&#13;&#10;tcomeX6fteAq64AL7/HvUx+ki1RfSsHDi5ReBKJKirOFdLp0buOZLeas2Dlm64afxmD/MIVmjcGm&#13;&#10;51JPLDCyd80fpXTDHXiQYcRBZyBlw0XaAbcZ5x+22dTMirQLguPtGSb//8ry58PGvjoSum/QIYER&#13;&#10;kNb6wuPPuE8nnY5fnJRgHCE8nmETXSA8XppNZrMcQxxjg4N1sst163z4LkCTaJTUIS8JLnZY+9Cn&#13;&#10;Dimxm4FVo1TiRhnSlvT+812eLpwjWFwZ7HEZNlqh23akqfDCsMgWqiPu56Cn3lu+anCGNfPhlTnk&#13;&#10;GudG/YYXPKQC7AUni5Ia3K+//Y/5SAFGKWlROyU1KG5K1A+D1HwdT6dRasmZ3n2ZoOOuI9vriNnr&#13;&#10;R0BxjvGdWJ7MmB/UYEoH+h1Fvow9McQMx84lDYP5GHo94yPhYrlMSSguy8LabCyPpSOmEd+37p05&#13;&#10;eyIhIH/PMGiMFR+46HPjTW+X+4CMJKIiyj2mJ/BRmInq0yOKyr/2U9blqS9+AwAA//8DAFBLAwQU&#13;&#10;AAYACAAAACEADDpjpOIAAAANAQAADwAAAGRycy9kb3ducmV2LnhtbEyPQU/DMAyF70j8h8hI3FjC&#13;&#10;pkHp6k5oiF0Qhw20XdMma6s2TtVkXeHXY05wsZ715Of3ZevJdWK0Q2g8IdzPFAhLpTcNVQifH693&#13;&#10;CYgQNRndebIIXzbAOr++ynRq/IV2dtzHSnAIhVQj1DH2qZShrK3TYeZ7S+yd/OB05HWopBn0hcNd&#13;&#10;J+dKPUinG+IPte7tprZluz87hHd92MZxastt25/M0fXFZvH9hnh7M72seDyvQEQ7xb8L+GXg/pBz&#13;&#10;scKfyQTRITBNRFioRxZsz5OERYGwfFoqkHkm/1PkPwAAAP//AwBQSwECLQAUAAYACAAAACEAtoM4&#13;&#10;kv4AAADhAQAAEwAAAAAAAAAAAAAAAAAAAAAAW0NvbnRlbnRfVHlwZXNdLnhtbFBLAQItABQABgAI&#13;&#10;AAAAIQA4/SH/1gAAAJQBAAALAAAAAAAAAAAAAAAAAC8BAABfcmVscy8ucmVsc1BLAQItABQABgAI&#13;&#10;AAAAIQBYDSHcFQIAADIEAAAOAAAAAAAAAAAAAAAAAC4CAABkcnMvZTJvRG9jLnhtbFBLAQItABQA&#13;&#10;BgAIAAAAIQAMOmOk4gAAAA0BAAAPAAAAAAAAAAAAAAAAAG8EAABkcnMvZG93bnJldi54bWxQSwUG&#13;&#10;AAAAAAQABADzAAAAfgUAAAAA&#13;&#10;" filled="f" stroked="f" strokeweight=".5pt">
                <v:fill o:detectmouseclick="t"/>
                <v:textbox style="mso-fit-shape-to-text:t">
                  <w:txbxContent>
                    <w:p w14:paraId="0DF4AE6A" w14:textId="77777777" w:rsidR="00BF5F09" w:rsidRDefault="00BF5F09" w:rsidP="00BF5F09">
                      <w:pPr>
                        <w:pStyle w:val="FigureTitle"/>
                        <w:jc w:val="both"/>
                      </w:pPr>
                      <w:r>
                        <w:t>Figure 7</w:t>
                      </w:r>
                    </w:p>
                    <w:p w14:paraId="7ED3CD07" w14:textId="77777777" w:rsidR="00BF5F09" w:rsidRDefault="00BF5F09" w:rsidP="00BF5F09">
                      <w:pPr>
                        <w:pStyle w:val="Caption"/>
                        <w:spacing w:line="240" w:lineRule="auto"/>
                        <w:jc w:val="both"/>
                      </w:pPr>
                      <w:r>
                        <w:t xml:space="preserve">Posterior predictive check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1E6D9269" w14:textId="77777777" w:rsidR="00BF5F09" w:rsidRPr="008B6FB2" w:rsidRDefault="00BF5F09" w:rsidP="008B6FB2">
                      <w:pPr>
                        <w:pStyle w:val="FigureWithoutNote"/>
                        <w:rPr>
                          <w:noProof/>
                        </w:rPr>
                      </w:pPr>
                      <w:r>
                        <w:rPr>
                          <w:noProof/>
                        </w:rPr>
                        <w:drawing>
                          <wp:inline distT="0" distB="0" distL="0" distR="0" wp14:anchorId="668D7A5C" wp14:editId="5CA51BF8">
                            <wp:extent cx="5745480" cy="2651760"/>
                            <wp:effectExtent l="0" t="0" r="0" b="2540"/>
                            <wp:docPr id="16391859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descr="../figures/tutorial3_pp_check.pdf"/>
                                    <pic:cNvPicPr>
                                      <a:picLocks noChangeAspect="1" noChangeArrowheads="1"/>
                                    </pic:cNvPicPr>
                                  </pic:nvPicPr>
                                  <pic:blipFill>
                                    <a:blip r:embed="rId18"/>
                                    <a:stretch>
                                      <a:fillRect/>
                                    </a:stretch>
                                  </pic:blipFill>
                                  <pic:spPr bwMode="auto">
                                    <a:xfrm>
                                      <a:off x="0" y="0"/>
                                      <a:ext cx="5745480" cy="2651760"/>
                                    </a:xfrm>
                                    <a:prstGeom prst="rect">
                                      <a:avLst/>
                                    </a:prstGeom>
                                    <a:noFill/>
                                    <a:ln w="9525">
                                      <a:noFill/>
                                      <a:headEnd/>
                                      <a:tailEnd/>
                                    </a:ln>
                                  </pic:spPr>
                                </pic:pic>
                              </a:graphicData>
                            </a:graphic>
                          </wp:inline>
                        </w:drawing>
                      </w:r>
                    </w:p>
                  </w:txbxContent>
                </v:textbox>
                <w10:wrap type="square"/>
              </v:shape>
            </w:pict>
          </mc:Fallback>
        </mc:AlternateContent>
      </w:r>
      <w:r w:rsidR="00000000">
        <w:t xml:space="preserve">Fitting follows the same </w:t>
      </w:r>
      <w:proofErr w:type="gramStart"/>
      <w:r w:rsidR="00000000">
        <w:rPr>
          <w:rStyle w:val="VerbatimChar"/>
        </w:rPr>
        <w:t>bmm(</w:t>
      </w:r>
      <w:proofErr w:type="gramEnd"/>
      <w:r w:rsidR="00000000">
        <w:rPr>
          <w:rStyle w:val="VerbatimChar"/>
        </w:rPr>
        <w:t>)</w:t>
      </w:r>
      <w:r w:rsidR="00000000">
        <w:t xml:space="preserve"> call as in the previous tutorials. The model converged without issues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rsidR="00000000">
        <w:t xml:space="preserve"> 1.007, bulk ESS </w:t>
      </w:r>
      <m:oMath>
        <m:r>
          <m:rPr>
            <m:sty m:val="p"/>
          </m:rPr>
          <w:rPr>
            <w:rFonts w:ascii="Cambria Math" w:hAnsi="Cambria Math"/>
          </w:rPr>
          <m:t>&gt;</m:t>
        </m:r>
      </m:oMath>
      <w:r w:rsidR="00000000">
        <w:t xml:space="preserve"> 794, no divergent transitions). </w:t>
      </w:r>
      <w:hyperlink w:anchor="fig-t3-pp-check">
        <w:r w:rsidR="00000000">
          <w:rPr>
            <w:rStyle w:val="Hyperlink"/>
          </w:rPr>
          <w:t>Figure 7</w:t>
        </w:r>
      </w:hyperlink>
      <w:r w:rsidR="00000000">
        <w:t xml:space="preserve"> shows the posterior predictive check. Predicted proportions closely match the observed data across all conditions and categories. Compared to the </w:t>
      </w:r>
      <w:r w:rsidR="00000000">
        <w:rPr>
          <w:rStyle w:val="VerbatimChar"/>
        </w:rPr>
        <w:t>cs</w:t>
      </w:r>
      <w:r w:rsidR="00000000">
        <w:t xml:space="preserve"> fit in Tutorial 2, the custom version captures the </w:t>
      </w:r>
      <w:r w:rsidR="00000000">
        <w:lastRenderedPageBreak/>
        <w:t>error categories (distractor and other intrusions) more precisely, reflecting the additional flexibility of separate ratio parameters for item memory and context binding.</w:t>
      </w:r>
    </w:p>
    <w:p w14:paraId="57BE7614" w14:textId="77777777" w:rsidR="00BF5F09" w:rsidRPr="00BF5F09" w:rsidRDefault="00BF5F09" w:rsidP="00BF5F09">
      <w:pPr>
        <w:pStyle w:val="BodyText"/>
      </w:pPr>
    </w:p>
    <w:p w14:paraId="40EEAE50" w14:textId="5EE8BBFA" w:rsidR="007B6D37" w:rsidRDefault="00000000">
      <w:pPr>
        <w:pStyle w:val="Heading2"/>
      </w:pPr>
      <w:bookmarkStart w:id="31" w:name="model-comparison"/>
      <w:bookmarkEnd w:id="30"/>
      <w:r>
        <w:t>Model comparison</w:t>
      </w:r>
    </w:p>
    <w:p w14:paraId="1FA2081C" w14:textId="77777777" w:rsidR="007B6D37" w:rsidRDefault="00000000">
      <w:pPr>
        <w:pStyle w:val="FirstParagraph"/>
      </w:pPr>
      <w:r>
        <w:t xml:space="preserve">To evaluate whether separating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improves on the standard </w:t>
      </w:r>
      <w:r>
        <w:rPr>
          <w:rStyle w:val="VerbatimChar"/>
        </w:rPr>
        <w:t>cs</w:t>
      </w:r>
      <w:r>
        <w:t xml:space="preserve"> version, we compared the two using bridge sampling (</w:t>
      </w:r>
      <w:hyperlink w:anchor="ref-gronau2017bridge">
        <w:r>
          <w:rPr>
            <w:rStyle w:val="Hyperlink"/>
          </w:rPr>
          <w:t>Gronau et al., 2017</w:t>
        </w:r>
      </w:hyperlink>
      <w:r>
        <w:t>):</w:t>
      </w:r>
    </w:p>
    <w:p w14:paraId="261DD3DE" w14:textId="77777777" w:rsidR="007B6D37" w:rsidRDefault="00000000" w:rsidP="00BF5F09">
      <w:pPr>
        <w:pStyle w:val="SourceCode"/>
        <w:spacing w:line="240" w:lineRule="auto"/>
      </w:pPr>
      <w:r>
        <w:rPr>
          <w:rStyle w:val="NormalTok"/>
        </w:rPr>
        <w:t xml:space="preserve">bridge_cs     </w:t>
      </w:r>
      <w:r>
        <w:rPr>
          <w:rStyle w:val="OtherTok"/>
        </w:rPr>
        <w:t>&lt;-</w:t>
      </w:r>
      <w:r>
        <w:rPr>
          <w:rStyle w:val="NormalTok"/>
        </w:rPr>
        <w:t xml:space="preserve"> </w:t>
      </w:r>
      <w:r>
        <w:rPr>
          <w:rStyle w:val="FunctionTok"/>
        </w:rPr>
        <w:t>bridge_sampler</w:t>
      </w:r>
      <w:r>
        <w:rPr>
          <w:rStyle w:val="NormalTok"/>
        </w:rPr>
        <w:t xml:space="preserve">(fit_m3_cs, </w:t>
      </w:r>
      <w:r>
        <w:rPr>
          <w:rStyle w:val="AttributeTok"/>
        </w:rPr>
        <w:t>repetitions =</w:t>
      </w:r>
      <w:r>
        <w:rPr>
          <w:rStyle w:val="NormalTok"/>
        </w:rPr>
        <w:t xml:space="preserve"> </w:t>
      </w:r>
      <w:r>
        <w:rPr>
          <w:rStyle w:val="DecValTok"/>
        </w:rPr>
        <w:t>10</w:t>
      </w:r>
      <w:r>
        <w:rPr>
          <w:rStyle w:val="NormalTok"/>
        </w:rPr>
        <w:t>)</w:t>
      </w:r>
      <w:r>
        <w:br/>
      </w:r>
      <w:r>
        <w:rPr>
          <w:rStyle w:val="NormalTok"/>
        </w:rPr>
        <w:t xml:space="preserve">bridge_custom </w:t>
      </w:r>
      <w:r>
        <w:rPr>
          <w:rStyle w:val="OtherTok"/>
        </w:rPr>
        <w:t>&lt;-</w:t>
      </w:r>
      <w:r>
        <w:rPr>
          <w:rStyle w:val="NormalTok"/>
        </w:rPr>
        <w:t xml:space="preserve"> </w:t>
      </w:r>
      <w:r>
        <w:rPr>
          <w:rStyle w:val="FunctionTok"/>
        </w:rPr>
        <w:t>bridge_sampler</w:t>
      </w:r>
      <w:r>
        <w:rPr>
          <w:rStyle w:val="NormalTok"/>
        </w:rPr>
        <w:t xml:space="preserve">(fit_m3_custom, </w:t>
      </w:r>
      <w:r>
        <w:rPr>
          <w:rStyle w:val="AttributeTok"/>
        </w:rPr>
        <w:t>repetitions =</w:t>
      </w:r>
      <w:r>
        <w:rPr>
          <w:rStyle w:val="NormalTok"/>
        </w:rPr>
        <w:t xml:space="preserve"> </w:t>
      </w:r>
      <w:r>
        <w:rPr>
          <w:rStyle w:val="DecValTok"/>
        </w:rPr>
        <w:t>10</w:t>
      </w:r>
      <w:r>
        <w:rPr>
          <w:rStyle w:val="NormalTok"/>
        </w:rPr>
        <w:t>)</w:t>
      </w:r>
      <w:r>
        <w:br/>
      </w:r>
      <w:r>
        <w:rPr>
          <w:rStyle w:val="FunctionTok"/>
        </w:rPr>
        <w:t>bf</w:t>
      </w:r>
      <w:r>
        <w:rPr>
          <w:rStyle w:val="NormalTok"/>
        </w:rPr>
        <w:t>(bridge_custom, bridge_cs)</w:t>
      </w:r>
    </w:p>
    <w:p w14:paraId="6155C03E" w14:textId="77777777" w:rsidR="007B6D37" w:rsidRDefault="00000000" w:rsidP="00BF5F09">
      <w:pPr>
        <w:pStyle w:val="FirstParagraph"/>
        <w:spacing w:before="240"/>
      </w:pPr>
      <w:r>
        <w:t>The Bayes factor strongly favored the custom version (median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17</m:t>
            </m:r>
          </m:sup>
        </m:sSup>
      </m:oMath>
      <w:r>
        <w:t xml:space="preserve"> across 10 bridge sampling repetitions), indicating that the data warrant separate ratio parameters rather than a single </w:t>
      </w:r>
      <m:oMath>
        <m:r>
          <w:rPr>
            <w:rFonts w:ascii="Cambria Math" w:hAnsi="Cambria Math"/>
          </w:rPr>
          <m:t>f</m:t>
        </m:r>
      </m:oMath>
      <w:r>
        <w:t>.</w:t>
      </w:r>
    </w:p>
    <w:p w14:paraId="59965739" w14:textId="77777777" w:rsidR="00BF5F09" w:rsidRPr="00BF5F09" w:rsidRDefault="00BF5F09" w:rsidP="00BF5F09">
      <w:pPr>
        <w:pStyle w:val="BodyText"/>
      </w:pPr>
    </w:p>
    <w:p w14:paraId="31BCE723" w14:textId="77777777" w:rsidR="007B6D37" w:rsidRDefault="00000000">
      <w:pPr>
        <w:pStyle w:val="Heading2"/>
      </w:pPr>
      <w:bookmarkStart w:id="32" w:name="parameter-estimates-1"/>
      <w:bookmarkEnd w:id="31"/>
      <w:r>
        <w:t>Parameter estimates</w:t>
      </w:r>
    </w:p>
    <w:p w14:paraId="36FBF0AC" w14:textId="77777777" w:rsidR="007B6D37" w:rsidRDefault="00000000">
      <w:pPr>
        <w:pStyle w:val="FirstParagraph"/>
      </w:pPr>
      <w:hyperlink w:anchor="fig-t3-param-estimates">
        <w:r>
          <w:rPr>
            <w:rStyle w:val="Hyperlink"/>
          </w:rPr>
          <w:t>Figure 8</w:t>
        </w:r>
      </w:hyperlink>
      <w:r>
        <w:t xml:space="preserve"> shows the posterior estimates. Item memory (</w:t>
      </w:r>
      <m:oMath>
        <m:r>
          <w:rPr>
            <w:rFonts w:ascii="Cambria Math" w:hAnsi="Cambria Math"/>
          </w:rPr>
          <m:t>a</m:t>
        </m:r>
      </m:oMath>
      <w:r>
        <w:t>) and context binding (</w:t>
      </w:r>
      <m:oMath>
        <m:r>
          <w:rPr>
            <w:rFonts w:ascii="Cambria Math" w:hAnsi="Cambria Math"/>
          </w:rPr>
          <m:t>c</m:t>
        </m:r>
      </m:oMath>
      <w:r>
        <w:t xml:space="preserve">) are similar to the </w:t>
      </w:r>
      <w:r>
        <w:rPr>
          <w:rStyle w:val="VerbatimChar"/>
        </w:rPr>
        <w:t>cs</w:t>
      </w:r>
      <w:r>
        <w:t xml:space="preserve"> estimates from Tutorial 2. The ratio parameters reveal an asymmetry: on the probability scale,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is high in both conditions (pre-cue: </w:t>
      </w:r>
      <m:oMath>
        <m:r>
          <w:rPr>
            <w:rFonts w:ascii="Cambria Math" w:hAnsi="Cambria Math"/>
          </w:rPr>
          <m:t>M</m:t>
        </m:r>
      </m:oMath>
      <w:r>
        <w:t xml:space="preserve"> = 0.84, 95% HDI [0.78, 0.89]; retro-cue: </w:t>
      </w:r>
      <m:oMath>
        <m:r>
          <w:rPr>
            <w:rFonts w:ascii="Cambria Math" w:hAnsi="Cambria Math"/>
          </w:rPr>
          <m:t>M</m:t>
        </m:r>
      </m:oMath>
      <w:r>
        <w:t xml:space="preserve"> = 0.81, 95% HDI [0.74, 0.87]), meaning item memory transfers almost fully to distractors.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is substantially lower (pre-cue: </w:t>
      </w:r>
      <m:oMath>
        <m:r>
          <w:rPr>
            <w:rFonts w:ascii="Cambria Math" w:hAnsi="Cambria Math"/>
          </w:rPr>
          <m:t>M</m:t>
        </m:r>
      </m:oMath>
      <w:r>
        <w:t xml:space="preserve"> = 0.35, 95% HDI [0.26, 0.45]; retro-cue: </w:t>
      </w:r>
      <m:oMath>
        <m:r>
          <w:rPr>
            <w:rFonts w:ascii="Cambria Math" w:hAnsi="Cambria Math"/>
          </w:rPr>
          <m:t>M</m:t>
        </m:r>
      </m:oMath>
      <w:r>
        <w:t xml:space="preserve"> = 0.32, 95% HDI [0.22, 0.42]), meaning context binding is more attenuated for distractors. This pattern matches the published findings of Li et al. (</w:t>
      </w:r>
      <w:hyperlink w:anchor="ref-li2026filtering">
        <w:r>
          <w:rPr>
            <w:rStyle w:val="Hyperlink"/>
          </w:rPr>
          <w:t>2026</w:t>
        </w:r>
      </w:hyperlink>
      <w:r>
        <w:t>).</w:t>
      </w:r>
    </w:p>
    <w:p w14:paraId="6BF03695" w14:textId="1BBC5C12" w:rsidR="007B6D37" w:rsidRDefault="00BF5F09">
      <w:pPr>
        <w:pStyle w:val="Heading2"/>
      </w:pPr>
      <w:r>
        <w:rPr>
          <w:noProof/>
        </w:rPr>
        <w:lastRenderedPageBreak/>
        <mc:AlternateContent>
          <mc:Choice Requires="wps">
            <w:drawing>
              <wp:anchor distT="0" distB="0" distL="114300" distR="114300" simplePos="0" relativeHeight="251673600" behindDoc="0" locked="0" layoutInCell="1" allowOverlap="1" wp14:anchorId="2424D671" wp14:editId="187345DD">
                <wp:simplePos x="0" y="0"/>
                <wp:positionH relativeFrom="column">
                  <wp:posOffset>0</wp:posOffset>
                </wp:positionH>
                <wp:positionV relativeFrom="paragraph">
                  <wp:posOffset>0</wp:posOffset>
                </wp:positionV>
                <wp:extent cx="1828800" cy="1828800"/>
                <wp:effectExtent l="0" t="0" r="0" b="0"/>
                <wp:wrapSquare wrapText="bothSides"/>
                <wp:docPr id="53994761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DF5CC38" w14:textId="77777777" w:rsidR="00BF5F09" w:rsidRDefault="00BF5F09">
                            <w:pPr>
                              <w:pStyle w:val="FigureTitle"/>
                            </w:pPr>
                            <w:r>
                              <w:t>Figure 8</w:t>
                            </w:r>
                          </w:p>
                          <w:p w14:paraId="69A861C0" w14:textId="77777777" w:rsidR="00BF5F09" w:rsidRDefault="00BF5F09" w:rsidP="00BF5F09">
                            <w:pPr>
                              <w:pStyle w:val="Caption"/>
                              <w:spacing w:line="240" w:lineRule="auto"/>
                            </w:pPr>
                            <w:r>
                              <w:t xml:space="preserve">Posterior parameter estimates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xml:space="preserve">) across conditions. Right panels show the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(item)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(binding) for pre-cue and retro-cue conditions, transformed to the probability scale.</w:t>
                            </w:r>
                          </w:p>
                          <w:p w14:paraId="7BBAE1AE" w14:textId="77777777" w:rsidR="00BF5F09" w:rsidRPr="00771430" w:rsidRDefault="00BF5F09" w:rsidP="00771430">
                            <w:pPr>
                              <w:pStyle w:val="FigureWithoutNote"/>
                              <w:rPr>
                                <w:noProof/>
                              </w:rPr>
                            </w:pPr>
                            <w:r>
                              <w:rPr>
                                <w:noProof/>
                              </w:rPr>
                              <w:drawing>
                                <wp:inline distT="0" distB="0" distL="0" distR="0" wp14:anchorId="42C45AFF" wp14:editId="3BE4DA1B">
                                  <wp:extent cx="5669280" cy="2834640"/>
                                  <wp:effectExtent l="0" t="0" r="0" b="0"/>
                                  <wp:docPr id="184406566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figures/tutorial3_param_estimates.pdf"/>
                                          <pic:cNvPicPr>
                                            <a:picLocks noChangeAspect="1" noChangeArrowheads="1"/>
                                          </pic:cNvPicPr>
                                        </pic:nvPicPr>
                                        <pic:blipFill>
                                          <a:blip r:embed="rId19"/>
                                          <a:stretch>
                                            <a:fillRect/>
                                          </a:stretch>
                                        </pic:blipFill>
                                        <pic:spPr bwMode="auto">
                                          <a:xfrm>
                                            <a:off x="0" y="0"/>
                                            <a:ext cx="5669280" cy="283464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424D671" id="_x0000_s1033" type="#_x0000_t202" style="position:absolute;margin-left:0;margin-top:0;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qMZAFgIAADIEAAAOAAAAZHJzL2Uyb0RvYy54bWysU99v2jAQfp+0/8Hy+0hgtKURoWKtmCah&#13;&#10;thKd+mwcm0SyfZZtSNhfv7NDAHV7mvbi3OXO9+P7Ps8fOq3IQTjfgCnpeJRTIgyHqjG7kv58W32Z&#13;&#10;UeIDMxVTYERJj8LTh8XnT/PWFmICNahKOIJFjC9aW9I6BFtkmee10MyPwAqDQQlOs4Cu22WVYy1W&#13;&#10;1yqb5Plt1oKrrAMuvMe/T32QLlJ9KQUPL1J6EYgqKc4W0unSuY1ntpizYueYrRt+GoP9wxSaNQab&#13;&#10;nks9scDI3jV/lNINd+BBhhEHnYGUDRdpB9xmnH/YZlMzK9IuCI63Z5j8/yvLnw8b++pI6L5BhwRG&#13;&#10;QFrrC48/4z6ddDp+cVKCcYTweIZNdIHweGk2mc1yDHGMDQ7WyS7XrfPhuwBNolFSh7wkuNhh7UOf&#13;&#10;OqTEbgZWjVKJG2VIW9Lbrzd5unCOYHFlsMdl2GiFbtuRpirp3bDIFqoj7uegp95bvmpwhjXz4ZU5&#13;&#10;5BrnRv2GFzykAuwFJ4uSGtyvv/2P+UgBRilpUTslNShuStQPg9Tcj6fTKLXkTG/uJui468j2OmL2&#13;&#10;+hFQnGN8J5YnM+YHNZjSgX5HkS9jTwwxw7FzScNgPoZez/hIuFguUxKKy7KwNhvLY+mIacT3rXtn&#13;&#10;zp5ICMjfMwwaY8UHLvrceNPb5T4gI4moiHKP6Ql8FGai+vSIovKv/ZR1eeqL3wAAAP//AwBQSwME&#13;&#10;FAAGAAgAAAAhAIASkIbaAAAACgEAAA8AAABkcnMvZG93bnJldi54bWxMT9FKw0AQfBf8h2MF3+yl&#13;&#10;FSSkuZRSsS/ig1X0dZPbJiG5vZC7ptGvdxVBX4YdhpmdyTez69VEY2g9G1guElDElbct1wZeXx5u&#13;&#10;UlAhIlvsPZOBDwqwKS4vcsysP/MzTYdYKwnhkKGBJsYh0zpUDTkMCz8Qi3b0o8ModKy1HfEs4a7X&#13;&#10;qyS50w5blg8NDrRrqOoOJ2fgCd/2cZq7at8NR/vuhnJ3+/lozPXVfL8W2K5BRZrjnwO+N0h/KKRY&#13;&#10;6U9sg+oNyJr4g6Kt0lRo+XvoItf/JxRfAAAA//8DAFBLAQItABQABgAIAAAAIQC2gziS/gAAAOEB&#13;&#10;AAATAAAAAAAAAAAAAAAAAAAAAABbQ29udGVudF9UeXBlc10ueG1sUEsBAi0AFAAGAAgAAAAhADj9&#13;&#10;If/WAAAAlAEAAAsAAAAAAAAAAAAAAAAALwEAAF9yZWxzLy5yZWxzUEsBAi0AFAAGAAgAAAAhAGSo&#13;&#10;xkAWAgAAMgQAAA4AAAAAAAAAAAAAAAAALgIAAGRycy9lMm9Eb2MueG1sUEsBAi0AFAAGAAgAAAAh&#13;&#10;AIASkIbaAAAACgEAAA8AAAAAAAAAAAAAAAAAcAQAAGRycy9kb3ducmV2LnhtbFBLBQYAAAAABAAE&#13;&#10;APMAAAB3BQAAAAA=&#13;&#10;" filled="f" stroked="f" strokeweight=".5pt">
                <v:fill o:detectmouseclick="t"/>
                <v:textbox style="mso-fit-shape-to-text:t">
                  <w:txbxContent>
                    <w:p w14:paraId="4DF5CC38" w14:textId="77777777" w:rsidR="00BF5F09" w:rsidRDefault="00BF5F09">
                      <w:pPr>
                        <w:pStyle w:val="FigureTitle"/>
                      </w:pPr>
                      <w:r>
                        <w:t>Figure 8</w:t>
                      </w:r>
                    </w:p>
                    <w:p w14:paraId="69A861C0" w14:textId="77777777" w:rsidR="00BF5F09" w:rsidRDefault="00BF5F09" w:rsidP="00BF5F09">
                      <w:pPr>
                        <w:pStyle w:val="Caption"/>
                        <w:spacing w:line="240" w:lineRule="auto"/>
                      </w:pPr>
                      <w:r>
                        <w:t xml:space="preserve">Posterior parameter estimates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xml:space="preserve">) across conditions. Right panels show the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(item)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(binding) for pre-cue and retro-cue conditions, transformed to the probability scale.</w:t>
                      </w:r>
                    </w:p>
                    <w:p w14:paraId="7BBAE1AE" w14:textId="77777777" w:rsidR="00BF5F09" w:rsidRPr="00771430" w:rsidRDefault="00BF5F09" w:rsidP="00771430">
                      <w:pPr>
                        <w:pStyle w:val="FigureWithoutNote"/>
                        <w:rPr>
                          <w:noProof/>
                        </w:rPr>
                      </w:pPr>
                      <w:r>
                        <w:rPr>
                          <w:noProof/>
                        </w:rPr>
                        <w:drawing>
                          <wp:inline distT="0" distB="0" distL="0" distR="0" wp14:anchorId="42C45AFF" wp14:editId="3BE4DA1B">
                            <wp:extent cx="5669280" cy="2834640"/>
                            <wp:effectExtent l="0" t="0" r="0" b="0"/>
                            <wp:docPr id="184406566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figures/tutorial3_param_estimates.pdf"/>
                                    <pic:cNvPicPr>
                                      <a:picLocks noChangeAspect="1" noChangeArrowheads="1"/>
                                    </pic:cNvPicPr>
                                  </pic:nvPicPr>
                                  <pic:blipFill>
                                    <a:blip r:embed="rId19"/>
                                    <a:stretch>
                                      <a:fillRect/>
                                    </a:stretch>
                                  </pic:blipFill>
                                  <pic:spPr bwMode="auto">
                                    <a:xfrm>
                                      <a:off x="0" y="0"/>
                                      <a:ext cx="5669280" cy="2834640"/>
                                    </a:xfrm>
                                    <a:prstGeom prst="rect">
                                      <a:avLst/>
                                    </a:prstGeom>
                                    <a:noFill/>
                                    <a:ln w="9525">
                                      <a:noFill/>
                                      <a:headEnd/>
                                      <a:tailEnd/>
                                    </a:ln>
                                  </pic:spPr>
                                </pic:pic>
                              </a:graphicData>
                            </a:graphic>
                          </wp:inline>
                        </w:drawing>
                      </w:r>
                    </w:p>
                  </w:txbxContent>
                </v:textbox>
                <w10:wrap type="square"/>
              </v:shape>
            </w:pict>
          </mc:Fallback>
        </mc:AlternateContent>
      </w:r>
      <w:bookmarkStart w:id="33" w:name="hypothesis-tests-1"/>
      <w:bookmarkEnd w:id="32"/>
      <w:r w:rsidR="00000000">
        <w:t>Hypothesis tests</w:t>
      </w:r>
    </w:p>
    <w:p w14:paraId="796AF4CD" w14:textId="77777777" w:rsidR="007B6D37" w:rsidRDefault="00000000">
      <w:pPr>
        <w:pStyle w:val="FirstParagraph"/>
      </w:pPr>
      <w:r>
        <w:t>As in Tutorial 2, we can test parameter differences formally. Within both the pre-cue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w:t>
      </w:r>
      <m:oMath>
        <m:r>
          <m:rPr>
            <m:sty m:val="p"/>
          </m:rPr>
          <w:rPr>
            <w:rFonts w:ascii="Cambria Math" w:hAnsi="Cambria Math"/>
          </w:rPr>
          <m:t>≥</m:t>
        </m:r>
      </m:oMath>
      <w:r>
        <w:t xml:space="preserve"> 10,000) and retro-cue condition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w:t>
      </w:r>
      <m:oMath>
        <m:r>
          <m:rPr>
            <m:sty m:val="p"/>
          </m:rPr>
          <w:rPr>
            <w:rFonts w:ascii="Cambria Math" w:hAnsi="Cambria Math"/>
          </w:rPr>
          <m:t>≥</m:t>
        </m:r>
      </m:oMath>
      <w:r>
        <w:t xml:space="preserve"> 10,000), there is strong evidence that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&gt;</m:t>
        </m:r>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Across conditions,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does not differ between pre-cue and retro-cue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6.09), and the same holds for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7.05). Item memory transfers to distractors regardless of cue timing, while context binding is selectively attenuated, consistent with the view that filtering operates on binding rather than item activation.</w:t>
      </w:r>
    </w:p>
    <w:p w14:paraId="4513D826" w14:textId="77777777" w:rsidR="00BF5F09" w:rsidRDefault="00BF5F09">
      <w:pPr>
        <w:spacing w:after="200" w:line="240" w:lineRule="auto"/>
        <w:rPr>
          <w:rFonts w:asciiTheme="majorHAnsi" w:eastAsiaTheme="majorEastAsia" w:hAnsiTheme="majorHAnsi" w:cstheme="majorBidi"/>
          <w:b/>
          <w:bCs/>
          <w:szCs w:val="32"/>
        </w:rPr>
      </w:pPr>
      <w:bookmarkStart w:id="34" w:name="tutorial-4-parameter-recovery"/>
      <w:bookmarkEnd w:id="27"/>
      <w:bookmarkEnd w:id="33"/>
      <w:r>
        <w:br w:type="page"/>
      </w:r>
    </w:p>
    <w:p w14:paraId="677E95D2" w14:textId="2A882C2F" w:rsidR="007B6D37" w:rsidRDefault="00000000">
      <w:pPr>
        <w:pStyle w:val="Heading1"/>
      </w:pPr>
      <w:r>
        <w:lastRenderedPageBreak/>
        <w:t>Tutorial 4: Parameter Recovery</w:t>
      </w:r>
    </w:p>
    <w:p w14:paraId="7E468628" w14:textId="77777777" w:rsidR="007B6D37" w:rsidRDefault="00000000">
      <w:pPr>
        <w:pStyle w:val="FirstParagraph"/>
      </w:pPr>
      <w:r>
        <w:t xml:space="preserve">The custom version of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in </w:t>
      </w:r>
      <w:r>
        <w:rPr>
          <w:rStyle w:val="VerbatimChar"/>
        </w:rPr>
        <w:t>bmm</w:t>
      </w:r>
      <w:r>
        <w:t xml:space="preserve"> supports the flexibility of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because users can develop their own versions based on their research interests. However, before applying a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to empirical data, it is worth checking whether the planned design provides enough information to recover the parameters of interest. If recovery fails when the generating values are known and the model is correctly specified, the problem lies with the design or the specification, not the data. This tutorial demonstrates the recovery workflow using the custom filtering version from Tutorial 3. The companion script is </w:t>
      </w:r>
      <w:r>
        <w:rPr>
          <w:rStyle w:val="VerbatimChar"/>
        </w:rPr>
        <w:t>scripts/tutorial4_parameter_recovery.R</w:t>
      </w:r>
      <w:r>
        <w:t>.</w:t>
      </w:r>
    </w:p>
    <w:p w14:paraId="13A4DDBE" w14:textId="77777777" w:rsidR="00BF5F09" w:rsidRPr="00BF5F09" w:rsidRDefault="00BF5F09" w:rsidP="00BF5F09">
      <w:pPr>
        <w:pStyle w:val="BodyText"/>
      </w:pPr>
    </w:p>
    <w:p w14:paraId="7295A9CF" w14:textId="77777777" w:rsidR="007B6D37" w:rsidRDefault="00000000">
      <w:pPr>
        <w:pStyle w:val="Heading2"/>
      </w:pPr>
      <w:bookmarkStart w:id="35" w:name="when-to-assess-parameter-recovery"/>
      <w:r>
        <w:t>When to assess parameter recovery</w:t>
      </w:r>
    </w:p>
    <w:p w14:paraId="72A05F02" w14:textId="325E1F26" w:rsidR="007B6D37" w:rsidRDefault="00000000">
      <w:pPr>
        <w:pStyle w:val="FirstParagraph"/>
      </w:pPr>
      <w:r>
        <w:t>Parameter recovery is not mandatory for every analysis, but it is informative as part of a principled Bayesian workflow (</w:t>
      </w:r>
      <w:hyperlink w:anchor="ref-schad2021toward">
        <w:r>
          <w:rPr>
            <w:rStyle w:val="Hyperlink"/>
          </w:rPr>
          <w:t>Schad et al., 2021</w:t>
        </w:r>
      </w:hyperlink>
      <w:r>
        <w:t xml:space="preserve">; </w:t>
      </w:r>
      <w:hyperlink w:anchor="ref-wilson2019ten">
        <w:r>
          <w:rPr>
            <w:rStyle w:val="Hyperlink"/>
          </w:rPr>
          <w:t>Wilson &amp; Collins, 2019</w:t>
        </w:r>
      </w:hyperlink>
      <w:r>
        <w:t xml:space="preserve">) — particularly when using a custom specification for the first time, when the design has unusual trial counts, or when individual-level estimates will be used for correlations. Beyond validating a given design, recovery simulations can also inform experimental planning: by systematically varying the number of participants or trials, researchers can determine the sample size and trial count needed to achieve acceptable recovery for their parameters of interest. Even a single recovery run </w:t>
      </w:r>
      <w:r w:rsidR="00B93516">
        <w:t xml:space="preserve">of a single condition with multiple repetitions </w:t>
      </w:r>
      <w:r>
        <w:t xml:space="preserve">is practically feasible (one to two hours of computation) and reveals how well the design can distinguish the parameters of interest (for a systematic treatment, see </w:t>
      </w:r>
      <w:hyperlink w:anchor="ref-goettmann2025recovery">
        <w:r>
          <w:rPr>
            <w:rStyle w:val="Hyperlink"/>
          </w:rPr>
          <w:t>Göttmann et al., 2025</w:t>
        </w:r>
      </w:hyperlink>
      <w:r>
        <w:t>).</w:t>
      </w:r>
    </w:p>
    <w:p w14:paraId="5ADA66C9" w14:textId="77777777" w:rsidR="00B93516" w:rsidRPr="00B93516" w:rsidRDefault="00B93516" w:rsidP="00B93516">
      <w:pPr>
        <w:pStyle w:val="BodyText"/>
      </w:pPr>
    </w:p>
    <w:p w14:paraId="0D69D6D3" w14:textId="77777777" w:rsidR="007B6D37" w:rsidRDefault="00000000">
      <w:pPr>
        <w:pStyle w:val="Heading2"/>
      </w:pPr>
      <w:bookmarkStart w:id="36" w:name="simulation-workflow"/>
      <w:bookmarkEnd w:id="35"/>
      <w:r>
        <w:lastRenderedPageBreak/>
        <w:t>Simulation workflow</w:t>
      </w:r>
    </w:p>
    <w:p w14:paraId="30632350" w14:textId="7DC370D9" w:rsidR="007B6D37" w:rsidRDefault="00000000">
      <w:pPr>
        <w:pStyle w:val="FirstParagraph"/>
      </w:pPr>
      <w:r>
        <w:t>We simulate data from the custom filtering version (Tutorial 3) with known parameter values and then fit the same specification to the simulated data. For each of the four parameters (</w:t>
      </w:r>
      <m:oMath>
        <m:r>
          <w:rPr>
            <w:rFonts w:ascii="Cambria Math" w:hAnsi="Cambria Math"/>
          </w:rPr>
          <m:t>a</m:t>
        </m:r>
      </m:oMath>
      <w:r>
        <w:t xml:space="preserve">, </w:t>
      </w:r>
      <m:oMath>
        <m:r>
          <w:rPr>
            <w:rFonts w:ascii="Cambria Math" w:hAnsi="Cambria Math"/>
          </w:rPr>
          <m:t>c</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we specify group-level means and between-person standard deviations on the link scale. </w:t>
      </w:r>
      <w:hyperlink w:anchor="tbl-gen-pars">
        <w:r>
          <w:rPr>
            <w:rStyle w:val="Hyperlink"/>
          </w:rPr>
          <w:t>Table 1</w:t>
        </w:r>
      </w:hyperlink>
      <w:r>
        <w:t xml:space="preserve"> lists the generating values, chosen to approximate the empirical estimates from Li et al. (</w:t>
      </w:r>
      <w:hyperlink w:anchor="ref-li2026filtering">
        <w:r>
          <w:rPr>
            <w:rStyle w:val="Hyperlink"/>
          </w:rPr>
          <w:t>2026</w:t>
        </w:r>
      </w:hyperlink>
      <w:r>
        <w:t>).</w:t>
      </w:r>
    </w:p>
    <w:p w14:paraId="2C21AE20" w14:textId="10A701C5" w:rsidR="007B6D37" w:rsidRDefault="00000000">
      <w:pPr>
        <w:pStyle w:val="AfterWithoutNote"/>
      </w:pPr>
      <w:r>
        <w:t xml:space="preserve">Individual parameters are drawn from </w:t>
      </w:r>
      <m:oMath>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m:rPr>
                    <m:nor/>
                  </m:rPr>
                  <m:t>link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link</m:t>
                </m:r>
              </m:sub>
            </m:sSub>
          </m:e>
        </m:d>
      </m:oMath>
      <w:r>
        <w:t xml:space="preserve"> independently for each person and parameter. We simulated </w:t>
      </w:r>
      <m:oMath>
        <m:r>
          <w:rPr>
            <w:rFonts w:ascii="Cambria Math" w:hAnsi="Cambria Math"/>
          </w:rPr>
          <m:t>N</m:t>
        </m:r>
        <m:r>
          <m:rPr>
            <m:sty m:val="p"/>
          </m:rPr>
          <w:rPr>
            <w:rFonts w:ascii="Cambria Math" w:hAnsi="Cambria Math"/>
          </w:rPr>
          <m:t>=</m:t>
        </m:r>
        <m:r>
          <w:rPr>
            <w:rFonts w:ascii="Cambria Math" w:hAnsi="Cambria Math"/>
          </w:rPr>
          <m:t>50</m:t>
        </m:r>
      </m:oMath>
      <w:r>
        <w:t xml:space="preserve"> participants with 60 trials (i.e., 60 response observations) per participant. The </w:t>
      </w:r>
      <w:r>
        <w:rPr>
          <w:rStyle w:val="VerbatimChar"/>
        </w:rPr>
        <w:t>bmm</w:t>
      </w:r>
      <w:r>
        <w:t xml:space="preserve"> package provides </w:t>
      </w:r>
      <w:r>
        <w:rPr>
          <w:rStyle w:val="VerbatimChar"/>
        </w:rPr>
        <w:t>rm3()</w:t>
      </w:r>
      <w:r>
        <w:t xml:space="preserve"> as the data-generating counterpart to the fitting workflow:</w:t>
      </w:r>
    </w:p>
    <w:p w14:paraId="2321D6AC" w14:textId="6A9ECE09" w:rsidR="007B6D37" w:rsidRDefault="00000000" w:rsidP="00B93516">
      <w:pPr>
        <w:pStyle w:val="SourceCode"/>
        <w:spacing w:line="240" w:lineRule="auto"/>
      </w:pPr>
      <w:proofErr w:type="spellStart"/>
      <w:r>
        <w:rPr>
          <w:rStyle w:val="NormalTok"/>
        </w:rPr>
        <w:t>demo_data</w:t>
      </w:r>
      <w:proofErr w:type="spellEnd"/>
      <w:r>
        <w:rPr>
          <w:rStyle w:val="NormalTok"/>
        </w:rPr>
        <w:t xml:space="preserve"> </w:t>
      </w:r>
      <w:r>
        <w:rPr>
          <w:rStyle w:val="OtherTok"/>
        </w:rPr>
        <w:t>&lt;-</w:t>
      </w:r>
      <w:r>
        <w:rPr>
          <w:rStyle w:val="NormalTok"/>
        </w:rPr>
        <w:t xml:space="preserve"> </w:t>
      </w:r>
      <w:r>
        <w:rPr>
          <w:rStyle w:val="FunctionTok"/>
        </w:rPr>
        <w:t>rm3</w:t>
      </w:r>
      <w:r>
        <w:rPr>
          <w:rStyle w:val="NormalTok"/>
        </w:rPr>
        <w:t>(</w:t>
      </w:r>
      <w:r>
        <w:br/>
      </w:r>
      <w:r>
        <w:rPr>
          <w:rStyle w:val="NormalTok"/>
        </w:rPr>
        <w:t xml:space="preserve">  </w:t>
      </w:r>
      <w:r>
        <w:rPr>
          <w:rStyle w:val="AttributeTok"/>
        </w:rPr>
        <w:t>n =</w:t>
      </w:r>
      <w:r>
        <w:rPr>
          <w:rStyle w:val="NormalTok"/>
        </w:rPr>
        <w:t xml:space="preserve"> </w:t>
      </w:r>
      <w:r>
        <w:rPr>
          <w:rStyle w:val="DecValTok"/>
        </w:rPr>
        <w:t>1</w:t>
      </w:r>
      <w:r>
        <w:rPr>
          <w:rStyle w:val="NormalTok"/>
        </w:rPr>
        <w:t xml:space="preserve">, </w:t>
      </w:r>
      <w:r>
        <w:rPr>
          <w:rStyle w:val="AttributeTok"/>
        </w:rPr>
        <w:t>size =</w:t>
      </w:r>
      <w:r>
        <w:rPr>
          <w:rStyle w:val="NormalTok"/>
        </w:rPr>
        <w:t xml:space="preserve"> </w:t>
      </w:r>
      <w:r>
        <w:rPr>
          <w:rStyle w:val="DecValTok"/>
        </w:rPr>
        <w:t>60</w:t>
      </w:r>
      <w:r>
        <w:rPr>
          <w:rStyle w:val="NormalTok"/>
        </w:rPr>
        <w:t>,</w:t>
      </w:r>
      <w:r>
        <w:br/>
      </w:r>
      <w:r>
        <w:rPr>
          <w:rStyle w:val="NormalTok"/>
        </w:rPr>
        <w:t xml:space="preserve">  </w:t>
      </w:r>
      <w:r>
        <w:rPr>
          <w:rStyle w:val="AttributeTok"/>
        </w:rPr>
        <w:t>pars =</w:t>
      </w:r>
      <w:r>
        <w:rPr>
          <w:rStyle w:val="NormalTok"/>
        </w:rPr>
        <w:t xml:space="preserve"> </w:t>
      </w:r>
      <w:proofErr w:type="gramStart"/>
      <w:r>
        <w:rPr>
          <w:rStyle w:val="FunctionTok"/>
        </w:rPr>
        <w:t>c</w:t>
      </w:r>
      <w:r>
        <w:rPr>
          <w:rStyle w:val="NormalTok"/>
        </w:rPr>
        <w:t>(</w:t>
      </w:r>
      <w:proofErr w:type="gramEnd"/>
      <w:r>
        <w:rPr>
          <w:rStyle w:val="AttributeTok"/>
        </w:rPr>
        <w:t>a =</w:t>
      </w:r>
      <w:r>
        <w:rPr>
          <w:rStyle w:val="NormalTok"/>
        </w:rPr>
        <w:t xml:space="preserve"> </w:t>
      </w:r>
      <w:r>
        <w:rPr>
          <w:rStyle w:val="FloatTok"/>
        </w:rPr>
        <w:t>1.5</w:t>
      </w:r>
      <w:r>
        <w:rPr>
          <w:rStyle w:val="NormalTok"/>
        </w:rPr>
        <w:t xml:space="preserve">, </w:t>
      </w:r>
      <w:r>
        <w:rPr>
          <w:rStyle w:val="AttributeTok"/>
        </w:rPr>
        <w:t>c =</w:t>
      </w:r>
      <w:r>
        <w:rPr>
          <w:rStyle w:val="NormalTok"/>
        </w:rPr>
        <w:t xml:space="preserve"> </w:t>
      </w:r>
      <w:r>
        <w:rPr>
          <w:rStyle w:val="FloatTok"/>
        </w:rPr>
        <w:t>2.0</w:t>
      </w:r>
      <w:r>
        <w:rPr>
          <w:rStyle w:val="NormalTok"/>
        </w:rPr>
        <w:t xml:space="preserve">, </w:t>
      </w:r>
      <w:r>
        <w:rPr>
          <w:rStyle w:val="AttributeTok"/>
        </w:rPr>
        <w:t>ra =</w:t>
      </w:r>
      <w:r>
        <w:rPr>
          <w:rStyle w:val="NormalTok"/>
        </w:rPr>
        <w:t xml:space="preserve"> </w:t>
      </w:r>
      <w:r>
        <w:rPr>
          <w:rStyle w:val="FloatTok"/>
        </w:rPr>
        <w:t>0.70</w:t>
      </w:r>
      <w:r>
        <w:rPr>
          <w:rStyle w:val="NormalTok"/>
        </w:rPr>
        <w:t xml:space="preserve">, </w:t>
      </w:r>
      <w:r>
        <w:rPr>
          <w:rStyle w:val="AttributeTok"/>
        </w:rPr>
        <w:t>rc =</w:t>
      </w:r>
      <w:r>
        <w:rPr>
          <w:rStyle w:val="NormalTok"/>
        </w:rPr>
        <w:t xml:space="preserve"> </w:t>
      </w:r>
      <w:r>
        <w:rPr>
          <w:rStyle w:val="FloatTok"/>
        </w:rPr>
        <w:t>0.56</w:t>
      </w:r>
      <w:r>
        <w:rPr>
          <w:rStyle w:val="NormalTok"/>
        </w:rPr>
        <w:t>),</w:t>
      </w:r>
      <w:r>
        <w:br/>
      </w:r>
      <w:r>
        <w:rPr>
          <w:rStyle w:val="NormalTok"/>
        </w:rPr>
        <w:t xml:space="preserve">  </w:t>
      </w:r>
      <w:r>
        <w:rPr>
          <w:rStyle w:val="AttributeTok"/>
        </w:rPr>
        <w:t>m3_model =</w:t>
      </w:r>
      <w:r>
        <w:rPr>
          <w:rStyle w:val="NormalTok"/>
        </w:rPr>
        <w:t xml:space="preserve"> m3_model_custom,</w:t>
      </w:r>
      <w:r>
        <w:br/>
      </w:r>
      <w:r>
        <w:rPr>
          <w:rStyle w:val="NormalTok"/>
        </w:rPr>
        <w:t xml:space="preserve">  </w:t>
      </w:r>
      <w:r>
        <w:rPr>
          <w:rStyle w:val="AttributeTok"/>
        </w:rPr>
        <w:t>act_funs =</w:t>
      </w:r>
      <w:r>
        <w:rPr>
          <w:rStyle w:val="NormalTok"/>
        </w:rPr>
        <w:t xml:space="preserve"> m3_act_funs</w:t>
      </w:r>
      <w:r>
        <w:br/>
      </w:r>
      <w:r>
        <w:rPr>
          <w:rStyle w:val="NormalTok"/>
        </w:rPr>
        <w:t>)</w:t>
      </w:r>
    </w:p>
    <w:p w14:paraId="64353E2D" w14:textId="71FBA673" w:rsidR="007B6D37" w:rsidRDefault="00B93516" w:rsidP="00B93516">
      <w:pPr>
        <w:pStyle w:val="FirstParagraph"/>
        <w:spacing w:before="240"/>
      </w:pPr>
      <w:r>
        <w:rPr>
          <w:noProof/>
        </w:rPr>
        <mc:AlternateContent>
          <mc:Choice Requires="wps">
            <w:drawing>
              <wp:anchor distT="0" distB="0" distL="114300" distR="114300" simplePos="0" relativeHeight="251675648" behindDoc="0" locked="0" layoutInCell="1" allowOverlap="1" wp14:anchorId="01654708" wp14:editId="3B795991">
                <wp:simplePos x="0" y="0"/>
                <wp:positionH relativeFrom="column">
                  <wp:posOffset>0</wp:posOffset>
                </wp:positionH>
                <wp:positionV relativeFrom="paragraph">
                  <wp:posOffset>1288415</wp:posOffset>
                </wp:positionV>
                <wp:extent cx="6083300" cy="2032000"/>
                <wp:effectExtent l="0" t="0" r="0" b="0"/>
                <wp:wrapSquare wrapText="bothSides"/>
                <wp:docPr id="872287707" name="Text Box 1"/>
                <wp:cNvGraphicFramePr/>
                <a:graphic xmlns:a="http://schemas.openxmlformats.org/drawingml/2006/main">
                  <a:graphicData uri="http://schemas.microsoft.com/office/word/2010/wordprocessingShape">
                    <wps:wsp>
                      <wps:cNvSpPr txBox="1"/>
                      <wps:spPr>
                        <a:xfrm>
                          <a:off x="0" y="0"/>
                          <a:ext cx="6083300" cy="2032000"/>
                        </a:xfrm>
                        <a:prstGeom prst="rect">
                          <a:avLst/>
                        </a:prstGeom>
                        <a:noFill/>
                        <a:ln w="6350">
                          <a:noFill/>
                        </a:ln>
                      </wps:spPr>
                      <wps:txbx>
                        <w:txbxContent>
                          <w:p w14:paraId="790FB009" w14:textId="77777777" w:rsidR="00B93516" w:rsidRDefault="00B93516" w:rsidP="00B93516">
                            <w:pPr>
                              <w:pStyle w:val="FigureTitle"/>
                              <w:spacing w:line="240" w:lineRule="auto"/>
                            </w:pPr>
                            <w:r>
                              <w:t>Table 1</w:t>
                            </w:r>
                          </w:p>
                          <w:p w14:paraId="69E13B62" w14:textId="77777777" w:rsidR="00B93516" w:rsidRDefault="00B93516" w:rsidP="00B93516">
                            <w:pPr>
                              <w:pStyle w:val="Caption"/>
                              <w:spacing w:line="240" w:lineRule="auto"/>
                            </w:pPr>
                            <w:r>
                              <w:t>Generating parameter values for the recovery simulation. All values are on the link scale.</w:t>
                            </w:r>
                          </w:p>
                          <w:tbl>
                            <w:tblPr>
                              <w:tblStyle w:val="Table"/>
                              <w:tblW w:w="4984" w:type="pct"/>
                              <w:tblLayout w:type="fixed"/>
                              <w:tblLook w:val="0020" w:firstRow="1" w:lastRow="0" w:firstColumn="0" w:lastColumn="0" w:noHBand="0" w:noVBand="0"/>
                            </w:tblPr>
                            <w:tblGrid>
                              <w:gridCol w:w="1497"/>
                              <w:gridCol w:w="1113"/>
                              <w:gridCol w:w="1972"/>
                              <w:gridCol w:w="1518"/>
                              <w:gridCol w:w="3167"/>
                            </w:tblGrid>
                            <w:tr w:rsidR="00B93516" w14:paraId="73A0F433" w14:textId="77777777" w:rsidTr="00B93516">
                              <w:trPr>
                                <w:cnfStyle w:val="100000000000" w:firstRow="1" w:lastRow="0" w:firstColumn="0" w:lastColumn="0" w:oddVBand="0" w:evenVBand="0" w:oddHBand="0" w:evenHBand="0" w:firstRowFirstColumn="0" w:firstRowLastColumn="0" w:lastRowFirstColumn="0" w:lastRowLastColumn="0"/>
                                <w:tblHeader/>
                              </w:trPr>
                              <w:tc>
                                <w:tcPr>
                                  <w:tcW w:w="1497" w:type="dxa"/>
                                </w:tcPr>
                                <w:p w14:paraId="00B01105" w14:textId="77777777" w:rsidR="00B93516" w:rsidRDefault="00B93516">
                                  <w:pPr>
                                    <w:pStyle w:val="Compact"/>
                                  </w:pPr>
                                  <w:r>
                                    <w:t>Parameter</w:t>
                                  </w:r>
                                </w:p>
                              </w:tc>
                              <w:tc>
                                <w:tcPr>
                                  <w:tcW w:w="1113" w:type="dxa"/>
                                </w:tcPr>
                                <w:p w14:paraId="7D89AE4D" w14:textId="77777777" w:rsidR="00B93516" w:rsidRDefault="00B93516">
                                  <w:pPr>
                                    <w:pStyle w:val="Compact"/>
                                  </w:pPr>
                                  <w:r>
                                    <w:t>Link</w:t>
                                  </w:r>
                                </w:p>
                              </w:tc>
                              <w:tc>
                                <w:tcPr>
                                  <w:tcW w:w="1972" w:type="dxa"/>
                                </w:tcPr>
                                <w:p w14:paraId="25F0B6BD" w14:textId="77777777" w:rsidR="00B93516" w:rsidRDefault="00B93516">
                                  <w:pPr>
                                    <w:pStyle w:val="Compact"/>
                                  </w:pPr>
                                  <w:r>
                                    <w:t>Mean (link)</w:t>
                                  </w:r>
                                </w:p>
                              </w:tc>
                              <w:tc>
                                <w:tcPr>
                                  <w:tcW w:w="1518" w:type="dxa"/>
                                </w:tcPr>
                                <w:p w14:paraId="1E9F2BC8" w14:textId="77777777" w:rsidR="00B93516" w:rsidRDefault="00B93516">
                                  <w:pPr>
                                    <w:pStyle w:val="Compact"/>
                                  </w:pPr>
                                  <w:r>
                                    <w:t>SD (link)</w:t>
                                  </w:r>
                                </w:p>
                              </w:tc>
                              <w:tc>
                                <w:tcPr>
                                  <w:tcW w:w="3167" w:type="dxa"/>
                                </w:tcPr>
                                <w:p w14:paraId="5B5F5732" w14:textId="77777777" w:rsidR="00B93516" w:rsidRDefault="00B93516">
                                  <w:pPr>
                                    <w:pStyle w:val="Compact"/>
                                  </w:pPr>
                                  <w:r>
                                    <w:t>Native range (</w:t>
                                  </w:r>
                                  <m:oMath>
                                    <m:r>
                                      <m:rPr>
                                        <m:sty m:val="p"/>
                                      </m:rPr>
                                      <w:rPr>
                                        <w:rFonts w:ascii="Cambria Math" w:hAnsi="Cambria Math"/>
                                      </w:rPr>
                                      <m:t>±</m:t>
                                    </m:r>
                                    <m:r>
                                      <w:rPr>
                                        <w:rFonts w:ascii="Cambria Math" w:hAnsi="Cambria Math"/>
                                      </w:rPr>
                                      <m:t>2</m:t>
                                    </m:r>
                                  </m:oMath>
                                  <w:r>
                                    <w:t xml:space="preserve"> SD)</w:t>
                                  </w:r>
                                </w:p>
                              </w:tc>
                            </w:tr>
                            <w:tr w:rsidR="00B93516" w14:paraId="180683F8" w14:textId="77777777" w:rsidTr="00B93516">
                              <w:tc>
                                <w:tcPr>
                                  <w:tcW w:w="1497" w:type="dxa"/>
                                  <w:tcBorders>
                                    <w:top w:val="single" w:sz="4" w:space="0" w:color="auto"/>
                                  </w:tcBorders>
                                </w:tcPr>
                                <w:p w14:paraId="00C53CF8" w14:textId="77777777" w:rsidR="00B93516" w:rsidRDefault="00B93516">
                                  <w:pPr>
                                    <w:pStyle w:val="Compact"/>
                                  </w:pPr>
                                  <m:oMathPara>
                                    <m:oMath>
                                      <m:r>
                                        <w:rPr>
                                          <w:rFonts w:ascii="Cambria Math" w:hAnsi="Cambria Math"/>
                                        </w:rPr>
                                        <m:t>a</m:t>
                                      </m:r>
                                    </m:oMath>
                                  </m:oMathPara>
                                </w:p>
                              </w:tc>
                              <w:tc>
                                <w:tcPr>
                                  <w:tcW w:w="1113" w:type="dxa"/>
                                  <w:tcBorders>
                                    <w:top w:val="single" w:sz="4" w:space="0" w:color="auto"/>
                                  </w:tcBorders>
                                </w:tcPr>
                                <w:p w14:paraId="29C0B3E9" w14:textId="77777777" w:rsidR="00B93516" w:rsidRDefault="00B93516">
                                  <w:pPr>
                                    <w:pStyle w:val="Compact"/>
                                  </w:pPr>
                                  <w:r>
                                    <w:t>identity</w:t>
                                  </w:r>
                                </w:p>
                              </w:tc>
                              <w:tc>
                                <w:tcPr>
                                  <w:tcW w:w="1972" w:type="dxa"/>
                                  <w:tcBorders>
                                    <w:top w:val="single" w:sz="4" w:space="0" w:color="auto"/>
                                  </w:tcBorders>
                                </w:tcPr>
                                <w:p w14:paraId="60C2C5DD" w14:textId="77777777" w:rsidR="00B93516" w:rsidRDefault="00B93516">
                                  <w:pPr>
                                    <w:pStyle w:val="Compact"/>
                                  </w:pPr>
                                  <w:r>
                                    <w:t>1.5</w:t>
                                  </w:r>
                                </w:p>
                              </w:tc>
                              <w:tc>
                                <w:tcPr>
                                  <w:tcW w:w="1518" w:type="dxa"/>
                                  <w:tcBorders>
                                    <w:top w:val="single" w:sz="4" w:space="0" w:color="auto"/>
                                  </w:tcBorders>
                                </w:tcPr>
                                <w:p w14:paraId="2B2D9AEC" w14:textId="77777777" w:rsidR="00B93516" w:rsidRDefault="00B93516">
                                  <w:pPr>
                                    <w:pStyle w:val="Compact"/>
                                  </w:pPr>
                                  <w:r>
                                    <w:t>0.50</w:t>
                                  </w:r>
                                </w:p>
                              </w:tc>
                              <w:tc>
                                <w:tcPr>
                                  <w:tcW w:w="3167" w:type="dxa"/>
                                  <w:tcBorders>
                                    <w:top w:val="single" w:sz="4" w:space="0" w:color="auto"/>
                                  </w:tcBorders>
                                </w:tcPr>
                                <w:p w14:paraId="0F9D139F" w14:textId="77777777" w:rsidR="00B93516" w:rsidRDefault="00B93516">
                                  <w:pPr>
                                    <w:pStyle w:val="Compact"/>
                                  </w:pPr>
                                  <w:r>
                                    <w:t>0.50 – 2.50</w:t>
                                  </w:r>
                                </w:p>
                              </w:tc>
                            </w:tr>
                            <w:tr w:rsidR="00B93516" w14:paraId="0D380900" w14:textId="77777777" w:rsidTr="00B93516">
                              <w:tc>
                                <w:tcPr>
                                  <w:tcW w:w="1497" w:type="dxa"/>
                                </w:tcPr>
                                <w:p w14:paraId="4D018654" w14:textId="77777777" w:rsidR="00B93516" w:rsidRDefault="00B93516">
                                  <w:pPr>
                                    <w:pStyle w:val="Compact"/>
                                  </w:pPr>
                                  <m:oMathPara>
                                    <m:oMath>
                                      <m:r>
                                        <w:rPr>
                                          <w:rFonts w:ascii="Cambria Math" w:hAnsi="Cambria Math"/>
                                        </w:rPr>
                                        <m:t>c</m:t>
                                      </m:r>
                                    </m:oMath>
                                  </m:oMathPara>
                                </w:p>
                              </w:tc>
                              <w:tc>
                                <w:tcPr>
                                  <w:tcW w:w="1113" w:type="dxa"/>
                                </w:tcPr>
                                <w:p w14:paraId="4E8B180F" w14:textId="77777777" w:rsidR="00B93516" w:rsidRDefault="00B93516">
                                  <w:pPr>
                                    <w:pStyle w:val="Compact"/>
                                  </w:pPr>
                                  <w:r>
                                    <w:t>identity</w:t>
                                  </w:r>
                                </w:p>
                              </w:tc>
                              <w:tc>
                                <w:tcPr>
                                  <w:tcW w:w="1972" w:type="dxa"/>
                                </w:tcPr>
                                <w:p w14:paraId="4926E598" w14:textId="77777777" w:rsidR="00B93516" w:rsidRDefault="00B93516">
                                  <w:pPr>
                                    <w:pStyle w:val="Compact"/>
                                  </w:pPr>
                                  <w:r>
                                    <w:t>2.0</w:t>
                                  </w:r>
                                </w:p>
                              </w:tc>
                              <w:tc>
                                <w:tcPr>
                                  <w:tcW w:w="1518" w:type="dxa"/>
                                </w:tcPr>
                                <w:p w14:paraId="7442D281" w14:textId="77777777" w:rsidR="00B93516" w:rsidRDefault="00B93516">
                                  <w:pPr>
                                    <w:pStyle w:val="Compact"/>
                                  </w:pPr>
                                  <w:r>
                                    <w:t>0.50</w:t>
                                  </w:r>
                                </w:p>
                              </w:tc>
                              <w:tc>
                                <w:tcPr>
                                  <w:tcW w:w="3167" w:type="dxa"/>
                                </w:tcPr>
                                <w:p w14:paraId="42929A58" w14:textId="77777777" w:rsidR="00B93516" w:rsidRDefault="00B93516">
                                  <w:pPr>
                                    <w:pStyle w:val="Compact"/>
                                  </w:pPr>
                                  <w:r>
                                    <w:t>1.00 – 3.00</w:t>
                                  </w:r>
                                </w:p>
                              </w:tc>
                            </w:tr>
                            <w:tr w:rsidR="00B93516" w14:paraId="57B1EAA5" w14:textId="77777777" w:rsidTr="00B93516">
                              <w:tc>
                                <w:tcPr>
                                  <w:tcW w:w="1497" w:type="dxa"/>
                                </w:tcPr>
                                <w:p w14:paraId="39BDEF1C" w14:textId="77777777" w:rsidR="00B93516" w:rsidRDefault="00B93516">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1113" w:type="dxa"/>
                                </w:tcPr>
                                <w:p w14:paraId="468AE228" w14:textId="77777777" w:rsidR="00B93516" w:rsidRDefault="00B93516">
                                  <w:pPr>
                                    <w:pStyle w:val="Compact"/>
                                  </w:pPr>
                                  <w:r>
                                    <w:t>logit</w:t>
                                  </w:r>
                                </w:p>
                              </w:tc>
                              <w:tc>
                                <w:tcPr>
                                  <w:tcW w:w="1972" w:type="dxa"/>
                                </w:tcPr>
                                <w:p w14:paraId="59130254" w14:textId="77777777" w:rsidR="00B93516" w:rsidRDefault="00B93516">
                                  <w:pPr>
                                    <w:pStyle w:val="Compact"/>
                                  </w:pPr>
                                  <w:r>
                                    <w:t>0.85</w:t>
                                  </w:r>
                                </w:p>
                              </w:tc>
                              <w:tc>
                                <w:tcPr>
                                  <w:tcW w:w="1518" w:type="dxa"/>
                                </w:tcPr>
                                <w:p w14:paraId="494D3CA3" w14:textId="77777777" w:rsidR="00B93516" w:rsidRDefault="00B93516">
                                  <w:pPr>
                                    <w:pStyle w:val="Compact"/>
                                  </w:pPr>
                                  <w:r>
                                    <w:t>0.40</w:t>
                                  </w:r>
                                </w:p>
                              </w:tc>
                              <w:tc>
                                <w:tcPr>
                                  <w:tcW w:w="3167" w:type="dxa"/>
                                </w:tcPr>
                                <w:p w14:paraId="331C172D" w14:textId="77777777" w:rsidR="00B93516" w:rsidRDefault="00B93516">
                                  <w:pPr>
                                    <w:pStyle w:val="Compact"/>
                                  </w:pPr>
                                  <w:r>
                                    <w:t>0.51 – 0.84</w:t>
                                  </w:r>
                                </w:p>
                              </w:tc>
                            </w:tr>
                            <w:tr w:rsidR="00B93516" w14:paraId="1A7D3654" w14:textId="77777777" w:rsidTr="00B93516">
                              <w:tc>
                                <w:tcPr>
                                  <w:tcW w:w="1497" w:type="dxa"/>
                                </w:tcPr>
                                <w:p w14:paraId="5F8398DA" w14:textId="77777777" w:rsidR="00B93516" w:rsidRDefault="00B93516">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1113" w:type="dxa"/>
                                </w:tcPr>
                                <w:p w14:paraId="568BC606" w14:textId="77777777" w:rsidR="00B93516" w:rsidRDefault="00B93516">
                                  <w:pPr>
                                    <w:pStyle w:val="Compact"/>
                                  </w:pPr>
                                  <w:r>
                                    <w:t>logit</w:t>
                                  </w:r>
                                </w:p>
                              </w:tc>
                              <w:tc>
                                <w:tcPr>
                                  <w:tcW w:w="1972" w:type="dxa"/>
                                </w:tcPr>
                                <w:p w14:paraId="4B38C46C" w14:textId="77777777" w:rsidR="00B93516" w:rsidRDefault="00B93516">
                                  <w:pPr>
                                    <w:pStyle w:val="Compact"/>
                                  </w:pPr>
                                  <w:r>
                                    <w:t>0.25</w:t>
                                  </w:r>
                                </w:p>
                              </w:tc>
                              <w:tc>
                                <w:tcPr>
                                  <w:tcW w:w="1518" w:type="dxa"/>
                                </w:tcPr>
                                <w:p w14:paraId="5BD440D2" w14:textId="77777777" w:rsidR="00B93516" w:rsidRDefault="00B93516">
                                  <w:pPr>
                                    <w:pStyle w:val="Compact"/>
                                  </w:pPr>
                                  <w:r>
                                    <w:t>0.40</w:t>
                                  </w:r>
                                </w:p>
                              </w:tc>
                              <w:tc>
                                <w:tcPr>
                                  <w:tcW w:w="3167" w:type="dxa"/>
                                </w:tcPr>
                                <w:p w14:paraId="78C78D1B" w14:textId="77777777" w:rsidR="00B93516" w:rsidRDefault="00B93516">
                                  <w:pPr>
                                    <w:pStyle w:val="Compact"/>
                                  </w:pPr>
                                  <w:r>
                                    <w:t>0.37 – 0.74</w:t>
                                  </w:r>
                                </w:p>
                              </w:tc>
                            </w:tr>
                          </w:tbl>
                          <w:p w14:paraId="5099EF2F" w14:textId="77777777" w:rsidR="00B93516" w:rsidRPr="00254CD0" w:rsidRDefault="00B93516" w:rsidP="00254CD0">
                            <w:pPr>
                              <w:spacing w:after="20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54708" id="_x0000_s1034" type="#_x0000_t202" style="position:absolute;left:0;text-align:left;margin-left:0;margin-top:101.45pt;width:479pt;height:16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wJRoGgIAADQEAAAOAAAAZHJzL2Uyb0RvYy54bWysU9tuGyEQfa+Uf0C817u+JHVXXkdOIleV&#13;&#10;rCSSU+UZs+BdCRgK2Lvu13dgfVPap6ovMDDDXM45zO47rcheON+AKelwkFMiDIeqMduS/nhbfp5S&#13;&#10;4gMzFVNgREkPwtP7+c2nWWsLMYIaVCUcwSTGF60taR2CLbLM81po5gdghUGnBKdZwKPbZpVjLWbX&#13;&#10;Khvl+V3WgqusAy68x9un3knnKb+UgocXKb0IRJUUewtpdWndxDWbz1ixdczWDT+2wf6hC80ag0XP&#13;&#10;qZ5YYGTnmj9S6YY78CDDgIPOQMqGizQDTjPMP0yzrpkVaRYEx9szTP7/peXP+7V9dSR0D9AhgRGQ&#13;&#10;1vrC42Wcp5NOxx07JehHCA9n2EQXCMfLu3w6Hufo4ugb5WPkJQGbXZ5b58M3AZpEo6QOeUlwsf3K&#13;&#10;ByyJoaeQWM3AslEqcaMMabHE+DZPD84efKEMPrw0G63QbTrSVCWdngbZQHXA+Rz01HvLlw32sGI+&#13;&#10;vDKHXGPfqN/wgotUgLXgaFFSg/v1t/sYjxSgl5IWtVNS/3PHnKBEfTdIztfhZBLFlg6T2y8jPLhr&#13;&#10;z+baY3b6EVCeQ/wpliczxgd1MqUD/Y4yX8Sq6GKGY+2ShpP5GHpF4zfhYrFIQSgvy8LKrC2PqSOq&#13;&#10;EeG37p05e6QhIIPPcFIZKz6w0cf2fCx2AWSTqIo496ge4UdpJgaP3yhq//qcoi6fff4bAAD//wMA&#13;&#10;UEsDBBQABgAIAAAAIQCYmZze4wAAAA0BAAAPAAAAZHJzL2Rvd25yZXYueG1sTI9BS8NAEIXvgv9h&#13;&#10;GcGb3bgQSdNMSokUQfTQ2ou3SXabBLO7Mbtto7/e8aSXgXmPefO+Yj3bQZzNFHrvEO4XCQjjGq97&#13;&#10;1yIc3rZ3GYgQyWkavDMIXybAury+KijX/uJ25ryPreAQF3JC6GIccylD0xlLYeFH49g7+slS5HVq&#13;&#10;pZ7owuF2kCpJHqSl3vGHjkZTdab52J8swnO1faVdrWz2PVRPL8fN+Hl4TxFvb+bHFY/NCkQ0c/y7&#13;&#10;gF8G7g8lF6v9yekgBgSmiQgqUUsQbC/TjJUaIVWsyLKQ/ynKHwAAAP//AwBQSwECLQAUAAYACAAA&#13;&#10;ACEAtoM4kv4AAADhAQAAEwAAAAAAAAAAAAAAAAAAAAAAW0NvbnRlbnRfVHlwZXNdLnhtbFBLAQIt&#13;&#10;ABQABgAIAAAAIQA4/SH/1gAAAJQBAAALAAAAAAAAAAAAAAAAAC8BAABfcmVscy8ucmVsc1BLAQIt&#13;&#10;ABQABgAIAAAAIQBHwJRoGgIAADQEAAAOAAAAAAAAAAAAAAAAAC4CAABkcnMvZTJvRG9jLnhtbFBL&#13;&#10;AQItABQABgAIAAAAIQCYmZze4wAAAA0BAAAPAAAAAAAAAAAAAAAAAHQEAABkcnMvZG93bnJldi54&#13;&#10;bWxQSwUGAAAAAAQABADzAAAAhAUAAAAA&#13;&#10;" filled="f" stroked="f" strokeweight=".5pt">
                <v:fill o:detectmouseclick="t"/>
                <v:textbox>
                  <w:txbxContent>
                    <w:p w14:paraId="790FB009" w14:textId="77777777" w:rsidR="00B93516" w:rsidRDefault="00B93516" w:rsidP="00B93516">
                      <w:pPr>
                        <w:pStyle w:val="FigureTitle"/>
                        <w:spacing w:line="240" w:lineRule="auto"/>
                      </w:pPr>
                      <w:r>
                        <w:t>Table 1</w:t>
                      </w:r>
                    </w:p>
                    <w:p w14:paraId="69E13B62" w14:textId="77777777" w:rsidR="00B93516" w:rsidRDefault="00B93516" w:rsidP="00B93516">
                      <w:pPr>
                        <w:pStyle w:val="Caption"/>
                        <w:spacing w:line="240" w:lineRule="auto"/>
                      </w:pPr>
                      <w:r>
                        <w:t>Generating parameter values for the recovery simulation. All values are on the link scale.</w:t>
                      </w:r>
                    </w:p>
                    <w:tbl>
                      <w:tblPr>
                        <w:tblStyle w:val="Table"/>
                        <w:tblW w:w="4984" w:type="pct"/>
                        <w:tblLayout w:type="fixed"/>
                        <w:tblLook w:val="0020" w:firstRow="1" w:lastRow="0" w:firstColumn="0" w:lastColumn="0" w:noHBand="0" w:noVBand="0"/>
                      </w:tblPr>
                      <w:tblGrid>
                        <w:gridCol w:w="1497"/>
                        <w:gridCol w:w="1113"/>
                        <w:gridCol w:w="1972"/>
                        <w:gridCol w:w="1518"/>
                        <w:gridCol w:w="3167"/>
                      </w:tblGrid>
                      <w:tr w:rsidR="00B93516" w14:paraId="73A0F433" w14:textId="77777777" w:rsidTr="00B93516">
                        <w:trPr>
                          <w:cnfStyle w:val="100000000000" w:firstRow="1" w:lastRow="0" w:firstColumn="0" w:lastColumn="0" w:oddVBand="0" w:evenVBand="0" w:oddHBand="0" w:evenHBand="0" w:firstRowFirstColumn="0" w:firstRowLastColumn="0" w:lastRowFirstColumn="0" w:lastRowLastColumn="0"/>
                          <w:tblHeader/>
                        </w:trPr>
                        <w:tc>
                          <w:tcPr>
                            <w:tcW w:w="1497" w:type="dxa"/>
                          </w:tcPr>
                          <w:p w14:paraId="00B01105" w14:textId="77777777" w:rsidR="00B93516" w:rsidRDefault="00B93516">
                            <w:pPr>
                              <w:pStyle w:val="Compact"/>
                            </w:pPr>
                            <w:r>
                              <w:t>Parameter</w:t>
                            </w:r>
                          </w:p>
                        </w:tc>
                        <w:tc>
                          <w:tcPr>
                            <w:tcW w:w="1113" w:type="dxa"/>
                          </w:tcPr>
                          <w:p w14:paraId="7D89AE4D" w14:textId="77777777" w:rsidR="00B93516" w:rsidRDefault="00B93516">
                            <w:pPr>
                              <w:pStyle w:val="Compact"/>
                            </w:pPr>
                            <w:r>
                              <w:t>Link</w:t>
                            </w:r>
                          </w:p>
                        </w:tc>
                        <w:tc>
                          <w:tcPr>
                            <w:tcW w:w="1972" w:type="dxa"/>
                          </w:tcPr>
                          <w:p w14:paraId="25F0B6BD" w14:textId="77777777" w:rsidR="00B93516" w:rsidRDefault="00B93516">
                            <w:pPr>
                              <w:pStyle w:val="Compact"/>
                            </w:pPr>
                            <w:r>
                              <w:t>Mean (link)</w:t>
                            </w:r>
                          </w:p>
                        </w:tc>
                        <w:tc>
                          <w:tcPr>
                            <w:tcW w:w="1518" w:type="dxa"/>
                          </w:tcPr>
                          <w:p w14:paraId="1E9F2BC8" w14:textId="77777777" w:rsidR="00B93516" w:rsidRDefault="00B93516">
                            <w:pPr>
                              <w:pStyle w:val="Compact"/>
                            </w:pPr>
                            <w:r>
                              <w:t>SD (link)</w:t>
                            </w:r>
                          </w:p>
                        </w:tc>
                        <w:tc>
                          <w:tcPr>
                            <w:tcW w:w="3167" w:type="dxa"/>
                          </w:tcPr>
                          <w:p w14:paraId="5B5F5732" w14:textId="77777777" w:rsidR="00B93516" w:rsidRDefault="00B93516">
                            <w:pPr>
                              <w:pStyle w:val="Compact"/>
                            </w:pPr>
                            <w:r>
                              <w:t>Native range (</w:t>
                            </w:r>
                            <m:oMath>
                              <m:r>
                                <m:rPr>
                                  <m:sty m:val="p"/>
                                </m:rPr>
                                <w:rPr>
                                  <w:rFonts w:ascii="Cambria Math" w:hAnsi="Cambria Math"/>
                                </w:rPr>
                                <m:t>±</m:t>
                              </m:r>
                              <m:r>
                                <w:rPr>
                                  <w:rFonts w:ascii="Cambria Math" w:hAnsi="Cambria Math"/>
                                </w:rPr>
                                <m:t>2</m:t>
                              </m:r>
                            </m:oMath>
                            <w:r>
                              <w:t xml:space="preserve"> SD)</w:t>
                            </w:r>
                          </w:p>
                        </w:tc>
                      </w:tr>
                      <w:tr w:rsidR="00B93516" w14:paraId="180683F8" w14:textId="77777777" w:rsidTr="00B93516">
                        <w:tc>
                          <w:tcPr>
                            <w:tcW w:w="1497" w:type="dxa"/>
                            <w:tcBorders>
                              <w:top w:val="single" w:sz="4" w:space="0" w:color="auto"/>
                            </w:tcBorders>
                          </w:tcPr>
                          <w:p w14:paraId="00C53CF8" w14:textId="77777777" w:rsidR="00B93516" w:rsidRDefault="00B93516">
                            <w:pPr>
                              <w:pStyle w:val="Compact"/>
                            </w:pPr>
                            <m:oMathPara>
                              <m:oMath>
                                <m:r>
                                  <w:rPr>
                                    <w:rFonts w:ascii="Cambria Math" w:hAnsi="Cambria Math"/>
                                  </w:rPr>
                                  <m:t>a</m:t>
                                </m:r>
                              </m:oMath>
                            </m:oMathPara>
                          </w:p>
                        </w:tc>
                        <w:tc>
                          <w:tcPr>
                            <w:tcW w:w="1113" w:type="dxa"/>
                            <w:tcBorders>
                              <w:top w:val="single" w:sz="4" w:space="0" w:color="auto"/>
                            </w:tcBorders>
                          </w:tcPr>
                          <w:p w14:paraId="29C0B3E9" w14:textId="77777777" w:rsidR="00B93516" w:rsidRDefault="00B93516">
                            <w:pPr>
                              <w:pStyle w:val="Compact"/>
                            </w:pPr>
                            <w:r>
                              <w:t>identity</w:t>
                            </w:r>
                          </w:p>
                        </w:tc>
                        <w:tc>
                          <w:tcPr>
                            <w:tcW w:w="1972" w:type="dxa"/>
                            <w:tcBorders>
                              <w:top w:val="single" w:sz="4" w:space="0" w:color="auto"/>
                            </w:tcBorders>
                          </w:tcPr>
                          <w:p w14:paraId="60C2C5DD" w14:textId="77777777" w:rsidR="00B93516" w:rsidRDefault="00B93516">
                            <w:pPr>
                              <w:pStyle w:val="Compact"/>
                            </w:pPr>
                            <w:r>
                              <w:t>1.5</w:t>
                            </w:r>
                          </w:p>
                        </w:tc>
                        <w:tc>
                          <w:tcPr>
                            <w:tcW w:w="1518" w:type="dxa"/>
                            <w:tcBorders>
                              <w:top w:val="single" w:sz="4" w:space="0" w:color="auto"/>
                            </w:tcBorders>
                          </w:tcPr>
                          <w:p w14:paraId="2B2D9AEC" w14:textId="77777777" w:rsidR="00B93516" w:rsidRDefault="00B93516">
                            <w:pPr>
                              <w:pStyle w:val="Compact"/>
                            </w:pPr>
                            <w:r>
                              <w:t>0.50</w:t>
                            </w:r>
                          </w:p>
                        </w:tc>
                        <w:tc>
                          <w:tcPr>
                            <w:tcW w:w="3167" w:type="dxa"/>
                            <w:tcBorders>
                              <w:top w:val="single" w:sz="4" w:space="0" w:color="auto"/>
                            </w:tcBorders>
                          </w:tcPr>
                          <w:p w14:paraId="0F9D139F" w14:textId="77777777" w:rsidR="00B93516" w:rsidRDefault="00B93516">
                            <w:pPr>
                              <w:pStyle w:val="Compact"/>
                            </w:pPr>
                            <w:r>
                              <w:t>0.50 – 2.50</w:t>
                            </w:r>
                          </w:p>
                        </w:tc>
                      </w:tr>
                      <w:tr w:rsidR="00B93516" w14:paraId="0D380900" w14:textId="77777777" w:rsidTr="00B93516">
                        <w:tc>
                          <w:tcPr>
                            <w:tcW w:w="1497" w:type="dxa"/>
                          </w:tcPr>
                          <w:p w14:paraId="4D018654" w14:textId="77777777" w:rsidR="00B93516" w:rsidRDefault="00B93516">
                            <w:pPr>
                              <w:pStyle w:val="Compact"/>
                            </w:pPr>
                            <m:oMathPara>
                              <m:oMath>
                                <m:r>
                                  <w:rPr>
                                    <w:rFonts w:ascii="Cambria Math" w:hAnsi="Cambria Math"/>
                                  </w:rPr>
                                  <m:t>c</m:t>
                                </m:r>
                              </m:oMath>
                            </m:oMathPara>
                          </w:p>
                        </w:tc>
                        <w:tc>
                          <w:tcPr>
                            <w:tcW w:w="1113" w:type="dxa"/>
                          </w:tcPr>
                          <w:p w14:paraId="4E8B180F" w14:textId="77777777" w:rsidR="00B93516" w:rsidRDefault="00B93516">
                            <w:pPr>
                              <w:pStyle w:val="Compact"/>
                            </w:pPr>
                            <w:r>
                              <w:t>identity</w:t>
                            </w:r>
                          </w:p>
                        </w:tc>
                        <w:tc>
                          <w:tcPr>
                            <w:tcW w:w="1972" w:type="dxa"/>
                          </w:tcPr>
                          <w:p w14:paraId="4926E598" w14:textId="77777777" w:rsidR="00B93516" w:rsidRDefault="00B93516">
                            <w:pPr>
                              <w:pStyle w:val="Compact"/>
                            </w:pPr>
                            <w:r>
                              <w:t>2.0</w:t>
                            </w:r>
                          </w:p>
                        </w:tc>
                        <w:tc>
                          <w:tcPr>
                            <w:tcW w:w="1518" w:type="dxa"/>
                          </w:tcPr>
                          <w:p w14:paraId="7442D281" w14:textId="77777777" w:rsidR="00B93516" w:rsidRDefault="00B93516">
                            <w:pPr>
                              <w:pStyle w:val="Compact"/>
                            </w:pPr>
                            <w:r>
                              <w:t>0.50</w:t>
                            </w:r>
                          </w:p>
                        </w:tc>
                        <w:tc>
                          <w:tcPr>
                            <w:tcW w:w="3167" w:type="dxa"/>
                          </w:tcPr>
                          <w:p w14:paraId="42929A58" w14:textId="77777777" w:rsidR="00B93516" w:rsidRDefault="00B93516">
                            <w:pPr>
                              <w:pStyle w:val="Compact"/>
                            </w:pPr>
                            <w:r>
                              <w:t>1.00 – 3.00</w:t>
                            </w:r>
                          </w:p>
                        </w:tc>
                      </w:tr>
                      <w:tr w:rsidR="00B93516" w14:paraId="57B1EAA5" w14:textId="77777777" w:rsidTr="00B93516">
                        <w:tc>
                          <w:tcPr>
                            <w:tcW w:w="1497" w:type="dxa"/>
                          </w:tcPr>
                          <w:p w14:paraId="39BDEF1C" w14:textId="77777777" w:rsidR="00B93516" w:rsidRDefault="00B93516">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1113" w:type="dxa"/>
                          </w:tcPr>
                          <w:p w14:paraId="468AE228" w14:textId="77777777" w:rsidR="00B93516" w:rsidRDefault="00B93516">
                            <w:pPr>
                              <w:pStyle w:val="Compact"/>
                            </w:pPr>
                            <w:r>
                              <w:t>logit</w:t>
                            </w:r>
                          </w:p>
                        </w:tc>
                        <w:tc>
                          <w:tcPr>
                            <w:tcW w:w="1972" w:type="dxa"/>
                          </w:tcPr>
                          <w:p w14:paraId="59130254" w14:textId="77777777" w:rsidR="00B93516" w:rsidRDefault="00B93516">
                            <w:pPr>
                              <w:pStyle w:val="Compact"/>
                            </w:pPr>
                            <w:r>
                              <w:t>0.85</w:t>
                            </w:r>
                          </w:p>
                        </w:tc>
                        <w:tc>
                          <w:tcPr>
                            <w:tcW w:w="1518" w:type="dxa"/>
                          </w:tcPr>
                          <w:p w14:paraId="494D3CA3" w14:textId="77777777" w:rsidR="00B93516" w:rsidRDefault="00B93516">
                            <w:pPr>
                              <w:pStyle w:val="Compact"/>
                            </w:pPr>
                            <w:r>
                              <w:t>0.40</w:t>
                            </w:r>
                          </w:p>
                        </w:tc>
                        <w:tc>
                          <w:tcPr>
                            <w:tcW w:w="3167" w:type="dxa"/>
                          </w:tcPr>
                          <w:p w14:paraId="331C172D" w14:textId="77777777" w:rsidR="00B93516" w:rsidRDefault="00B93516">
                            <w:pPr>
                              <w:pStyle w:val="Compact"/>
                            </w:pPr>
                            <w:r>
                              <w:t>0.51 – 0.84</w:t>
                            </w:r>
                          </w:p>
                        </w:tc>
                      </w:tr>
                      <w:tr w:rsidR="00B93516" w14:paraId="1A7D3654" w14:textId="77777777" w:rsidTr="00B93516">
                        <w:tc>
                          <w:tcPr>
                            <w:tcW w:w="1497" w:type="dxa"/>
                          </w:tcPr>
                          <w:p w14:paraId="5F8398DA" w14:textId="77777777" w:rsidR="00B93516" w:rsidRDefault="00B93516">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1113" w:type="dxa"/>
                          </w:tcPr>
                          <w:p w14:paraId="568BC606" w14:textId="77777777" w:rsidR="00B93516" w:rsidRDefault="00B93516">
                            <w:pPr>
                              <w:pStyle w:val="Compact"/>
                            </w:pPr>
                            <w:r>
                              <w:t>logit</w:t>
                            </w:r>
                          </w:p>
                        </w:tc>
                        <w:tc>
                          <w:tcPr>
                            <w:tcW w:w="1972" w:type="dxa"/>
                          </w:tcPr>
                          <w:p w14:paraId="4B38C46C" w14:textId="77777777" w:rsidR="00B93516" w:rsidRDefault="00B93516">
                            <w:pPr>
                              <w:pStyle w:val="Compact"/>
                            </w:pPr>
                            <w:r>
                              <w:t>0.25</w:t>
                            </w:r>
                          </w:p>
                        </w:tc>
                        <w:tc>
                          <w:tcPr>
                            <w:tcW w:w="1518" w:type="dxa"/>
                          </w:tcPr>
                          <w:p w14:paraId="5BD440D2" w14:textId="77777777" w:rsidR="00B93516" w:rsidRDefault="00B93516">
                            <w:pPr>
                              <w:pStyle w:val="Compact"/>
                            </w:pPr>
                            <w:r>
                              <w:t>0.40</w:t>
                            </w:r>
                          </w:p>
                        </w:tc>
                        <w:tc>
                          <w:tcPr>
                            <w:tcW w:w="3167" w:type="dxa"/>
                          </w:tcPr>
                          <w:p w14:paraId="78C78D1B" w14:textId="77777777" w:rsidR="00B93516" w:rsidRDefault="00B93516">
                            <w:pPr>
                              <w:pStyle w:val="Compact"/>
                            </w:pPr>
                            <w:r>
                              <w:t>0.37 – 0.74</w:t>
                            </w:r>
                          </w:p>
                        </w:tc>
                      </w:tr>
                    </w:tbl>
                    <w:p w14:paraId="5099EF2F" w14:textId="77777777" w:rsidR="00B93516" w:rsidRPr="00254CD0" w:rsidRDefault="00B93516" w:rsidP="00254CD0">
                      <w:pPr>
                        <w:spacing w:after="200" w:line="240" w:lineRule="auto"/>
                      </w:pPr>
                    </w:p>
                  </w:txbxContent>
                </v:textbox>
                <w10:wrap type="square"/>
              </v:shape>
            </w:pict>
          </mc:Fallback>
        </mc:AlternateContent>
      </w:r>
      <w:r w:rsidR="00000000">
        <w:t xml:space="preserve">This returns a one-row data frame with response counts across the five categories. To simulate a full dataset, we apply </w:t>
      </w:r>
      <w:r w:rsidR="00000000">
        <w:rPr>
          <w:rStyle w:val="VerbatimChar"/>
        </w:rPr>
        <w:t>rm3()</w:t>
      </w:r>
      <w:r w:rsidR="00000000">
        <w:t xml:space="preserve"> over all 50 participants, producing 50 rows. The companion script contains the complete generation and fitting code.</w:t>
      </w:r>
    </w:p>
    <w:p w14:paraId="699F3F4E" w14:textId="77777777" w:rsidR="007B6D37" w:rsidRDefault="00000000">
      <w:pPr>
        <w:pStyle w:val="Heading2"/>
      </w:pPr>
      <w:bookmarkStart w:id="37" w:name="recovery-evaluation"/>
      <w:bookmarkEnd w:id="36"/>
      <w:r>
        <w:lastRenderedPageBreak/>
        <w:t>Recovery evaluation</w:t>
      </w:r>
    </w:p>
    <w:p w14:paraId="1D4C6FF3" w14:textId="77777777" w:rsidR="007B6D37" w:rsidRDefault="00000000">
      <w:pPr>
        <w:pStyle w:val="Heading3"/>
      </w:pPr>
      <w:bookmarkStart w:id="38" w:name="group-level-recovery"/>
      <w:r>
        <w:t>Group-level recovery</w:t>
      </w:r>
    </w:p>
    <w:p w14:paraId="186F843D" w14:textId="17384884" w:rsidR="007B6D37" w:rsidRDefault="00000000">
      <w:pPr>
        <w:pStyle w:val="FirstParagraph"/>
      </w:pPr>
      <w:hyperlink w:anchor="fig-t4-group-recovery">
        <w:r>
          <w:rPr>
            <w:rStyle w:val="Hyperlink"/>
          </w:rPr>
          <w:t>Figure 9</w:t>
        </w:r>
      </w:hyperlink>
      <w:r>
        <w:t xml:space="preserve"> shows the group-level results. All 4 of 4 population means fell within their 95% credible intervals, and 4 of 4 between-person SDs were recovered accurately. Bias was negligible for all parameters. The companion script extracts these values from </w:t>
      </w:r>
      <w:r>
        <w:rPr>
          <w:rStyle w:val="VerbatimChar"/>
        </w:rPr>
        <w:t>fixef()</w:t>
      </w:r>
      <w:r>
        <w:t xml:space="preserve"> and </w:t>
      </w:r>
      <w:r>
        <w:rPr>
          <w:rStyle w:val="VerbatimChar"/>
        </w:rPr>
        <w:t>brms::VarCorr()</w:t>
      </w:r>
      <w:r>
        <w:t>.</w:t>
      </w:r>
    </w:p>
    <w:p w14:paraId="35A7BF34" w14:textId="217322A2" w:rsidR="007B6D37" w:rsidRDefault="00000000">
      <w:pPr>
        <w:pStyle w:val="Heading3"/>
      </w:pPr>
      <w:bookmarkStart w:id="39" w:name="individual-level-recovery"/>
      <w:bookmarkEnd w:id="38"/>
      <w:r>
        <w:t>Individual-level recovery</w:t>
      </w:r>
    </w:p>
    <w:p w14:paraId="7F5F075A" w14:textId="73F803CA" w:rsidR="007B6D37" w:rsidRDefault="00B93516">
      <w:pPr>
        <w:pStyle w:val="FirstParagraph"/>
      </w:pPr>
      <w:r>
        <w:rPr>
          <w:noProof/>
        </w:rPr>
        <mc:AlternateContent>
          <mc:Choice Requires="wps">
            <w:drawing>
              <wp:anchor distT="0" distB="0" distL="114300" distR="114300" simplePos="0" relativeHeight="251677696" behindDoc="0" locked="0" layoutInCell="1" allowOverlap="1" wp14:anchorId="17C958A7" wp14:editId="2D64F1D4">
                <wp:simplePos x="0" y="0"/>
                <wp:positionH relativeFrom="column">
                  <wp:posOffset>0</wp:posOffset>
                </wp:positionH>
                <wp:positionV relativeFrom="paragraph">
                  <wp:posOffset>558800</wp:posOffset>
                </wp:positionV>
                <wp:extent cx="1828800" cy="1828800"/>
                <wp:effectExtent l="0" t="0" r="0" b="0"/>
                <wp:wrapSquare wrapText="bothSides"/>
                <wp:docPr id="69640987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150FECB" w14:textId="77777777" w:rsidR="00B93516" w:rsidRDefault="00B93516">
                            <w:pPr>
                              <w:pStyle w:val="FigureTitle"/>
                            </w:pPr>
                            <w:r>
                              <w:t>Figure 9</w:t>
                            </w:r>
                          </w:p>
                          <w:p w14:paraId="3B4B7C60" w14:textId="77777777" w:rsidR="00B93516" w:rsidRDefault="00B93516" w:rsidP="00B93516">
                            <w:pPr>
                              <w:pStyle w:val="Caption"/>
                              <w:spacing w:line="240" w:lineRule="auto"/>
                            </w:pPr>
                            <w:r>
                              <w:t>Group-level parameter recovery. Points show recovered posterior medians; error bars show 95% credible intervals. The dashed line indicates perfect recovery.</w:t>
                            </w:r>
                          </w:p>
                          <w:p w14:paraId="59EF53CD" w14:textId="77777777" w:rsidR="00B93516" w:rsidRPr="005D7287" w:rsidRDefault="00B93516" w:rsidP="00B93516">
                            <w:pPr>
                              <w:pStyle w:val="FigureWithoutNote"/>
                              <w:jc w:val="center"/>
                              <w:rPr>
                                <w:noProof/>
                              </w:rPr>
                            </w:pPr>
                            <w:r>
                              <w:rPr>
                                <w:noProof/>
                              </w:rPr>
                              <w:drawing>
                                <wp:inline distT="0" distB="0" distL="0" distR="0" wp14:anchorId="2FA1F760" wp14:editId="2A2E44E7">
                                  <wp:extent cx="3931920" cy="3931920"/>
                                  <wp:effectExtent l="0" t="0" r="5080" b="5080"/>
                                  <wp:docPr id="16844179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descr="../figures/tutorial4_group_recovery.pdf"/>
                                          <pic:cNvPicPr>
                                            <a:picLocks noChangeAspect="1" noChangeArrowheads="1"/>
                                          </pic:cNvPicPr>
                                        </pic:nvPicPr>
                                        <pic:blipFill>
                                          <a:blip r:embed="rId20"/>
                                          <a:stretch>
                                            <a:fillRect/>
                                          </a:stretch>
                                        </pic:blipFill>
                                        <pic:spPr bwMode="auto">
                                          <a:xfrm>
                                            <a:off x="0" y="0"/>
                                            <a:ext cx="3931920" cy="393192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7C958A7" id="_x0000_s1035" type="#_x0000_t202" style="position:absolute;left:0;text-align:left;margin-left:0;margin-top:44pt;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m6AFgIAADIEAAAOAAAAZHJzL2Uyb0RvYy54bWysU99v2jAQfp+0/8Hy+0hgtKMRoWKtmCah&#13;&#10;thKd+mwcm0SyfZZtSNhfv7NDAHV9mvbi3OXO9+P7Ps/vO63IQTjfgCnpeJRTIgyHqjG7kv56XX2Z&#13;&#10;UeIDMxVTYERJj8LT+8XnT/PWFmICNahKOIJFjC9aW9I6BFtkmee10MyPwAqDQQlOs4Cu22WVYy1W&#13;&#10;1yqb5Plt1oKrrAMuvMe/j32QLlJ9KQUPz1J6EYgqKc4W0unSuY1ntpizYueYrRt+GoP9wxSaNQab&#13;&#10;nks9ssDI3jV/ldINd+BBhhEHnYGUDRdpB9xmnL/bZlMzK9IuCI63Z5j8/yvLnw4b++JI6L5DhwRG&#13;&#10;QFrrC48/4z6ddDp+cVKCcYTweIZNdIHweGk2mc1yDHGMDQ7WyS7XrfPhhwBNolFSh7wkuNhh7UOf&#13;&#10;OqTEbgZWjVKJG2VIW9Lbrzd5unCOYHFlsMdl2GiFbtuRpirp3bDIFqoj7uegp95bvmpwhjXz4YU5&#13;&#10;5BrnRv2GZzykAuwFJ4uSGtzvj/7HfKQAo5S0qJ2SGhQ3JeqnQWruxtNplFpypjffJui468j2OmL2&#13;&#10;+gFQnGN8J5YnM+YHNZjSgX5DkS9jTwwxw7FzScNgPoRez/hIuFguUxKKy7KwNhvLY+mIacT3tXtj&#13;&#10;zp5ICMjfEwwaY8U7LvrceNPb5T4gI4moiHKP6Ql8FGai+vSIovKv/ZR1eeqLPwAAAP//AwBQSwME&#13;&#10;FAAGAAgAAAAhAFibVQ3fAAAADAEAAA8AAABkcnMvZG93bnJldi54bWxMj09Lw0AQxe+C32EZwZvd&#13;&#10;2EINaSZFKvYiHqyi1012moRkZ0N2m0Y/vaMXvcwfHvPm/fLt7Ho10Rhazwi3iwQUceVtyzXC2+vj&#13;&#10;TQoqRMPW9J4J4ZMCbIvLi9xk1p/5haZDrJWYcMgMQhPjkGkdqoacCQs/EIt29KMzUdax1nY0ZzF3&#13;&#10;vV4myVo707J8aMxAu4aq7nByCM/mfR+nuav23XC0H24od6uvJ8Trq/lhI+V+AyrSHP8u4IdB8kMh&#13;&#10;wUp/YhtUjyA0ESFNpYu6/B1KhNXdOgFd5Po/RPENAAD//wMAUEsBAi0AFAAGAAgAAAAhALaDOJL+&#13;&#10;AAAA4QEAABMAAAAAAAAAAAAAAAAAAAAAAFtDb250ZW50X1R5cGVzXS54bWxQSwECLQAUAAYACAAA&#13;&#10;ACEAOP0h/9YAAACUAQAACwAAAAAAAAAAAAAAAAAvAQAAX3JlbHMvLnJlbHNQSwECLQAUAAYACAAA&#13;&#10;ACEACEZugBYCAAAyBAAADgAAAAAAAAAAAAAAAAAuAgAAZHJzL2Uyb0RvYy54bWxQSwECLQAUAAYA&#13;&#10;CAAAACEAWJtVDd8AAAAMAQAADwAAAAAAAAAAAAAAAABwBAAAZHJzL2Rvd25yZXYueG1sUEsFBgAA&#13;&#10;AAAEAAQA8wAAAHwFAAAAAA==&#13;&#10;" filled="f" stroked="f" strokeweight=".5pt">
                <v:fill o:detectmouseclick="t"/>
                <v:textbox style="mso-fit-shape-to-text:t">
                  <w:txbxContent>
                    <w:p w14:paraId="2150FECB" w14:textId="77777777" w:rsidR="00B93516" w:rsidRDefault="00B93516">
                      <w:pPr>
                        <w:pStyle w:val="FigureTitle"/>
                      </w:pPr>
                      <w:r>
                        <w:t>Figure 9</w:t>
                      </w:r>
                    </w:p>
                    <w:p w14:paraId="3B4B7C60" w14:textId="77777777" w:rsidR="00B93516" w:rsidRDefault="00B93516" w:rsidP="00B93516">
                      <w:pPr>
                        <w:pStyle w:val="Caption"/>
                        <w:spacing w:line="240" w:lineRule="auto"/>
                      </w:pPr>
                      <w:r>
                        <w:t>Group-level parameter recovery. Points show recovered posterior medians; error bars show 95% credible intervals. The dashed line indicates perfect recovery.</w:t>
                      </w:r>
                    </w:p>
                    <w:p w14:paraId="59EF53CD" w14:textId="77777777" w:rsidR="00B93516" w:rsidRPr="005D7287" w:rsidRDefault="00B93516" w:rsidP="00B93516">
                      <w:pPr>
                        <w:pStyle w:val="FigureWithoutNote"/>
                        <w:jc w:val="center"/>
                        <w:rPr>
                          <w:noProof/>
                        </w:rPr>
                      </w:pPr>
                      <w:r>
                        <w:rPr>
                          <w:noProof/>
                        </w:rPr>
                        <w:drawing>
                          <wp:inline distT="0" distB="0" distL="0" distR="0" wp14:anchorId="2FA1F760" wp14:editId="2A2E44E7">
                            <wp:extent cx="3931920" cy="3931920"/>
                            <wp:effectExtent l="0" t="0" r="5080" b="5080"/>
                            <wp:docPr id="16844179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descr="../figures/tutorial4_group_recovery.pdf"/>
                                    <pic:cNvPicPr>
                                      <a:picLocks noChangeAspect="1" noChangeArrowheads="1"/>
                                    </pic:cNvPicPr>
                                  </pic:nvPicPr>
                                  <pic:blipFill>
                                    <a:blip r:embed="rId20"/>
                                    <a:stretch>
                                      <a:fillRect/>
                                    </a:stretch>
                                  </pic:blipFill>
                                  <pic:spPr bwMode="auto">
                                    <a:xfrm>
                                      <a:off x="0" y="0"/>
                                      <a:ext cx="3931920" cy="3931920"/>
                                    </a:xfrm>
                                    <a:prstGeom prst="rect">
                                      <a:avLst/>
                                    </a:prstGeom>
                                    <a:noFill/>
                                    <a:ln w="9525">
                                      <a:noFill/>
                                      <a:headEnd/>
                                      <a:tailEnd/>
                                    </a:ln>
                                  </pic:spPr>
                                </pic:pic>
                              </a:graphicData>
                            </a:graphic>
                          </wp:inline>
                        </w:drawing>
                      </w:r>
                    </w:p>
                  </w:txbxContent>
                </v:textbox>
                <w10:wrap type="square"/>
              </v:shape>
            </w:pict>
          </mc:Fallback>
        </mc:AlternateContent>
      </w:r>
      <w:hyperlink w:anchor="fig-t4-indiv-scatter">
        <w:r w:rsidR="00000000">
          <w:rPr>
            <w:rStyle w:val="Hyperlink"/>
          </w:rPr>
          <w:t>Figure 10</w:t>
        </w:r>
      </w:hyperlink>
      <w:r w:rsidR="00000000">
        <w:t xml:space="preserve"> shows scatter plots of true versus recovered individual parameters (</w:t>
      </w:r>
      <m:oMath>
        <m:r>
          <w:rPr>
            <w:rFonts w:ascii="Cambria Math" w:hAnsi="Cambria Math"/>
          </w:rPr>
          <m:t>N</m:t>
        </m:r>
        <m:r>
          <m:rPr>
            <m:sty m:val="p"/>
          </m:rPr>
          <w:rPr>
            <w:rFonts w:ascii="Cambria Math" w:hAnsi="Cambria Math"/>
          </w:rPr>
          <m:t>=</m:t>
        </m:r>
        <m:r>
          <w:rPr>
            <w:rFonts w:ascii="Cambria Math" w:hAnsi="Cambria Math"/>
          </w:rPr>
          <m:t>50</m:t>
        </m:r>
      </m:oMath>
      <w:r w:rsidR="00000000">
        <w:t xml:space="preserve">, 60 </w:t>
      </w:r>
      <w:r>
        <w:t>responses</w:t>
      </w:r>
      <w:r w:rsidR="00000000">
        <w:t xml:space="preserve"> per participant). Context binding (</w:t>
      </w:r>
      <m:oMath>
        <m:r>
          <w:rPr>
            <w:rFonts w:ascii="Cambria Math" w:hAnsi="Cambria Math"/>
          </w:rPr>
          <m:t>c</m:t>
        </m:r>
      </m:oMath>
      <w:r w:rsidR="00000000">
        <w:t>) was recovered well (</w:t>
      </w:r>
      <m:oMath>
        <m:r>
          <w:rPr>
            <w:rFonts w:ascii="Cambria Math" w:hAnsi="Cambria Math"/>
          </w:rPr>
          <m:t>r</m:t>
        </m:r>
      </m:oMath>
      <w:r w:rsidR="00000000">
        <w:t xml:space="preserve"> = 0.92), and item memory </w:t>
      </w:r>
      <w:r w:rsidR="00000000">
        <w:lastRenderedPageBreak/>
        <w:t>(</w:t>
      </w:r>
      <m:oMath>
        <m:r>
          <w:rPr>
            <w:rFonts w:ascii="Cambria Math" w:hAnsi="Cambria Math"/>
          </w:rPr>
          <m:t>a</m:t>
        </m:r>
      </m:oMath>
      <w:r w:rsidR="00000000">
        <w:t xml:space="preserve">) </w:t>
      </w:r>
      <w:r>
        <w:rPr>
          <w:noProof/>
        </w:rPr>
        <mc:AlternateContent>
          <mc:Choice Requires="wps">
            <w:drawing>
              <wp:anchor distT="0" distB="0" distL="114300" distR="114300" simplePos="0" relativeHeight="251679744" behindDoc="0" locked="0" layoutInCell="1" allowOverlap="1" wp14:anchorId="4465C199" wp14:editId="2B775590">
                <wp:simplePos x="0" y="0"/>
                <wp:positionH relativeFrom="column">
                  <wp:posOffset>0</wp:posOffset>
                </wp:positionH>
                <wp:positionV relativeFrom="paragraph">
                  <wp:posOffset>0</wp:posOffset>
                </wp:positionV>
                <wp:extent cx="1828800" cy="1828800"/>
                <wp:effectExtent l="0" t="0" r="0" b="0"/>
                <wp:wrapSquare wrapText="bothSides"/>
                <wp:docPr id="11149370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78FB59D" w14:textId="77777777" w:rsidR="00B93516" w:rsidRDefault="00B93516">
                            <w:pPr>
                              <w:pStyle w:val="FigureTitle"/>
                            </w:pPr>
                            <w:r>
                              <w:t>Figure 10</w:t>
                            </w:r>
                          </w:p>
                          <w:p w14:paraId="0F37367C" w14:textId="54C6C856" w:rsidR="00B93516" w:rsidRDefault="00B93516" w:rsidP="00B93516">
                            <w:pPr>
                              <w:pStyle w:val="Caption"/>
                              <w:spacing w:line="240" w:lineRule="auto"/>
                            </w:pPr>
                            <w:r>
                              <w:t>Individual-level parameter recovery (</w:t>
                            </w:r>
                            <m:oMath>
                              <m:r>
                                <w:rPr>
                                  <w:rFonts w:ascii="Cambria Math" w:hAnsi="Cambria Math"/>
                                </w:rPr>
                                <m:t>N=50</m:t>
                              </m:r>
                            </m:oMath>
                            <w:r>
                              <w:t xml:space="preserve">, 60 </w:t>
                            </w:r>
                            <w:r>
                              <w:t>responses</w:t>
                            </w:r>
                            <w:r>
                              <w:t xml:space="preserve"> per participant). Each point is one participant; the dashed line indicates perfect recovery. Pearson correlations are shown per parameter.</w:t>
                            </w:r>
                          </w:p>
                          <w:p w14:paraId="5431DC7B" w14:textId="77777777" w:rsidR="00B93516" w:rsidRPr="00241841" w:rsidRDefault="00B93516" w:rsidP="00241841">
                            <w:pPr>
                              <w:pStyle w:val="FigureWithoutNote"/>
                              <w:rPr>
                                <w:noProof/>
                              </w:rPr>
                            </w:pPr>
                            <w:r>
                              <w:rPr>
                                <w:noProof/>
                              </w:rPr>
                              <w:drawing>
                                <wp:inline distT="0" distB="0" distL="0" distR="0" wp14:anchorId="2B520CBD" wp14:editId="57A45AF1">
                                  <wp:extent cx="5705856" cy="4389120"/>
                                  <wp:effectExtent l="0" t="0" r="0" b="5080"/>
                                  <wp:docPr id="98270798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descr="../figures/tutorial4_indiv_scatter.pdf"/>
                                          <pic:cNvPicPr>
                                            <a:picLocks noChangeAspect="1" noChangeArrowheads="1"/>
                                          </pic:cNvPicPr>
                                        </pic:nvPicPr>
                                        <pic:blipFill>
                                          <a:blip r:embed="rId21"/>
                                          <a:stretch>
                                            <a:fillRect/>
                                          </a:stretch>
                                        </pic:blipFill>
                                        <pic:spPr bwMode="auto">
                                          <a:xfrm>
                                            <a:off x="0" y="0"/>
                                            <a:ext cx="5705856" cy="438912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465C199" id="_x0000_s1036" type="#_x0000_t202" style="position:absolute;left:0;text-align:left;margin-left:0;margin-top:0;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MMm3FAIAADMEAAAOAAAAZHJzL2Uyb0RvYy54bWysU01vGyEQvVfKf0Dc4127TuquvI7cRK4q&#13;&#10;WUkkp8oZs+BdiWUQjL3r/voO+FNpT1UvMPCG+XqP6UPfGrZTPjRgSz4c5JwpK6Fq7KbkP98WtxPO&#13;&#10;AgpbCQNWlXyvAn+Y3Xyadq5QI6jBVMozCmJD0bmS14iuyLIga9WKMACnLIEafCuQjn6TVV50FL01&#13;&#10;2SjP77MOfOU8SBUC3T4dQD5L8bVWEl+0DgqZKTnVhmn1aV3HNZtNRbHxwtWNPJYh/qGKVjSWkp5D&#13;&#10;PQkUbOubP0K1jfQQQONAQpuB1o1UqQfqZph/6GZVC6dSLzSc4M5jCv8vrHzerdyrZ9h/g54IjAPp&#13;&#10;XCgCXcZ+eu3buFOljHAa4f48NtUjk/HRZDSZ5ARJwk4HipNdnjsf8LuClkWj5J54SeMSu2XAg+vJ&#13;&#10;JWazsGiMSdwYy7qS33++y9ODM0LBjaUcl2Kjhf26Z01FZSRq49Uaqj016OHAfXBy0VARSxHwVXgi&#13;&#10;mwonAeMLLdoAJYOjxVkN/tff7qM/cUAoZx2Jp+SW1M2Z+WGJm6/D8ThqLR3Gd19GdPDXyPoasdv2&#13;&#10;EUidQ/ooTiYz+qM5mdpD+04qn8ecBAkrKXPJ8WQ+4kHQ9Eukms+TE6nLCVzalZMxdBxqHPBb/y68&#13;&#10;O7KAROAznEQmig9kHHzjy+DmWyRKElOXmR6nT8pMXB9/UZT+9Tl5Xf767DcAAAD//wMAUEsDBBQA&#13;&#10;BgAIAAAAIQCAEpCG2gAAAAoBAAAPAAAAZHJzL2Rvd25yZXYueG1sTE/RSsNAEHwX/IdjBd/spRUk&#13;&#10;pLmUUrEv4oNV9HWT2yYhub2Qu6bRr3cVQV+GHYaZnck3s+vVRGNoPRtYLhJQxJW3LdcGXl8eblJQ&#13;&#10;ISJb7D2TgQ8KsCkuL3LMrD/zM02HWCsJ4ZChgSbGIdM6VA05DAs/EIt29KPDKHSstR3xLOGu16sk&#13;&#10;udMOW5YPDQ60a6jqDidn4Anf9nGau2rfDUf77oZyd/v5aMz11Xy/FtiuQUWa458DvjdIfyikWOlP&#13;&#10;bIPqDcia+IOirdJUaPl76CLX/ycUXwAAAP//AwBQSwECLQAUAAYACAAAACEAtoM4kv4AAADhAQAA&#13;&#10;EwAAAAAAAAAAAAAAAAAAAAAAW0NvbnRlbnRfVHlwZXNdLnhtbFBLAQItABQABgAIAAAAIQA4/SH/&#13;&#10;1gAAAJQBAAALAAAAAAAAAAAAAAAAAC8BAABfcmVscy8ucmVsc1BLAQItABQABgAIAAAAIQBkMMm3&#13;&#10;FAIAADMEAAAOAAAAAAAAAAAAAAAAAC4CAABkcnMvZTJvRG9jLnhtbFBLAQItABQABgAIAAAAIQCA&#13;&#10;EpCG2gAAAAoBAAAPAAAAAAAAAAAAAAAAAG4EAABkcnMvZG93bnJldi54bWxQSwUGAAAAAAQABADz&#13;&#10;AAAAdQUAAAAA&#13;&#10;" filled="f" stroked="f" strokeweight=".5pt">
                <v:fill o:detectmouseclick="t"/>
                <v:textbox style="mso-fit-shape-to-text:t">
                  <w:txbxContent>
                    <w:p w14:paraId="678FB59D" w14:textId="77777777" w:rsidR="00B93516" w:rsidRDefault="00B93516">
                      <w:pPr>
                        <w:pStyle w:val="FigureTitle"/>
                      </w:pPr>
                      <w:r>
                        <w:t>Figure 10</w:t>
                      </w:r>
                    </w:p>
                    <w:p w14:paraId="0F37367C" w14:textId="54C6C856" w:rsidR="00B93516" w:rsidRDefault="00B93516" w:rsidP="00B93516">
                      <w:pPr>
                        <w:pStyle w:val="Caption"/>
                        <w:spacing w:line="240" w:lineRule="auto"/>
                      </w:pPr>
                      <w:r>
                        <w:t>Individual-level parameter recovery (</w:t>
                      </w:r>
                      <m:oMath>
                        <m:r>
                          <w:rPr>
                            <w:rFonts w:ascii="Cambria Math" w:hAnsi="Cambria Math"/>
                          </w:rPr>
                          <m:t>N=50</m:t>
                        </m:r>
                      </m:oMath>
                      <w:r>
                        <w:t xml:space="preserve">, 60 </w:t>
                      </w:r>
                      <w:r>
                        <w:t>responses</w:t>
                      </w:r>
                      <w:r>
                        <w:t xml:space="preserve"> per participant). Each point is one participant; the dashed line indicates perfect recovery. Pearson correlations are shown per parameter.</w:t>
                      </w:r>
                    </w:p>
                    <w:p w14:paraId="5431DC7B" w14:textId="77777777" w:rsidR="00B93516" w:rsidRPr="00241841" w:rsidRDefault="00B93516" w:rsidP="00241841">
                      <w:pPr>
                        <w:pStyle w:val="FigureWithoutNote"/>
                        <w:rPr>
                          <w:noProof/>
                        </w:rPr>
                      </w:pPr>
                      <w:r>
                        <w:rPr>
                          <w:noProof/>
                        </w:rPr>
                        <w:drawing>
                          <wp:inline distT="0" distB="0" distL="0" distR="0" wp14:anchorId="2B520CBD" wp14:editId="57A45AF1">
                            <wp:extent cx="5705856" cy="4389120"/>
                            <wp:effectExtent l="0" t="0" r="0" b="5080"/>
                            <wp:docPr id="98270798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descr="../figures/tutorial4_indiv_scatter.pdf"/>
                                    <pic:cNvPicPr>
                                      <a:picLocks noChangeAspect="1" noChangeArrowheads="1"/>
                                    </pic:cNvPicPr>
                                  </pic:nvPicPr>
                                  <pic:blipFill>
                                    <a:blip r:embed="rId21"/>
                                    <a:stretch>
                                      <a:fillRect/>
                                    </a:stretch>
                                  </pic:blipFill>
                                  <pic:spPr bwMode="auto">
                                    <a:xfrm>
                                      <a:off x="0" y="0"/>
                                      <a:ext cx="5705856" cy="4389120"/>
                                    </a:xfrm>
                                    <a:prstGeom prst="rect">
                                      <a:avLst/>
                                    </a:prstGeom>
                                    <a:noFill/>
                                    <a:ln w="9525">
                                      <a:noFill/>
                                      <a:headEnd/>
                                      <a:tailEnd/>
                                    </a:ln>
                                  </pic:spPr>
                                </pic:pic>
                              </a:graphicData>
                            </a:graphic>
                          </wp:inline>
                        </w:drawing>
                      </w:r>
                    </w:p>
                  </w:txbxContent>
                </v:textbox>
                <w10:wrap type="square"/>
              </v:shape>
            </w:pict>
          </mc:Fallback>
        </mc:AlternateContent>
      </w:r>
      <w:r w:rsidR="00000000">
        <w:t>showed adequate recovery (</w:t>
      </w:r>
      <m:oMath>
        <m:r>
          <w:rPr>
            <w:rFonts w:ascii="Cambria Math" w:hAnsi="Cambria Math"/>
          </w:rPr>
          <m:t>r</m:t>
        </m:r>
      </m:oMath>
      <w:r w:rsidR="00000000">
        <w:t xml:space="preserve"> = 0.72). The ratio parameters were harder to recover individually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00000000">
        <w:t xml:space="preserve">: </w:t>
      </w:r>
      <m:oMath>
        <m:r>
          <w:rPr>
            <w:rFonts w:ascii="Cambria Math" w:hAnsi="Cambria Math"/>
          </w:rPr>
          <m:t>r</m:t>
        </m:r>
      </m:oMath>
      <w:r w:rsidR="00000000">
        <w:t xml:space="preserve"> = 0.35;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00000000">
        <w:t xml:space="preserve">: </w:t>
      </w:r>
      <m:oMath>
        <m:r>
          <w:rPr>
            <w:rFonts w:ascii="Cambria Math" w:hAnsi="Cambria Math"/>
          </w:rPr>
          <m:t>r</m:t>
        </m:r>
      </m:oMath>
      <w:r w:rsidR="00000000">
        <w:t xml:space="preserve"> = 0.20). This is expected: ratio parameters appear only in distractor categories, which have lower base rates and therefore carry less information per trial.</w:t>
      </w:r>
    </w:p>
    <w:p w14:paraId="534BD919" w14:textId="77777777" w:rsidR="00B93516" w:rsidRDefault="00B93516">
      <w:pPr>
        <w:spacing w:after="200" w:line="240" w:lineRule="auto"/>
        <w:rPr>
          <w:rFonts w:asciiTheme="majorHAnsi" w:eastAsiaTheme="majorEastAsia" w:hAnsiTheme="majorHAnsi" w:cstheme="majorBidi"/>
          <w:b/>
          <w:bCs/>
          <w:szCs w:val="28"/>
        </w:rPr>
      </w:pPr>
      <w:bookmarkStart w:id="40" w:name="practical-guidance"/>
      <w:bookmarkEnd w:id="37"/>
      <w:bookmarkEnd w:id="39"/>
      <w:r>
        <w:br w:type="page"/>
      </w:r>
    </w:p>
    <w:p w14:paraId="030AF049" w14:textId="6900806E" w:rsidR="007B6D37" w:rsidRDefault="00000000">
      <w:pPr>
        <w:pStyle w:val="Heading2"/>
      </w:pPr>
      <w:r>
        <w:lastRenderedPageBreak/>
        <w:t>Practical guidance</w:t>
      </w:r>
    </w:p>
    <w:p w14:paraId="55B0DCB0" w14:textId="77777777" w:rsidR="007B6D37" w:rsidRDefault="00000000">
      <w:pPr>
        <w:pStyle w:val="FirstParagraph"/>
      </w:pPr>
      <w:r>
        <w:t>As a rule of thumb, if individual-level correlations fall below .7 for a parameter, the design likely needs more trials or a larger sample before that parameter can support individual-differences analyses. The present simulation uses a single replication; a full simulation study should vary sample size and trial count systematically Talts et al. (</w:t>
      </w:r>
      <w:hyperlink w:anchor="ref-talts2018validating">
        <w:r>
          <w:rPr>
            <w:rStyle w:val="Hyperlink"/>
          </w:rPr>
          <w:t>2018</w:t>
        </w:r>
      </w:hyperlink>
      <w:r>
        <w:t>).</w:t>
      </w:r>
    </w:p>
    <w:p w14:paraId="79193459" w14:textId="77777777" w:rsidR="00B93516" w:rsidRDefault="00B93516" w:rsidP="00BF5F09">
      <w:pPr>
        <w:pStyle w:val="Heading2"/>
      </w:pPr>
      <w:bookmarkStart w:id="41" w:name="X075ad64b0db91a3cd0eec1300001e99e712de29"/>
    </w:p>
    <w:p w14:paraId="1DC1519B" w14:textId="1D203EE2" w:rsidR="00BF5F09" w:rsidRDefault="00BF5F09" w:rsidP="00BF5F09">
      <w:pPr>
        <w:pStyle w:val="Heading2"/>
      </w:pPr>
      <w:r>
        <w:t>Going further: more complex custom versions</w:t>
      </w:r>
    </w:p>
    <w:p w14:paraId="1C64619B" w14:textId="4FA2896E" w:rsidR="00BF5F09" w:rsidRDefault="00BF5F09" w:rsidP="00BF5F09">
      <w:pPr>
        <w:pStyle w:val="FirstParagraph"/>
      </w:pPr>
      <w:r>
        <w:t>The example</w:t>
      </w:r>
      <w:r w:rsidR="00B93516">
        <w:t xml:space="preserve"> in Tutorial 3 and 4</w:t>
      </w:r>
      <w:r>
        <w:t xml:space="preserve"> modifies only the distractor categories, keeping the same five-category structure as the </w:t>
      </w:r>
      <w:r>
        <w:rPr>
          <w:rStyle w:val="VerbatimChar"/>
        </w:rPr>
        <w:t>cs</w:t>
      </w:r>
      <w:r>
        <w:t xml:space="preserve"> version. Custom specifications can go much further: entirely new response categories, nonlinear activation formulas with design variables, and additional parameters with different link functions. The Appendix presents a more complex example — a memory updating task from </w:t>
      </w:r>
      <w:proofErr w:type="spellStart"/>
      <w:r>
        <w:t>Oberauer</w:t>
      </w:r>
      <w:proofErr w:type="spellEnd"/>
      <w:r>
        <w:t xml:space="preserve"> and Lewandowsky (</w:t>
      </w:r>
      <w:hyperlink w:anchor="ref-oberauer2019simple">
        <w:r>
          <w:rPr>
            <w:rStyle w:val="Hyperlink"/>
          </w:rPr>
          <w:t>2019</w:t>
        </w:r>
      </w:hyperlink>
      <w:r>
        <w:t>) with five estimated parameters and experimentally manipulated timing variables — to illustrate the full range of custom specifications. The accompanying scripts (</w:t>
      </w:r>
      <w:r>
        <w:rPr>
          <w:rStyle w:val="VerbatimChar"/>
        </w:rPr>
        <w:t>scripts/tutorial</w:t>
      </w:r>
      <w:r w:rsidR="00B93516">
        <w:rPr>
          <w:rStyle w:val="VerbatimChar"/>
        </w:rPr>
        <w:t>5</w:t>
      </w:r>
      <w:r>
        <w:rPr>
          <w:rStyle w:val="VerbatimChar"/>
        </w:rPr>
        <w:t>_parameter_recovery_</w:t>
      </w:r>
      <w:proofErr w:type="gramStart"/>
      <w:r>
        <w:rPr>
          <w:rStyle w:val="VerbatimChar"/>
        </w:rPr>
        <w:t>simple.R</w:t>
      </w:r>
      <w:proofErr w:type="gramEnd"/>
      <w:r>
        <w:t xml:space="preserve"> and </w:t>
      </w:r>
      <w:r>
        <w:rPr>
          <w:rStyle w:val="VerbatimChar"/>
        </w:rPr>
        <w:t>scripts/tutorial</w:t>
      </w:r>
      <w:r w:rsidR="00B93516">
        <w:rPr>
          <w:rStyle w:val="VerbatimChar"/>
        </w:rPr>
        <w:t>5</w:t>
      </w:r>
      <w:r>
        <w:rPr>
          <w:rStyle w:val="VerbatimChar"/>
        </w:rPr>
        <w:t>_parameter_</w:t>
      </w:r>
      <w:proofErr w:type="gramStart"/>
      <w:r>
        <w:rPr>
          <w:rStyle w:val="VerbatimChar"/>
        </w:rPr>
        <w:t>recovery.R</w:t>
      </w:r>
      <w:proofErr w:type="gramEnd"/>
      <w:r>
        <w:t>) provide the complete code for this advanced example.</w:t>
      </w:r>
    </w:p>
    <w:bookmarkEnd w:id="41"/>
    <w:p w14:paraId="56412F52" w14:textId="77777777" w:rsidR="00BF5F09" w:rsidRPr="00BF5F09" w:rsidRDefault="00BF5F09" w:rsidP="00BF5F09">
      <w:pPr>
        <w:pStyle w:val="BodyText"/>
      </w:pPr>
    </w:p>
    <w:p w14:paraId="7D0F204E" w14:textId="77777777" w:rsidR="007B6D37" w:rsidRDefault="00000000">
      <w:pPr>
        <w:pStyle w:val="Heading1"/>
      </w:pPr>
      <w:bookmarkStart w:id="42" w:name="summary-and-additional-resources"/>
      <w:bookmarkEnd w:id="34"/>
      <w:bookmarkEnd w:id="40"/>
      <w:r>
        <w:t>Summary and Additional Resources</w:t>
      </w:r>
    </w:p>
    <w:p w14:paraId="48575569" w14:textId="77777777" w:rsidR="007B6D37" w:rsidRDefault="00000000">
      <w:pPr>
        <w:pStyle w:val="FirstParagraph"/>
      </w:pPr>
      <w:r>
        <w:t xml:space="preserve">This tutorial covered four progressively complex applications of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using the </w:t>
      </w:r>
      <w:r>
        <w:rPr>
          <w:rStyle w:val="VerbatimChar"/>
        </w:rPr>
        <w:t>bmm</w:t>
      </w:r>
      <w:r>
        <w:t xml:space="preserve"> R package. The simple span example (Tutorial 1) introduced the full workflow — specification, fitting, evaluation, and hypothesis testing — and compared the two choice rules. The complex span example (Tutorial 2) added distractor categories, the filtering parameter </w:t>
      </w:r>
      <m:oMath>
        <m:r>
          <w:rPr>
            <w:rFonts w:ascii="Cambria Math" w:hAnsi="Cambria Math"/>
          </w:rPr>
          <m:t>f</m:t>
        </m:r>
      </m:oMath>
      <w:r>
        <w:t xml:space="preserve">, </w:t>
      </w:r>
      <w:r>
        <w:lastRenderedPageBreak/>
        <w:t xml:space="preserve">and the handling of non-identified parameters. The custom specification example (Tutorial 3) showed how to relax assumptions of a pre-built version by defining separate ratio parameters for item memory and context binding, and compared the custom version against the standard </w:t>
      </w:r>
      <w:r>
        <w:rPr>
          <w:rStyle w:val="VerbatimChar"/>
        </w:rPr>
        <w:t>cs</w:t>
      </w:r>
      <w:r>
        <w:t xml:space="preserve"> version. The parameter recovery tutorial (Tutorial 4) demonstrated how to validate a custom specification through simulation before applying it to empirical data.</w:t>
      </w:r>
    </w:p>
    <w:p w14:paraId="59746766" w14:textId="77777777" w:rsidR="007B6D37" w:rsidRDefault="00000000">
      <w:pPr>
        <w:pStyle w:val="BodyText"/>
      </w:pPr>
      <w:r>
        <w:t>A few practical recommendations. If the task produces three response categories (correct, other-list intrusion, NPL), the simple span version (</w:t>
      </w:r>
      <w:r>
        <w:rPr>
          <w:rStyle w:val="VerbatimChar"/>
        </w:rPr>
        <w:t>ss</w:t>
      </w:r>
      <w:r>
        <w:t>) is the natural starting point. Tasks with distractors that are the same material type as memoranda can fit the complex span version (</w:t>
      </w:r>
      <w:r>
        <w:rPr>
          <w:rStyle w:val="VerbatimChar"/>
        </w:rPr>
        <w:t>cs</w:t>
      </w:r>
      <w:r>
        <w:t>). For other designs, the custom version gives full control over activation formulas, parameters, and link functions. In all cases, the softmax choice rule is the recommended default based on current evidence. When defining a custom specification, running a parameter recovery simulation before data collection is good practice: it reveals whether the planned design can distinguish the parameters of interest and whether the specification is identified.</w:t>
      </w:r>
    </w:p>
    <w:p w14:paraId="61AF8E1E" w14:textId="77777777" w:rsidR="007B6D37" w:rsidRDefault="00000000">
      <w:pPr>
        <w:pStyle w:val="BodyText"/>
      </w:pPr>
      <w:r>
        <w:t xml:space="preserve">We hope that the implementation of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in the </w:t>
      </w:r>
      <w:r>
        <w:rPr>
          <w:rStyle w:val="VerbatimChar"/>
        </w:rPr>
        <w:t>bmm</w:t>
      </w:r>
      <w:r>
        <w:t xml:space="preserve"> package and the accompanying tutorials will make this modeling approach accessible to a wide range of researchers. As noted before,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is not limited to memory tasks but can be applied to any decision paradigm yielding a multinomial response distribution (</w:t>
      </w:r>
      <w:hyperlink w:anchor="ref-busemeyer1993decision">
        <w:r>
          <w:rPr>
            <w:rStyle w:val="Hyperlink"/>
          </w:rPr>
          <w:t>Busemeyer &amp; Townsend, 1993</w:t>
        </w:r>
      </w:hyperlink>
      <w:r>
        <w:t xml:space="preserve">; </w:t>
      </w:r>
      <w:hyperlink w:anchor="ref-mcfadden1974conditional">
        <w:r>
          <w:rPr>
            <w:rStyle w:val="Hyperlink"/>
          </w:rPr>
          <w:t>McFadden, 1974</w:t>
        </w:r>
      </w:hyperlink>
      <w:r>
        <w:t xml:space="preserve">; </w:t>
      </w:r>
      <w:hyperlink w:anchor="ref-roe2001multialternative">
        <w:r>
          <w:rPr>
            <w:rStyle w:val="Hyperlink"/>
          </w:rPr>
          <w:t>Roe et al., 2001</w:t>
        </w:r>
      </w:hyperlink>
      <w:r>
        <w:t>). We encourage users to explore the package documentation, experiment with different model specifications, and contribute to the ongoing development of this tool.</w:t>
      </w:r>
    </w:p>
    <w:p w14:paraId="3DD80518" w14:textId="77777777" w:rsidR="00C040A6" w:rsidRDefault="00C040A6">
      <w:pPr>
        <w:spacing w:after="200" w:line="240" w:lineRule="auto"/>
        <w:rPr>
          <w:rFonts w:asciiTheme="majorHAnsi" w:eastAsiaTheme="majorEastAsia" w:hAnsiTheme="majorHAnsi" w:cstheme="majorBidi"/>
          <w:b/>
          <w:bCs/>
          <w:szCs w:val="28"/>
        </w:rPr>
      </w:pPr>
      <w:bookmarkStart w:id="43" w:name="additional-resources"/>
      <w:r>
        <w:br w:type="page"/>
      </w:r>
    </w:p>
    <w:p w14:paraId="26EBFB7A" w14:textId="572EEA1B" w:rsidR="007B6D37" w:rsidRDefault="00000000">
      <w:pPr>
        <w:pStyle w:val="Heading2"/>
      </w:pPr>
      <w:r>
        <w:lastRenderedPageBreak/>
        <w:t>Additional resources</w:t>
      </w:r>
    </w:p>
    <w:p w14:paraId="461B4459" w14:textId="77777777" w:rsidR="007B6D37" w:rsidRDefault="00000000" w:rsidP="00C040A6">
      <w:pPr>
        <w:pStyle w:val="Compact"/>
        <w:numPr>
          <w:ilvl w:val="0"/>
          <w:numId w:val="25"/>
        </w:numPr>
        <w:spacing w:line="480" w:lineRule="auto"/>
      </w:pPr>
      <w:r>
        <w:rPr>
          <w:rStyle w:val="VerbatimChar"/>
        </w:rPr>
        <w:t>bmm</w:t>
      </w:r>
      <w:r>
        <w:t xml:space="preserve"> package documentation and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vignette: </w:t>
      </w:r>
      <w:hyperlink r:id="rId22">
        <w:r>
          <w:rPr>
            <w:rStyle w:val="Hyperlink"/>
          </w:rPr>
          <w:t>https://venpopov.github.io/bmm/articles/bmm_m3.html</w:t>
        </w:r>
      </w:hyperlink>
    </w:p>
    <w:p w14:paraId="1F19D9AF" w14:textId="77777777" w:rsidR="007B6D37" w:rsidRDefault="00000000" w:rsidP="00C040A6">
      <w:pPr>
        <w:pStyle w:val="Compact"/>
        <w:numPr>
          <w:ilvl w:val="0"/>
          <w:numId w:val="25"/>
        </w:numPr>
        <w:spacing w:line="480" w:lineRule="auto"/>
      </w:pPr>
      <w:r>
        <w:t xml:space="preserve">OSF repository with data, code, and materials: </w:t>
      </w:r>
      <w:hyperlink r:id="rId23">
        <w:r>
          <w:rPr>
            <w:rStyle w:val="Hyperlink"/>
          </w:rPr>
          <w:t>https://osf.io/yb7wm/</w:t>
        </w:r>
      </w:hyperlink>
    </w:p>
    <w:p w14:paraId="3DC0CFC3" w14:textId="77777777" w:rsidR="007B6D37" w:rsidRDefault="00000000" w:rsidP="00C040A6">
      <w:pPr>
        <w:pStyle w:val="Compact"/>
        <w:numPr>
          <w:ilvl w:val="0"/>
          <w:numId w:val="25"/>
        </w:numPr>
        <w:spacing w:line="480" w:lineRule="auto"/>
      </w:pPr>
      <w:r>
        <w:t xml:space="preserve">Full companion scripts for all four tutorials on </w:t>
      </w:r>
      <w:hyperlink r:id="rId24">
        <w:r>
          <w:rPr>
            <w:rStyle w:val="Hyperlink"/>
          </w:rPr>
          <w:t>GitHub</w:t>
        </w:r>
      </w:hyperlink>
    </w:p>
    <w:p w14:paraId="28EF46BB" w14:textId="77777777" w:rsidR="007B6D37" w:rsidRDefault="00000000" w:rsidP="00C040A6">
      <w:pPr>
        <w:pStyle w:val="Compact"/>
        <w:numPr>
          <w:ilvl w:val="0"/>
          <w:numId w:val="25"/>
        </w:numPr>
        <w:spacing w:line="480" w:lineRule="auto"/>
      </w:pP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paper: Oberauer and Lewandowsky (</w:t>
      </w:r>
      <w:hyperlink w:anchor="ref-oberauer2019simple">
        <w:r>
          <w:rPr>
            <w:rStyle w:val="Hyperlink"/>
          </w:rPr>
          <w:t>2019</w:t>
        </w:r>
      </w:hyperlink>
      <w:r>
        <w:t>)</w:t>
      </w:r>
    </w:p>
    <w:p w14:paraId="7E793412" w14:textId="77777777" w:rsidR="007B6D37" w:rsidRDefault="00000000" w:rsidP="00C040A6">
      <w:pPr>
        <w:pStyle w:val="Compact"/>
        <w:numPr>
          <w:ilvl w:val="0"/>
          <w:numId w:val="25"/>
        </w:numPr>
        <w:spacing w:line="480" w:lineRule="auto"/>
      </w:pPr>
      <w:r>
        <w:t xml:space="preserve">Systematic parameter recovery for </w:t>
      </w:r>
      <m:oMath>
        <m:sSup>
          <m:sSupPr>
            <m:ctrlPr>
              <w:rPr>
                <w:rFonts w:ascii="Cambria Math" w:hAnsi="Cambria Math"/>
              </w:rPr>
            </m:ctrlPr>
          </m:sSupPr>
          <m:e>
            <m:r>
              <w:rPr>
                <w:rFonts w:ascii="Cambria Math" w:hAnsi="Cambria Math"/>
              </w:rPr>
              <m:t>M</m:t>
            </m:r>
          </m:e>
          <m:sup>
            <m:r>
              <w:rPr>
                <w:rFonts w:ascii="Cambria Math" w:hAnsi="Cambria Math"/>
              </w:rPr>
              <m:t>3</m:t>
            </m:r>
          </m:sup>
        </m:sSup>
      </m:oMath>
      <w:r>
        <w:t>: Göttmann et al. (</w:t>
      </w:r>
      <w:hyperlink w:anchor="ref-goettmann2025recovery">
        <w:r>
          <w:rPr>
            <w:rStyle w:val="Hyperlink"/>
          </w:rPr>
          <w:t>2025</w:t>
        </w:r>
      </w:hyperlink>
      <w:r>
        <w:t>)</w:t>
      </w:r>
    </w:p>
    <w:p w14:paraId="0ACF82F7" w14:textId="77777777" w:rsidR="007B6D37" w:rsidRDefault="00000000" w:rsidP="00C040A6">
      <w:pPr>
        <w:pStyle w:val="Compact"/>
        <w:numPr>
          <w:ilvl w:val="0"/>
          <w:numId w:val="25"/>
        </w:numPr>
        <w:spacing w:line="480" w:lineRule="auto"/>
      </w:pPr>
      <w:r>
        <w:t xml:space="preserve">Companion </w:t>
      </w:r>
      <w:r>
        <w:rPr>
          <w:rStyle w:val="VerbatimChar"/>
        </w:rPr>
        <w:t>bmm</w:t>
      </w:r>
      <w:r>
        <w:t xml:space="preserve"> tutorial for continuous-response mixture models: Frischkorn and Popov (</w:t>
      </w:r>
      <w:hyperlink w:anchor="ref-frischkorn2025tutorial">
        <w:r>
          <w:rPr>
            <w:rStyle w:val="Hyperlink"/>
          </w:rPr>
          <w:t>2025</w:t>
        </w:r>
      </w:hyperlink>
      <w:r>
        <w:t>)</w:t>
      </w:r>
    </w:p>
    <w:p w14:paraId="2B5AA79C" w14:textId="6533D1D8" w:rsidR="007B6D37" w:rsidRDefault="007B6D37">
      <w:pPr>
        <w:pStyle w:val="BodyText"/>
      </w:pPr>
      <w:bookmarkStart w:id="44" w:name="Xea2674722472200de450cfebb7bfa916d1f1ed7"/>
      <w:bookmarkEnd w:id="42"/>
      <w:bookmarkEnd w:id="43"/>
    </w:p>
    <w:p w14:paraId="629438EA" w14:textId="77777777" w:rsidR="00C040A6" w:rsidRDefault="00C040A6">
      <w:pPr>
        <w:spacing w:after="200" w:line="240" w:lineRule="auto"/>
        <w:rPr>
          <w:rFonts w:asciiTheme="majorHAnsi" w:eastAsiaTheme="majorEastAsia" w:hAnsiTheme="majorHAnsi" w:cstheme="majorBidi"/>
          <w:b/>
          <w:bCs/>
          <w:szCs w:val="32"/>
        </w:rPr>
      </w:pPr>
      <w:bookmarkStart w:id="45" w:name="references"/>
      <w:bookmarkEnd w:id="44"/>
      <w:r>
        <w:br w:type="page"/>
      </w:r>
    </w:p>
    <w:p w14:paraId="4FDCE583" w14:textId="2A6AE9B3" w:rsidR="007B6D37" w:rsidRDefault="00000000">
      <w:pPr>
        <w:pStyle w:val="Heading1"/>
      </w:pPr>
      <w:r>
        <w:lastRenderedPageBreak/>
        <w:t>References</w:t>
      </w:r>
    </w:p>
    <w:p w14:paraId="685DA442" w14:textId="77777777" w:rsidR="007B6D37" w:rsidRDefault="00000000">
      <w:pPr>
        <w:pStyle w:val="Bibliography"/>
      </w:pPr>
      <w:bookmarkStart w:id="46" w:name="ref-batchelder1999theoretical"/>
      <w:bookmarkStart w:id="47" w:name="refs"/>
      <w:r>
        <w:t xml:space="preserve">Batchelder, W. H., &amp; Riefer, D. M. (1999). Theoretical and empirical review of multinomial process tree modeling. </w:t>
      </w:r>
      <w:r>
        <w:rPr>
          <w:i/>
          <w:iCs/>
        </w:rPr>
        <w:t>Psychonomic Bulletin &amp; Review</w:t>
      </w:r>
      <w:r>
        <w:t xml:space="preserve">, </w:t>
      </w:r>
      <w:r>
        <w:rPr>
          <w:i/>
          <w:iCs/>
        </w:rPr>
        <w:t>6</w:t>
      </w:r>
      <w:r>
        <w:t xml:space="preserve">(1), 57–86. </w:t>
      </w:r>
      <w:hyperlink r:id="rId25">
        <w:r>
          <w:rPr>
            <w:rStyle w:val="Hyperlink"/>
          </w:rPr>
          <w:t>https://doi.org/10.3758/BF03210812</w:t>
        </w:r>
      </w:hyperlink>
    </w:p>
    <w:p w14:paraId="6B7377BA" w14:textId="77777777" w:rsidR="007B6D37" w:rsidRDefault="00000000">
      <w:pPr>
        <w:pStyle w:val="Bibliography"/>
      </w:pPr>
      <w:bookmarkStart w:id="48" w:name="ref-burkner2017brms"/>
      <w:bookmarkEnd w:id="46"/>
      <w:r>
        <w:t xml:space="preserve">Bürkner, P.-C. (2017). brms: An R package for Bayesian multilevel models using Stan. </w:t>
      </w:r>
      <w:r>
        <w:rPr>
          <w:i/>
          <w:iCs/>
        </w:rPr>
        <w:t>Journal of Statistical Software</w:t>
      </w:r>
      <w:r>
        <w:t xml:space="preserve">, </w:t>
      </w:r>
      <w:r>
        <w:rPr>
          <w:i/>
          <w:iCs/>
        </w:rPr>
        <w:t>80</w:t>
      </w:r>
      <w:r>
        <w:t xml:space="preserve">(1), 1–28. </w:t>
      </w:r>
      <w:hyperlink r:id="rId26">
        <w:r>
          <w:rPr>
            <w:rStyle w:val="Hyperlink"/>
          </w:rPr>
          <w:t>https://doi.org/10.18637/jss.v080.i01</w:t>
        </w:r>
      </w:hyperlink>
    </w:p>
    <w:p w14:paraId="47C50F29" w14:textId="77777777" w:rsidR="007B6D37" w:rsidRDefault="00000000">
      <w:pPr>
        <w:pStyle w:val="Bibliography"/>
      </w:pPr>
      <w:bookmarkStart w:id="49" w:name="ref-busemeyer1993decision"/>
      <w:bookmarkEnd w:id="48"/>
      <w:r>
        <w:t xml:space="preserve">Busemeyer, J. R., &amp; Townsend, J. T. (1993). Decision field theory: A dynamic-cognitive approach to decision making in an uncertain environment. </w:t>
      </w:r>
      <w:r>
        <w:rPr>
          <w:i/>
          <w:iCs/>
        </w:rPr>
        <w:t>Psychological Review</w:t>
      </w:r>
      <w:r>
        <w:t xml:space="preserve">, </w:t>
      </w:r>
      <w:r>
        <w:rPr>
          <w:i/>
          <w:iCs/>
        </w:rPr>
        <w:t>100</w:t>
      </w:r>
      <w:r>
        <w:t xml:space="preserve">(3), 432–459. </w:t>
      </w:r>
      <w:hyperlink r:id="rId27">
        <w:r>
          <w:rPr>
            <w:rStyle w:val="Hyperlink"/>
          </w:rPr>
          <w:t>https://doi.org/10.1037/0033-295X.100.3.432</w:t>
        </w:r>
      </w:hyperlink>
    </w:p>
    <w:p w14:paraId="6DE363A5" w14:textId="77777777" w:rsidR="007B6D37" w:rsidRDefault="00000000">
      <w:pPr>
        <w:pStyle w:val="Bibliography"/>
      </w:pPr>
      <w:bookmarkStart w:id="50" w:name="ref-carpenter2017stan"/>
      <w:bookmarkEnd w:id="49"/>
      <w:r>
        <w:t xml:space="preserve">Carpenter, B., Gelman, A., Hoffman, M. D., Lee, D., Goodrich, B., Betancourt, M., Brauer, M., Guo, J., Li, P., &amp; Riddell, A. (2017). Stan: A probabilistic programming language. </w:t>
      </w:r>
      <w:r>
        <w:rPr>
          <w:i/>
          <w:iCs/>
        </w:rPr>
        <w:t>Journal of Statistical Software</w:t>
      </w:r>
      <w:r>
        <w:t xml:space="preserve">, </w:t>
      </w:r>
      <w:r>
        <w:rPr>
          <w:i/>
          <w:iCs/>
        </w:rPr>
        <w:t>76</w:t>
      </w:r>
      <w:r>
        <w:t xml:space="preserve">(1), 1–32. </w:t>
      </w:r>
      <w:hyperlink r:id="rId28">
        <w:r>
          <w:rPr>
            <w:rStyle w:val="Hyperlink"/>
          </w:rPr>
          <w:t>https://doi.org/10.18637/jss.v076.i01</w:t>
        </w:r>
      </w:hyperlink>
    </w:p>
    <w:p w14:paraId="4772A348" w14:textId="77777777" w:rsidR="007B6D37" w:rsidRDefault="00000000">
      <w:pPr>
        <w:pStyle w:val="Bibliography"/>
      </w:pPr>
      <w:bookmarkStart w:id="51" w:name="ref-chalmers2020simdesign"/>
      <w:bookmarkEnd w:id="50"/>
      <w:r>
        <w:t xml:space="preserve">Chalmers, R. P., &amp; Adkins, M. C. (2020). Writing effective and reliable Monte Carlo simulations with the SimDesign package. </w:t>
      </w:r>
      <w:r>
        <w:rPr>
          <w:i/>
          <w:iCs/>
        </w:rPr>
        <w:t>The Quantitative Methods for Psychology</w:t>
      </w:r>
      <w:r>
        <w:t xml:space="preserve">, </w:t>
      </w:r>
      <w:r>
        <w:rPr>
          <w:i/>
          <w:iCs/>
        </w:rPr>
        <w:t>16</w:t>
      </w:r>
      <w:r>
        <w:t xml:space="preserve">(4), 248–280. </w:t>
      </w:r>
      <w:hyperlink r:id="rId29">
        <w:r>
          <w:rPr>
            <w:rStyle w:val="Hyperlink"/>
          </w:rPr>
          <w:t>https://doi.org/10.20982/tqmp.16.4.p248</w:t>
        </w:r>
      </w:hyperlink>
    </w:p>
    <w:p w14:paraId="13EEE20B" w14:textId="77777777" w:rsidR="007B6D37" w:rsidRDefault="00000000">
      <w:pPr>
        <w:pStyle w:val="Bibliography"/>
      </w:pPr>
      <w:bookmarkStart w:id="52" w:name="ref-erdfelder2009multinomial"/>
      <w:bookmarkEnd w:id="51"/>
      <w:r>
        <w:t xml:space="preserve">Erdfelder, E., Auer, T.-S., Hilbig, B. E., Aßfalg, A., Moshagen, M., &amp; Nadarevic, L. (2009). Multinomial processing tree models: A review of the literature. </w:t>
      </w:r>
      <w:r>
        <w:rPr>
          <w:i/>
          <w:iCs/>
        </w:rPr>
        <w:t>Zeitschrift für Psychologie / Journal of Psychology</w:t>
      </w:r>
      <w:r>
        <w:t xml:space="preserve">, </w:t>
      </w:r>
      <w:r>
        <w:rPr>
          <w:i/>
          <w:iCs/>
        </w:rPr>
        <w:t>217</w:t>
      </w:r>
      <w:r>
        <w:t xml:space="preserve">(3), 108–124. </w:t>
      </w:r>
      <w:hyperlink r:id="rId30">
        <w:r>
          <w:rPr>
            <w:rStyle w:val="Hyperlink"/>
          </w:rPr>
          <w:t>https://doi.org/10.1027/0044-3409.217.3.108</w:t>
        </w:r>
      </w:hyperlink>
    </w:p>
    <w:p w14:paraId="4E626E27" w14:textId="77777777" w:rsidR="007B6D37" w:rsidRDefault="00000000">
      <w:pPr>
        <w:pStyle w:val="Bibliography"/>
      </w:pPr>
      <w:bookmarkStart w:id="53" w:name="ref-frischkorn2025tutorial"/>
      <w:bookmarkEnd w:id="52"/>
      <w:r>
        <w:t xml:space="preserve">Frischkorn, G. T., &amp; Popov, V. (2025). A tutorial for estimating Bayesian hierarchical mixture models for visual working memory tasks: Introducing the Bayesian Measurement Modeling (bmm) package for R. </w:t>
      </w:r>
      <w:r>
        <w:rPr>
          <w:i/>
          <w:iCs/>
        </w:rPr>
        <w:t>Behavior Research Methods</w:t>
      </w:r>
      <w:r>
        <w:t xml:space="preserve">, </w:t>
      </w:r>
      <w:r>
        <w:rPr>
          <w:i/>
          <w:iCs/>
        </w:rPr>
        <w:t>57</w:t>
      </w:r>
      <w:r>
        <w:t xml:space="preserve">(5), 144. </w:t>
      </w:r>
      <w:hyperlink r:id="rId31">
        <w:r>
          <w:rPr>
            <w:rStyle w:val="Hyperlink"/>
          </w:rPr>
          <w:t>https://doi.org/10.3758/s13428-025-02643-0</w:t>
        </w:r>
      </w:hyperlink>
    </w:p>
    <w:p w14:paraId="3128A3D0" w14:textId="77777777" w:rsidR="007B6D37" w:rsidRDefault="00000000">
      <w:pPr>
        <w:pStyle w:val="Bibliography"/>
      </w:pPr>
      <w:bookmarkStart w:id="54" w:name="ref-gabry2019visualization"/>
      <w:bookmarkEnd w:id="53"/>
      <w:r>
        <w:lastRenderedPageBreak/>
        <w:t xml:space="preserve">Gabry, J., Simpson, D., Vehtari, A., Betancourt, M., &amp; Gelman, A. (2019). Visualization in Bayesian workflow. </w:t>
      </w:r>
      <w:r>
        <w:rPr>
          <w:i/>
          <w:iCs/>
        </w:rPr>
        <w:t>Journal of the Royal Statistical Society: Series A (Statistics in Society)</w:t>
      </w:r>
      <w:r>
        <w:t xml:space="preserve">, </w:t>
      </w:r>
      <w:r>
        <w:rPr>
          <w:i/>
          <w:iCs/>
        </w:rPr>
        <w:t>182</w:t>
      </w:r>
      <w:r>
        <w:t xml:space="preserve">(2), 389–402. </w:t>
      </w:r>
      <w:hyperlink r:id="rId32">
        <w:r>
          <w:rPr>
            <w:rStyle w:val="Hyperlink"/>
          </w:rPr>
          <w:t>https://doi.org/10.1111/rssa.12378</w:t>
        </w:r>
      </w:hyperlink>
    </w:p>
    <w:p w14:paraId="7F212DA3" w14:textId="77777777" w:rsidR="007B6D37" w:rsidRPr="00BB76F5" w:rsidRDefault="00000000">
      <w:pPr>
        <w:pStyle w:val="Bibliography"/>
        <w:rPr>
          <w:lang w:val="de-CH"/>
        </w:rPr>
      </w:pPr>
      <w:bookmarkStart w:id="55" w:name="ref-gelman1992inference"/>
      <w:bookmarkEnd w:id="54"/>
      <w:r>
        <w:t xml:space="preserve">Gelman, A., &amp; Rubin, D. B. (1992). Inference from iterative simulation using multiple sequences. </w:t>
      </w:r>
      <w:r w:rsidRPr="00BB76F5">
        <w:rPr>
          <w:i/>
          <w:iCs/>
          <w:lang w:val="de-CH"/>
        </w:rPr>
        <w:t>Statistical Science</w:t>
      </w:r>
      <w:r w:rsidRPr="00BB76F5">
        <w:rPr>
          <w:lang w:val="de-CH"/>
        </w:rPr>
        <w:t xml:space="preserve">, </w:t>
      </w:r>
      <w:r w:rsidRPr="00BB76F5">
        <w:rPr>
          <w:i/>
          <w:iCs/>
          <w:lang w:val="de-CH"/>
        </w:rPr>
        <w:t>7</w:t>
      </w:r>
      <w:r w:rsidRPr="00BB76F5">
        <w:rPr>
          <w:lang w:val="de-CH"/>
        </w:rPr>
        <w:t xml:space="preserve">(4), 457–472. </w:t>
      </w:r>
      <w:hyperlink r:id="rId33">
        <w:r w:rsidRPr="00BB76F5">
          <w:rPr>
            <w:rStyle w:val="Hyperlink"/>
            <w:lang w:val="de-CH"/>
          </w:rPr>
          <w:t>https://doi.org/10.1214/ss/1177011136</w:t>
        </w:r>
      </w:hyperlink>
    </w:p>
    <w:p w14:paraId="36E0C691" w14:textId="77777777" w:rsidR="007B6D37" w:rsidRPr="00BB76F5" w:rsidRDefault="00000000">
      <w:pPr>
        <w:pStyle w:val="Bibliography"/>
        <w:rPr>
          <w:lang w:val="de-CH"/>
        </w:rPr>
      </w:pPr>
      <w:bookmarkStart w:id="56" w:name="ref-goettmann2025recovery"/>
      <w:bookmarkEnd w:id="55"/>
      <w:proofErr w:type="spellStart"/>
      <w:r w:rsidRPr="00BB76F5">
        <w:rPr>
          <w:lang w:val="de-CH"/>
        </w:rPr>
        <w:t>Göttmann</w:t>
      </w:r>
      <w:proofErr w:type="spellEnd"/>
      <w:r w:rsidRPr="00BB76F5">
        <w:rPr>
          <w:lang w:val="de-CH"/>
        </w:rPr>
        <w:t xml:space="preserve">, J., Frischkorn, G. T., Oberauer, K., Schaefer, S. B., &amp; Schubert, A.-L. (2025). </w:t>
      </w:r>
      <w:r>
        <w:rPr>
          <w:i/>
          <w:iCs/>
        </w:rPr>
        <w:t>Modeling individual differences in working memory: Subject-level parameter recovery within the Memory Measurement Model framework (M3)</w:t>
      </w:r>
      <w:r>
        <w:t xml:space="preserve">. </w:t>
      </w:r>
      <w:hyperlink r:id="rId34">
        <w:r w:rsidRPr="00BB76F5">
          <w:rPr>
            <w:rStyle w:val="Hyperlink"/>
            <w:lang w:val="de-CH"/>
          </w:rPr>
          <w:t>https://doi.org/10.31234/osf.io/945d2</w:t>
        </w:r>
      </w:hyperlink>
    </w:p>
    <w:p w14:paraId="682E885B" w14:textId="77777777" w:rsidR="007B6D37" w:rsidRDefault="00000000">
      <w:pPr>
        <w:pStyle w:val="Bibliography"/>
      </w:pPr>
      <w:bookmarkStart w:id="57" w:name="ref-gronau2017bridge"/>
      <w:bookmarkEnd w:id="56"/>
      <w:r w:rsidRPr="00BB76F5">
        <w:rPr>
          <w:lang w:val="de-CH"/>
        </w:rPr>
        <w:t xml:space="preserve">Gronau, Q. F., </w:t>
      </w:r>
      <w:proofErr w:type="spellStart"/>
      <w:r w:rsidRPr="00BB76F5">
        <w:rPr>
          <w:lang w:val="de-CH"/>
        </w:rPr>
        <w:t>Sarafoglou</w:t>
      </w:r>
      <w:proofErr w:type="spellEnd"/>
      <w:r w:rsidRPr="00BB76F5">
        <w:rPr>
          <w:lang w:val="de-CH"/>
        </w:rPr>
        <w:t xml:space="preserve">, A., Matzke, D., Ly, A., Boehm, U., </w:t>
      </w:r>
      <w:proofErr w:type="spellStart"/>
      <w:r w:rsidRPr="00BB76F5">
        <w:rPr>
          <w:lang w:val="de-CH"/>
        </w:rPr>
        <w:t>Marsman</w:t>
      </w:r>
      <w:proofErr w:type="spellEnd"/>
      <w:r w:rsidRPr="00BB76F5">
        <w:rPr>
          <w:lang w:val="de-CH"/>
        </w:rPr>
        <w:t xml:space="preserve">, M., Leslie, D. S., Forster, J. J., </w:t>
      </w:r>
      <w:proofErr w:type="spellStart"/>
      <w:r w:rsidRPr="00BB76F5">
        <w:rPr>
          <w:lang w:val="de-CH"/>
        </w:rPr>
        <w:t>Wagenmakers</w:t>
      </w:r>
      <w:proofErr w:type="spellEnd"/>
      <w:r w:rsidRPr="00BB76F5">
        <w:rPr>
          <w:lang w:val="de-CH"/>
        </w:rPr>
        <w:t xml:space="preserve">, E.-J., &amp; </w:t>
      </w:r>
      <w:proofErr w:type="spellStart"/>
      <w:r w:rsidRPr="00BB76F5">
        <w:rPr>
          <w:lang w:val="de-CH"/>
        </w:rPr>
        <w:t>Steingroever</w:t>
      </w:r>
      <w:proofErr w:type="spellEnd"/>
      <w:r w:rsidRPr="00BB76F5">
        <w:rPr>
          <w:lang w:val="de-CH"/>
        </w:rPr>
        <w:t xml:space="preserve">, H. (2017). </w:t>
      </w:r>
      <w:r>
        <w:t xml:space="preserve">A tutorial on bridge sampling. </w:t>
      </w:r>
      <w:r>
        <w:rPr>
          <w:i/>
          <w:iCs/>
        </w:rPr>
        <w:t>Journal of Mathematical Psychology</w:t>
      </w:r>
      <w:r>
        <w:t xml:space="preserve">, </w:t>
      </w:r>
      <w:r>
        <w:rPr>
          <w:i/>
          <w:iCs/>
        </w:rPr>
        <w:t>81</w:t>
      </w:r>
      <w:r>
        <w:t xml:space="preserve">, 80–97. </w:t>
      </w:r>
      <w:hyperlink r:id="rId35">
        <w:r>
          <w:rPr>
            <w:rStyle w:val="Hyperlink"/>
          </w:rPr>
          <w:t>https://doi.org/10.1016/j.jmp.2017.09.005</w:t>
        </w:r>
      </w:hyperlink>
    </w:p>
    <w:p w14:paraId="5C320989" w14:textId="77777777" w:rsidR="007B6D37" w:rsidRDefault="00000000">
      <w:pPr>
        <w:pStyle w:val="Bibliography"/>
      </w:pPr>
      <w:bookmarkStart w:id="58" w:name="ref-heck2018treebugs"/>
      <w:bookmarkEnd w:id="57"/>
      <w:r>
        <w:t xml:space="preserve">Heck, D. W., Arnold, N. R., &amp; Arnold, D. (2018). TreeBUGS: An R package for hierarchical multinomial-processing-tree modeling. </w:t>
      </w:r>
      <w:r>
        <w:rPr>
          <w:i/>
          <w:iCs/>
        </w:rPr>
        <w:t>Behavior Research Methods</w:t>
      </w:r>
      <w:r>
        <w:t xml:space="preserve">, </w:t>
      </w:r>
      <w:r>
        <w:rPr>
          <w:i/>
          <w:iCs/>
        </w:rPr>
        <w:t>50</w:t>
      </w:r>
      <w:r>
        <w:t xml:space="preserve">(1), 264–284. </w:t>
      </w:r>
      <w:hyperlink r:id="rId36">
        <w:r>
          <w:rPr>
            <w:rStyle w:val="Hyperlink"/>
          </w:rPr>
          <w:t>https://doi.org/10.3758/s13428-017-0869-7</w:t>
        </w:r>
      </w:hyperlink>
    </w:p>
    <w:p w14:paraId="06A4BDFD" w14:textId="77777777" w:rsidR="007B6D37" w:rsidRDefault="00000000">
      <w:pPr>
        <w:pStyle w:val="Bibliography"/>
      </w:pPr>
      <w:bookmarkStart w:id="59" w:name="ref-jacoby1991process"/>
      <w:bookmarkEnd w:id="58"/>
      <w:r>
        <w:t xml:space="preserve">Jacoby, L. L. (1991). A process dissociation framework: Separating automatic from intentional uses of memory. </w:t>
      </w:r>
      <w:r>
        <w:rPr>
          <w:i/>
          <w:iCs/>
        </w:rPr>
        <w:t>Journal of Memory and Language</w:t>
      </w:r>
      <w:r>
        <w:t xml:space="preserve">, </w:t>
      </w:r>
      <w:r>
        <w:rPr>
          <w:i/>
          <w:iCs/>
        </w:rPr>
        <w:t>30</w:t>
      </w:r>
      <w:r>
        <w:t xml:space="preserve">(5), 513–541. </w:t>
      </w:r>
      <w:hyperlink r:id="rId37">
        <w:r>
          <w:rPr>
            <w:rStyle w:val="Hyperlink"/>
          </w:rPr>
          <w:t>https://doi.org/10.1016/0749-596X(91)90025-F</w:t>
        </w:r>
      </w:hyperlink>
    </w:p>
    <w:p w14:paraId="791957FE" w14:textId="77777777" w:rsidR="007B6D37" w:rsidRDefault="00000000">
      <w:pPr>
        <w:pStyle w:val="Bibliography"/>
      </w:pPr>
      <w:bookmarkStart w:id="60" w:name="ref-li2026filtering"/>
      <w:bookmarkEnd w:id="59"/>
      <w:r>
        <w:t xml:space="preserve">Li, C., Frischkorn, G. T., &amp; Oberauer, K. (2026). Can we process information without encoding it into working memory? </w:t>
      </w:r>
      <w:r>
        <w:rPr>
          <w:i/>
          <w:iCs/>
        </w:rPr>
        <w:t>Journal of Experimental Psychology: Learning, Memory, and Cognition</w:t>
      </w:r>
      <w:r>
        <w:t xml:space="preserve">. </w:t>
      </w:r>
      <w:hyperlink r:id="rId38">
        <w:r>
          <w:rPr>
            <w:rStyle w:val="Hyperlink"/>
          </w:rPr>
          <w:t>https://doi.org/10.1037/xlm0001585</w:t>
        </w:r>
      </w:hyperlink>
    </w:p>
    <w:p w14:paraId="5C51973E" w14:textId="77777777" w:rsidR="007B6D37" w:rsidRDefault="00000000">
      <w:pPr>
        <w:pStyle w:val="Bibliography"/>
      </w:pPr>
      <w:bookmarkStart w:id="61" w:name="ref-luce1959individual"/>
      <w:bookmarkEnd w:id="60"/>
      <w:r>
        <w:t xml:space="preserve">Luce, R. D. (1959). </w:t>
      </w:r>
      <w:r>
        <w:rPr>
          <w:i/>
          <w:iCs/>
        </w:rPr>
        <w:t>Individual choice behavior: A theoretical analysis</w:t>
      </w:r>
      <w:r>
        <w:t>. John Wiley &amp; Sons.</w:t>
      </w:r>
    </w:p>
    <w:p w14:paraId="41241BFC" w14:textId="77777777" w:rsidR="007B6D37" w:rsidRDefault="00000000">
      <w:pPr>
        <w:pStyle w:val="Bibliography"/>
      </w:pPr>
      <w:bookmarkStart w:id="62" w:name="ref-mcelreath2020statistical"/>
      <w:bookmarkEnd w:id="61"/>
      <w:r>
        <w:lastRenderedPageBreak/>
        <w:t xml:space="preserve">McElreath, R. (2020). </w:t>
      </w:r>
      <w:r>
        <w:rPr>
          <w:i/>
          <w:iCs/>
        </w:rPr>
        <w:t>Statistical rethinking: A Bayesian course with examples in R and Stan</w:t>
      </w:r>
      <w:r>
        <w:t xml:space="preserve"> (2nd ed.). Chapman; Hall/CRC. </w:t>
      </w:r>
      <w:hyperlink r:id="rId39">
        <w:r>
          <w:rPr>
            <w:rStyle w:val="Hyperlink"/>
          </w:rPr>
          <w:t>https://doi.org/10.1201/9780429029608</w:t>
        </w:r>
      </w:hyperlink>
    </w:p>
    <w:p w14:paraId="2152730F" w14:textId="77777777" w:rsidR="007B6D37" w:rsidRDefault="00000000">
      <w:pPr>
        <w:pStyle w:val="Bibliography"/>
      </w:pPr>
      <w:bookmarkStart w:id="63" w:name="ref-mcfadden1974conditional"/>
      <w:bookmarkEnd w:id="62"/>
      <w:r>
        <w:t xml:space="preserve">McFadden, D. (1974). Conditional logit analysis of qualitative choice behavior. In P. Zarembka (Ed.), </w:t>
      </w:r>
      <w:r>
        <w:rPr>
          <w:i/>
          <w:iCs/>
        </w:rPr>
        <w:t>Frontiers in econometrics</w:t>
      </w:r>
      <w:r>
        <w:t xml:space="preserve"> (pp. 105–142). Academic Press.</w:t>
      </w:r>
    </w:p>
    <w:p w14:paraId="7314B820" w14:textId="77777777" w:rsidR="007B6D37" w:rsidRDefault="00000000">
      <w:pPr>
        <w:pStyle w:val="Bibliography"/>
      </w:pPr>
      <w:bookmarkStart w:id="64" w:name="ref-oberauer2019bindings"/>
      <w:bookmarkEnd w:id="63"/>
      <w:r>
        <w:t xml:space="preserve">Oberauer, K. (2019). Working memory capacity limits memory for bindings. </w:t>
      </w:r>
      <w:r>
        <w:rPr>
          <w:i/>
          <w:iCs/>
        </w:rPr>
        <w:t>Journal of Cognition</w:t>
      </w:r>
      <w:r>
        <w:t xml:space="preserve">, </w:t>
      </w:r>
      <w:r>
        <w:rPr>
          <w:i/>
          <w:iCs/>
        </w:rPr>
        <w:t>2</w:t>
      </w:r>
      <w:r>
        <w:t xml:space="preserve">(1), 40. </w:t>
      </w:r>
      <w:hyperlink r:id="rId40">
        <w:r>
          <w:rPr>
            <w:rStyle w:val="Hyperlink"/>
          </w:rPr>
          <w:t>https://doi.org/10.5334/joc.86</w:t>
        </w:r>
      </w:hyperlink>
    </w:p>
    <w:p w14:paraId="7CE88DDF" w14:textId="77777777" w:rsidR="007B6D37" w:rsidRDefault="00000000">
      <w:pPr>
        <w:pStyle w:val="Bibliography"/>
      </w:pPr>
      <w:bookmarkStart w:id="65" w:name="ref-oberauer2023measurement"/>
      <w:bookmarkEnd w:id="64"/>
      <w:r>
        <w:t xml:space="preserve">Oberauer, K. (2023). Measurement models for visual working memory—A factorial model comparison. </w:t>
      </w:r>
      <w:r>
        <w:rPr>
          <w:i/>
          <w:iCs/>
        </w:rPr>
        <w:t>Psychological Review</w:t>
      </w:r>
      <w:r>
        <w:t xml:space="preserve">, </w:t>
      </w:r>
      <w:r>
        <w:rPr>
          <w:i/>
          <w:iCs/>
        </w:rPr>
        <w:t>130</w:t>
      </w:r>
      <w:r>
        <w:t xml:space="preserve">(3), 841–852. </w:t>
      </w:r>
      <w:hyperlink r:id="rId41">
        <w:r>
          <w:rPr>
            <w:rStyle w:val="Hyperlink"/>
          </w:rPr>
          <w:t>https://doi.org/10.1037/rev0000328</w:t>
        </w:r>
      </w:hyperlink>
    </w:p>
    <w:p w14:paraId="00979396" w14:textId="77777777" w:rsidR="007B6D37" w:rsidRDefault="00000000">
      <w:pPr>
        <w:pStyle w:val="Bibliography"/>
      </w:pPr>
      <w:bookmarkStart w:id="66" w:name="ref-oberauer2019simple"/>
      <w:bookmarkEnd w:id="65"/>
      <w:r>
        <w:t xml:space="preserve">Oberauer, K., &amp; Lewandowsky, S. (2019). Simple measurement models for complex working-memory tasks. </w:t>
      </w:r>
      <w:r>
        <w:rPr>
          <w:i/>
          <w:iCs/>
        </w:rPr>
        <w:t>Psychological Review</w:t>
      </w:r>
      <w:r>
        <w:t xml:space="preserve">, </w:t>
      </w:r>
      <w:r>
        <w:rPr>
          <w:i/>
          <w:iCs/>
        </w:rPr>
        <w:t>126</w:t>
      </w:r>
      <w:r>
        <w:t xml:space="preserve">(6), 880–932. </w:t>
      </w:r>
      <w:hyperlink r:id="rId42">
        <w:r>
          <w:rPr>
            <w:rStyle w:val="Hyperlink"/>
          </w:rPr>
          <w:t>https://doi.org/10.1037/rev0000159</w:t>
        </w:r>
      </w:hyperlink>
    </w:p>
    <w:p w14:paraId="52058070" w14:textId="77777777" w:rsidR="007B6D37" w:rsidRPr="00BB76F5" w:rsidRDefault="00000000">
      <w:pPr>
        <w:pStyle w:val="Bibliography"/>
        <w:rPr>
          <w:lang w:val="de-CH"/>
        </w:rPr>
      </w:pPr>
      <w:bookmarkStart w:id="67" w:name="ref-oberauer2018benchmarks"/>
      <w:bookmarkEnd w:id="66"/>
      <w:r>
        <w:t xml:space="preserve">Oberauer, K., Lewandowsky, S., Awh, E., Brown, G. D. A., Conway, A., Cowan, N., Donkin, C., Farrell, S., Hitch, G. J., Hurlstone, M. J., Ma, W. J., Morey, C. C., Nee, D. E., Schweppe, J., Vergauwe, E., &amp; Ward, G. (2018). Benchmarks for models of short-term and working memory. </w:t>
      </w:r>
      <w:r>
        <w:rPr>
          <w:i/>
          <w:iCs/>
        </w:rPr>
        <w:t>Psychological Bulletin</w:t>
      </w:r>
      <w:r>
        <w:t xml:space="preserve">, </w:t>
      </w:r>
      <w:r>
        <w:rPr>
          <w:i/>
          <w:iCs/>
        </w:rPr>
        <w:t>144</w:t>
      </w:r>
      <w:r>
        <w:t xml:space="preserve">(9), 885–958. </w:t>
      </w:r>
      <w:hyperlink r:id="rId43">
        <w:r w:rsidRPr="00BB76F5">
          <w:rPr>
            <w:rStyle w:val="Hyperlink"/>
            <w:lang w:val="de-CH"/>
          </w:rPr>
          <w:t>https://doi.org/10.1037/bul0000153</w:t>
        </w:r>
      </w:hyperlink>
    </w:p>
    <w:p w14:paraId="381D2334" w14:textId="77777777" w:rsidR="007B6D37" w:rsidRDefault="00000000">
      <w:pPr>
        <w:pStyle w:val="Bibliography"/>
      </w:pPr>
      <w:bookmarkStart w:id="68" w:name="ref-bmm2025"/>
      <w:bookmarkEnd w:id="67"/>
      <w:r w:rsidRPr="00BB76F5">
        <w:rPr>
          <w:lang w:val="de-CH"/>
        </w:rPr>
        <w:t xml:space="preserve">Popov, V., Frischkorn, G. T., Li, C., &amp; Bürkner, P.-C. (2025). </w:t>
      </w:r>
      <w:proofErr w:type="spellStart"/>
      <w:r>
        <w:rPr>
          <w:i/>
          <w:iCs/>
        </w:rPr>
        <w:t>Bmm</w:t>
      </w:r>
      <w:proofErr w:type="spellEnd"/>
      <w:r>
        <w:rPr>
          <w:i/>
          <w:iCs/>
        </w:rPr>
        <w:t>: Easy and accessible Bayesian measurement models using ’brms’</w:t>
      </w:r>
      <w:r>
        <w:t xml:space="preserve">. </w:t>
      </w:r>
      <w:hyperlink r:id="rId44">
        <w:r>
          <w:rPr>
            <w:rStyle w:val="Hyperlink"/>
          </w:rPr>
          <w:t>https://doi.org/10.32614/CRAN.package.bmm</w:t>
        </w:r>
      </w:hyperlink>
    </w:p>
    <w:p w14:paraId="50DC5104" w14:textId="77777777" w:rsidR="007B6D37" w:rsidRDefault="00000000">
      <w:pPr>
        <w:pStyle w:val="Bibliography"/>
      </w:pPr>
      <w:bookmarkStart w:id="69" w:name="ref-roe2001multialternative"/>
      <w:bookmarkEnd w:id="68"/>
      <w:r>
        <w:t xml:space="preserve">Roe, R. M., Busemeyer, J. R., &amp; Townsend, J. T. (2001). Multialternative decision field theory: A dynamic connectionist model of decision making. </w:t>
      </w:r>
      <w:r>
        <w:rPr>
          <w:i/>
          <w:iCs/>
        </w:rPr>
        <w:t>Psychological Review</w:t>
      </w:r>
      <w:r>
        <w:t xml:space="preserve">, </w:t>
      </w:r>
      <w:r>
        <w:rPr>
          <w:i/>
          <w:iCs/>
        </w:rPr>
        <w:t>108</w:t>
      </w:r>
      <w:r>
        <w:t xml:space="preserve">(2), 370–392. </w:t>
      </w:r>
      <w:hyperlink r:id="rId45">
        <w:r>
          <w:rPr>
            <w:rStyle w:val="Hyperlink"/>
          </w:rPr>
          <w:t>https://doi.org/10.1037/0033-295X.108.2.370</w:t>
        </w:r>
      </w:hyperlink>
    </w:p>
    <w:p w14:paraId="2F1CD91A" w14:textId="77777777" w:rsidR="007B6D37" w:rsidRDefault="00000000">
      <w:pPr>
        <w:pStyle w:val="Bibliography"/>
      </w:pPr>
      <w:bookmarkStart w:id="70" w:name="ref-schad2021toward"/>
      <w:bookmarkEnd w:id="69"/>
      <w:r>
        <w:lastRenderedPageBreak/>
        <w:t xml:space="preserve">Schad, D. J., Betancourt, M., &amp; Vasishth, S. (2021). Toward a principled Bayesian workflow in cognitive science. </w:t>
      </w:r>
      <w:r>
        <w:rPr>
          <w:i/>
          <w:iCs/>
        </w:rPr>
        <w:t>Psychological Methods</w:t>
      </w:r>
      <w:r>
        <w:t xml:space="preserve">, </w:t>
      </w:r>
      <w:r>
        <w:rPr>
          <w:i/>
          <w:iCs/>
        </w:rPr>
        <w:t>26</w:t>
      </w:r>
      <w:r>
        <w:t xml:space="preserve">(1), 103–126. </w:t>
      </w:r>
      <w:hyperlink r:id="rId46">
        <w:r>
          <w:rPr>
            <w:rStyle w:val="Hyperlink"/>
          </w:rPr>
          <w:t>https://doi.org/10.1037/met0000275</w:t>
        </w:r>
      </w:hyperlink>
    </w:p>
    <w:p w14:paraId="00C17B56" w14:textId="77777777" w:rsidR="007B6D37" w:rsidRDefault="00000000">
      <w:pPr>
        <w:pStyle w:val="Bibliography"/>
      </w:pPr>
      <w:bookmarkStart w:id="71" w:name="ref-talts2018validating"/>
      <w:bookmarkEnd w:id="70"/>
      <w:r>
        <w:t xml:space="preserve">Talts, S., Betancourt, M., Simpson, D., Vehtari, A., &amp; Gelman, A. (2018). </w:t>
      </w:r>
      <w:r>
        <w:rPr>
          <w:i/>
          <w:iCs/>
        </w:rPr>
        <w:t>Validating Bayesian inference algorithms with simulation-based calibration</w:t>
      </w:r>
      <w:r>
        <w:t xml:space="preserve">. </w:t>
      </w:r>
      <w:hyperlink r:id="rId47">
        <w:r>
          <w:rPr>
            <w:rStyle w:val="Hyperlink"/>
          </w:rPr>
          <w:t>https://arxiv.org/abs/1804.06788</w:t>
        </w:r>
      </w:hyperlink>
    </w:p>
    <w:p w14:paraId="19A55142" w14:textId="77777777" w:rsidR="007B6D37" w:rsidRDefault="00000000">
      <w:pPr>
        <w:pStyle w:val="Bibliography"/>
      </w:pPr>
      <w:bookmarkStart w:id="72" w:name="ref-thurstone1927law"/>
      <w:bookmarkEnd w:id="71"/>
      <w:r>
        <w:t xml:space="preserve">Thurstone, L. L. (1927). A law of comparative judgment. </w:t>
      </w:r>
      <w:r>
        <w:rPr>
          <w:i/>
          <w:iCs/>
        </w:rPr>
        <w:t>Psychological Review</w:t>
      </w:r>
      <w:r>
        <w:t xml:space="preserve">, </w:t>
      </w:r>
      <w:r>
        <w:rPr>
          <w:i/>
          <w:iCs/>
        </w:rPr>
        <w:t>34</w:t>
      </w:r>
      <w:r>
        <w:t xml:space="preserve">(4), 273–286. </w:t>
      </w:r>
      <w:hyperlink r:id="rId48">
        <w:r>
          <w:rPr>
            <w:rStyle w:val="Hyperlink"/>
          </w:rPr>
          <w:t>https://doi.org/10.1037/h0070288</w:t>
        </w:r>
      </w:hyperlink>
    </w:p>
    <w:p w14:paraId="762B2199" w14:textId="77777777" w:rsidR="007B6D37" w:rsidRDefault="00000000">
      <w:pPr>
        <w:pStyle w:val="Bibliography"/>
      </w:pPr>
      <w:bookmarkStart w:id="73" w:name="ref-wilson2019ten"/>
      <w:bookmarkEnd w:id="72"/>
      <w:r>
        <w:t xml:space="preserve">Wilson, R. C., &amp; Collins, A. G. E. (2019). Ten simple rules for the computational modeling of behavioral data. </w:t>
      </w:r>
      <w:r>
        <w:rPr>
          <w:i/>
          <w:iCs/>
        </w:rPr>
        <w:t>eLife</w:t>
      </w:r>
      <w:r>
        <w:t xml:space="preserve">, </w:t>
      </w:r>
      <w:r>
        <w:rPr>
          <w:i/>
          <w:iCs/>
        </w:rPr>
        <w:t>8</w:t>
      </w:r>
      <w:r>
        <w:t xml:space="preserve">, e49547. </w:t>
      </w:r>
      <w:hyperlink r:id="rId49">
        <w:r>
          <w:rPr>
            <w:rStyle w:val="Hyperlink"/>
          </w:rPr>
          <w:t>https://doi.org/10.7554/eLife.49547</w:t>
        </w:r>
      </w:hyperlink>
    </w:p>
    <w:p w14:paraId="6FB4E101" w14:textId="77777777" w:rsidR="007B6D37" w:rsidRDefault="00000000">
      <w:pPr>
        <w:pStyle w:val="Bibliography"/>
      </w:pPr>
      <w:bookmarkStart w:id="74" w:name="ref-yellott1977relationship"/>
      <w:bookmarkEnd w:id="73"/>
      <w:r>
        <w:t xml:space="preserve">Yellott, Jr., John I. (1977). The relationship between Luce’s choice axiom, Thurstone’s theory of comparative judgment, and the double exponential distribution. </w:t>
      </w:r>
      <w:r>
        <w:rPr>
          <w:i/>
          <w:iCs/>
        </w:rPr>
        <w:t>Journal of Mathematical Psychology</w:t>
      </w:r>
      <w:r>
        <w:t xml:space="preserve">, </w:t>
      </w:r>
      <w:r>
        <w:rPr>
          <w:i/>
          <w:iCs/>
        </w:rPr>
        <w:t>15</w:t>
      </w:r>
      <w:r>
        <w:t xml:space="preserve">(2), 109–144. </w:t>
      </w:r>
      <w:hyperlink r:id="rId50">
        <w:r>
          <w:rPr>
            <w:rStyle w:val="Hyperlink"/>
          </w:rPr>
          <w:t>https://doi.org/10.1016/0022-2496(77)90026-8</w:t>
        </w:r>
      </w:hyperlink>
    </w:p>
    <w:p w14:paraId="0928D389" w14:textId="0FA8421A" w:rsidR="00C040A6" w:rsidRDefault="00000000">
      <w:pPr>
        <w:pStyle w:val="Bibliography"/>
      </w:pPr>
      <w:bookmarkStart w:id="75" w:name="ref-yonelinas2012process"/>
      <w:bookmarkEnd w:id="74"/>
      <w:r>
        <w:t xml:space="preserve">Yonelinas, A. P., &amp; Jacoby, L. L. (2012). The process-dissociation approach two decades later: Convergence, boundary conditions, and new directions. </w:t>
      </w:r>
      <w:r>
        <w:rPr>
          <w:i/>
          <w:iCs/>
        </w:rPr>
        <w:t>Memory &amp; Cognition</w:t>
      </w:r>
      <w:r>
        <w:t xml:space="preserve">, </w:t>
      </w:r>
      <w:r>
        <w:rPr>
          <w:i/>
          <w:iCs/>
        </w:rPr>
        <w:t>40</w:t>
      </w:r>
      <w:r>
        <w:t xml:space="preserve">(5), 663–680. </w:t>
      </w:r>
      <w:hyperlink r:id="rId51">
        <w:r>
          <w:rPr>
            <w:rStyle w:val="Hyperlink"/>
          </w:rPr>
          <w:t>https://doi.org/10.3758/s13421-012-0205-5</w:t>
        </w:r>
      </w:hyperlink>
      <w:bookmarkEnd w:id="45"/>
      <w:bookmarkEnd w:id="47"/>
      <w:bookmarkEnd w:id="75"/>
    </w:p>
    <w:p w14:paraId="44FCAAF9" w14:textId="77777777" w:rsidR="00C040A6" w:rsidRDefault="00C040A6">
      <w:pPr>
        <w:spacing w:after="200" w:line="240" w:lineRule="auto"/>
      </w:pPr>
      <w:r>
        <w:br w:type="page"/>
      </w:r>
    </w:p>
    <w:p w14:paraId="2C37EFE5" w14:textId="77777777" w:rsidR="00C040A6" w:rsidRDefault="00C040A6" w:rsidP="00C040A6">
      <w:pPr>
        <w:pStyle w:val="Heading1"/>
      </w:pPr>
      <w:r>
        <w:lastRenderedPageBreak/>
        <w:t xml:space="preserve">Appendix: Memory Updating — A More Complex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78FAEB12" w14:textId="77777777" w:rsidR="00C040A6" w:rsidRDefault="00C040A6" w:rsidP="00C040A6">
      <w:pPr>
        <w:pStyle w:val="FirstParagraph"/>
      </w:pPr>
      <w:r>
        <w:t xml:space="preserve">To illustrate how custom specifications can accommodate more complex task designs, we present a memory updating example based on </w:t>
      </w:r>
      <w:proofErr w:type="spellStart"/>
      <w:r>
        <w:t>Oberauer</w:t>
      </w:r>
      <w:proofErr w:type="spellEnd"/>
      <w:r>
        <w:t xml:space="preserve"> and Lewandowsky (</w:t>
      </w:r>
      <w:hyperlink w:anchor="ref-oberauer2019simple">
        <w:r>
          <w:rPr>
            <w:rStyle w:val="Hyperlink"/>
          </w:rPr>
          <w:t>2019</w:t>
        </w:r>
      </w:hyperlink>
      <w:r>
        <w:t xml:space="preserve">). Unlike the filtering example in Tutorial 3 (which modifies only the distractor categories of the </w:t>
      </w:r>
      <w:r>
        <w:rPr>
          <w:rStyle w:val="VerbatimChar"/>
        </w:rPr>
        <w:t>cs</w:t>
      </w:r>
      <w:r>
        <w:t xml:space="preserve"> version), this example introduces entirely new response categories, nonlinear activation formulas with design variables, and three additional parameters beyond </w:t>
      </w:r>
      <m:oMath>
        <m:r>
          <w:rPr>
            <w:rFonts w:ascii="Cambria Math" w:hAnsi="Cambria Math"/>
          </w:rPr>
          <m:t>a</m:t>
        </m:r>
      </m:oMath>
      <w:r>
        <w:t xml:space="preserve"> and </w:t>
      </w:r>
      <m:oMath>
        <m:r>
          <w:rPr>
            <w:rFonts w:ascii="Cambria Math" w:hAnsi="Cambria Math"/>
          </w:rPr>
          <m:t>c</m:t>
        </m:r>
      </m:oMath>
      <w:r>
        <w:t>.</w:t>
      </w:r>
    </w:p>
    <w:p w14:paraId="4D190B4C" w14:textId="77777777" w:rsidR="00C040A6" w:rsidRDefault="00C040A6" w:rsidP="00C040A6">
      <w:pPr>
        <w:pStyle w:val="BodyText"/>
      </w:pPr>
      <w:r>
        <w:t>In this task, participants memorize items at five positions, then each position is updated once. At test, participants identify the current target from a recognition set containing: the current target (1 option), other current items (4), the replaced item from the tested position (1), replaced items from other positions (4), and not-presented lures (5). This produces five response categories with the following activation formulas:</w:t>
      </w:r>
    </w:p>
    <w:p w14:paraId="54D342E4" w14:textId="77777777" w:rsidR="00C040A6" w:rsidRDefault="00C040A6" w:rsidP="00C040A6">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w:proofErr w:type="spellStart"/>
                    <m:r>
                      <m:rPr>
                        <m:nor/>
                      </m:rPr>
                      <m:t>oldinpos</m:t>
                    </m:r>
                    <w:proofErr w:type="spellEnd"/>
                  </m:sub>
                </m:sSub>
              </m:e>
              <m:e>
                <m:r>
                  <m:rPr>
                    <m:sty m:val="p"/>
                  </m:rPr>
                  <w:rPr>
                    <w:rFonts w:ascii="Cambria Math" w:hAnsi="Cambria Math"/>
                  </w:rPr>
                  <m:t>=</m:t>
                </m:r>
                <m:r>
                  <w:rPr>
                    <w:rFonts w:ascii="Cambria Math" w:hAnsi="Cambria Math"/>
                  </w:rPr>
                  <m:t>b</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e>
                </m:d>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w:proofErr w:type="spellStart"/>
                    <m:r>
                      <m:rPr>
                        <m:nor/>
                      </m:rPr>
                      <m:t>otherold</m:t>
                    </m:r>
                    <w:proofErr w:type="spellEnd"/>
                  </m:sub>
                </m:sSub>
              </m:e>
              <m:e>
                <m:r>
                  <m:rPr>
                    <m:sty m:val="p"/>
                  </m:rPr>
                  <w:rPr>
                    <w:rFonts w:ascii="Cambria Math" w:hAnsi="Cambria Math"/>
                  </w:rPr>
                  <m:t>=</m:t>
                </m:r>
                <m:r>
                  <w:rPr>
                    <w:rFonts w:ascii="Cambria Math" w:hAnsi="Cambria Math"/>
                  </w:rPr>
                  <m:t>b</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e>
                </m:d>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47BA0E54" w14:textId="77777777" w:rsidR="00C040A6" w:rsidRDefault="00C040A6" w:rsidP="00C040A6">
      <w:pPr>
        <w:pStyle w:val="FirstParagraph"/>
      </w:pPr>
      <w:r>
        <w:t xml:space="preserve">Three new parameters appear: </w:t>
      </w:r>
      <m:oMath>
        <m:r>
          <w:rPr>
            <w:rFonts w:ascii="Cambria Math" w:hAnsi="Cambria Math"/>
          </w:rPr>
          <m:t>d</m:t>
        </m:r>
      </m:oMath>
      <w:r>
        <w:t xml:space="preserve"> captures the residual activation of replaced items (logit link, bounded 0–1), </w:t>
      </w:r>
      <m:oMath>
        <m:r>
          <w:rPr>
            <w:rFonts w:ascii="Cambria Math" w:hAnsi="Cambria Math"/>
          </w:rPr>
          <m:t>e</m:t>
        </m:r>
      </m:oMath>
      <w:r>
        <w:t xml:space="preserve"> scales the benefit of extended encoding time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(log link, positive), and </w:t>
      </w:r>
      <m:oMath>
        <m:r>
          <w:rPr>
            <w:rFonts w:ascii="Cambria Math" w:hAnsi="Cambria Math"/>
          </w:rPr>
          <m:t>r</m:t>
        </m:r>
      </m:oMath>
      <w:r>
        <w:t xml:space="preserve"> governs how quickly old-item activation decays with removal time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(log link, positive). The terms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are experimentally manipulated design variables (each at 0.25, 0.5, and 1.0 s), producing a </w:t>
      </w:r>
      <m:oMath>
        <m:r>
          <w:rPr>
            <w:rFonts w:ascii="Cambria Math" w:hAnsi="Cambria Math"/>
          </w:rPr>
          <m:t>3</m:t>
        </m:r>
        <m:r>
          <m:rPr>
            <m:sty m:val="p"/>
          </m:rPr>
          <w:rPr>
            <w:rFonts w:ascii="Cambria Math" w:hAnsi="Cambria Math"/>
          </w:rPr>
          <m:t>×</m:t>
        </m:r>
        <m:r>
          <w:rPr>
            <w:rFonts w:ascii="Cambria Math" w:hAnsi="Cambria Math"/>
          </w:rPr>
          <m:t>3</m:t>
        </m:r>
      </m:oMath>
      <w:r>
        <w:t xml:space="preserve"> within-subjects design with 9 conditions.</w:t>
      </w:r>
    </w:p>
    <w:p w14:paraId="47C47CC4" w14:textId="77777777" w:rsidR="00C040A6" w:rsidRDefault="00C040A6" w:rsidP="00C040A6">
      <w:pPr>
        <w:pStyle w:val="BodyText"/>
      </w:pPr>
      <w:r>
        <w:t xml:space="preserve">The model definition in </w:t>
      </w:r>
      <w:proofErr w:type="spellStart"/>
      <w:r>
        <w:rPr>
          <w:rStyle w:val="VerbatimChar"/>
        </w:rPr>
        <w:t>bmm</w:t>
      </w:r>
      <w:proofErr w:type="spellEnd"/>
      <w:r>
        <w:t>:</w:t>
      </w:r>
    </w:p>
    <w:p w14:paraId="57F33348" w14:textId="77777777" w:rsidR="00C040A6" w:rsidRDefault="00C040A6" w:rsidP="00C040A6">
      <w:pPr>
        <w:pStyle w:val="SourceCode"/>
        <w:spacing w:line="240" w:lineRule="auto"/>
      </w:pPr>
      <w:r>
        <w:rPr>
          <w:rStyle w:val="NormalTok"/>
        </w:rPr>
        <w:t xml:space="preserve">m3_model_updating </w:t>
      </w:r>
      <w:r>
        <w:rPr>
          <w:rStyle w:val="OtherTok"/>
        </w:rPr>
        <w:t>&lt;-</w:t>
      </w:r>
      <w:r>
        <w:rPr>
          <w:rStyle w:val="NormalTok"/>
        </w:rPr>
        <w:t xml:space="preserve"> </w:t>
      </w:r>
      <w:r>
        <w:rPr>
          <w:rStyle w:val="FunctionTok"/>
        </w:rPr>
        <w:t>m3</w:t>
      </w:r>
      <w:r>
        <w:rPr>
          <w:rStyle w:val="NormalTok"/>
        </w:rPr>
        <w:t>(</w:t>
      </w:r>
      <w:r>
        <w:br/>
      </w:r>
      <w:r>
        <w:rPr>
          <w:rStyle w:val="NormalTok"/>
        </w:rPr>
        <w:t xml:space="preserve">  </w:t>
      </w:r>
      <w:proofErr w:type="spellStart"/>
      <w:r>
        <w:rPr>
          <w:rStyle w:val="AttributeTok"/>
        </w:rPr>
        <w:t>resp_cats</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"correct"</w:t>
      </w:r>
      <w:r>
        <w:rPr>
          <w:rStyle w:val="NormalTok"/>
        </w:rPr>
        <w:t xml:space="preserve">, </w:t>
      </w:r>
      <w:r>
        <w:rPr>
          <w:rStyle w:val="StringTok"/>
        </w:rPr>
        <w:t>"other"</w:t>
      </w:r>
      <w:r>
        <w:rPr>
          <w:rStyle w:val="NormalTok"/>
        </w:rPr>
        <w:t xml:space="preserve">, </w:t>
      </w:r>
      <w:r>
        <w:rPr>
          <w:rStyle w:val="StringTok"/>
        </w:rPr>
        <w:t>"</w:t>
      </w:r>
      <w:proofErr w:type="spellStart"/>
      <w:r>
        <w:rPr>
          <w:rStyle w:val="StringTok"/>
        </w:rPr>
        <w:t>oldinpos</w:t>
      </w:r>
      <w:proofErr w:type="spellEnd"/>
      <w:r>
        <w:rPr>
          <w:rStyle w:val="StringTok"/>
        </w:rPr>
        <w:t>"</w:t>
      </w:r>
      <w:r>
        <w:rPr>
          <w:rStyle w:val="NormalTok"/>
        </w:rPr>
        <w:t xml:space="preserve">, </w:t>
      </w:r>
      <w:r>
        <w:rPr>
          <w:rStyle w:val="StringTok"/>
        </w:rPr>
        <w:t>"</w:t>
      </w:r>
      <w:proofErr w:type="spellStart"/>
      <w:r>
        <w:rPr>
          <w:rStyle w:val="StringTok"/>
        </w:rPr>
        <w:t>otherold</w:t>
      </w:r>
      <w:proofErr w:type="spellEnd"/>
      <w:r>
        <w:rPr>
          <w:rStyle w:val="StringTok"/>
        </w:rPr>
        <w:t>"</w:t>
      </w:r>
      <w:r>
        <w:rPr>
          <w:rStyle w:val="NormalTok"/>
        </w:rPr>
        <w:t xml:space="preserve">, </w:t>
      </w:r>
      <w:r>
        <w:rPr>
          <w:rStyle w:val="StringTok"/>
        </w:rPr>
        <w:t>"</w:t>
      </w:r>
      <w:proofErr w:type="spellStart"/>
      <w:r>
        <w:rPr>
          <w:rStyle w:val="StringTok"/>
        </w:rPr>
        <w:t>npl</w:t>
      </w:r>
      <w:proofErr w:type="spellEnd"/>
      <w:r>
        <w:rPr>
          <w:rStyle w:val="StringTok"/>
        </w:rPr>
        <w:t>"</w:t>
      </w:r>
      <w:r>
        <w:rPr>
          <w:rStyle w:val="NormalTok"/>
        </w:rPr>
        <w:t>),</w:t>
      </w:r>
      <w:r>
        <w:br/>
      </w:r>
      <w:r>
        <w:rPr>
          <w:rStyle w:val="NormalTok"/>
        </w:rPr>
        <w:t xml:space="preserve">  </w:t>
      </w:r>
      <w:proofErr w:type="spellStart"/>
      <w:r>
        <w:rPr>
          <w:rStyle w:val="AttributeTok"/>
        </w:rPr>
        <w:t>num_options</w:t>
      </w:r>
      <w:proofErr w:type="spellEnd"/>
      <w:r>
        <w:rPr>
          <w:rStyle w:val="AttributeTok"/>
        </w:rPr>
        <w:t xml:space="preserve"> =</w:t>
      </w:r>
      <w:r>
        <w:rPr>
          <w:rStyle w:val="NormalTok"/>
        </w:rPr>
        <w:t xml:space="preserve"> </w:t>
      </w:r>
      <w:r>
        <w:rPr>
          <w:rStyle w:val="FunctionTok"/>
        </w:rPr>
        <w:t>c</w:t>
      </w:r>
      <w:r>
        <w:rPr>
          <w:rStyle w:val="NormalTok"/>
        </w:rPr>
        <w:t>(</w:t>
      </w:r>
      <w:r>
        <w:br/>
      </w:r>
      <w:r>
        <w:rPr>
          <w:rStyle w:val="NormalTok"/>
        </w:rPr>
        <w:t xml:space="preserve">    </w:t>
      </w:r>
      <w:r>
        <w:rPr>
          <w:rStyle w:val="StringTok"/>
        </w:rPr>
        <w:t>"</w:t>
      </w:r>
      <w:proofErr w:type="spellStart"/>
      <w:r>
        <w:rPr>
          <w:rStyle w:val="StringTok"/>
        </w:rPr>
        <w:t>n_correct</w:t>
      </w:r>
      <w:proofErr w:type="spellEnd"/>
      <w:r>
        <w:rPr>
          <w:rStyle w:val="StringTok"/>
        </w:rPr>
        <w:t>"</w:t>
      </w:r>
      <w:r>
        <w:rPr>
          <w:rStyle w:val="NormalTok"/>
        </w:rPr>
        <w:t xml:space="preserve"> </w:t>
      </w:r>
      <w:r>
        <w:rPr>
          <w:rStyle w:val="OtherTok"/>
        </w:rPr>
        <w:t>=</w:t>
      </w:r>
      <w:r>
        <w:rPr>
          <w:rStyle w:val="NormalTok"/>
        </w:rPr>
        <w:t xml:space="preserve"> </w:t>
      </w:r>
      <w:r>
        <w:rPr>
          <w:rStyle w:val="DecValTok"/>
        </w:rPr>
        <w:t>1</w:t>
      </w:r>
      <w:r>
        <w:rPr>
          <w:rStyle w:val="NormalTok"/>
        </w:rPr>
        <w:t xml:space="preserve">, </w:t>
      </w:r>
      <w:r>
        <w:rPr>
          <w:rStyle w:val="StringTok"/>
        </w:rPr>
        <w:t>"</w:t>
      </w:r>
      <w:proofErr w:type="spellStart"/>
      <w:r>
        <w:rPr>
          <w:rStyle w:val="StringTok"/>
        </w:rPr>
        <w:t>n_other</w:t>
      </w:r>
      <w:proofErr w:type="spellEnd"/>
      <w:r>
        <w:rPr>
          <w:rStyle w:val="StringTok"/>
        </w:rPr>
        <w:t>"</w:t>
      </w:r>
      <w:r>
        <w:rPr>
          <w:rStyle w:val="NormalTok"/>
        </w:rPr>
        <w:t xml:space="preserve"> </w:t>
      </w:r>
      <w:r>
        <w:rPr>
          <w:rStyle w:val="OtherTok"/>
        </w:rPr>
        <w:t>=</w:t>
      </w:r>
      <w:r>
        <w:rPr>
          <w:rStyle w:val="NormalTok"/>
        </w:rPr>
        <w:t xml:space="preserve"> </w:t>
      </w:r>
      <w:r>
        <w:rPr>
          <w:rStyle w:val="DecValTok"/>
        </w:rPr>
        <w:t>4</w:t>
      </w:r>
      <w:r>
        <w:rPr>
          <w:rStyle w:val="NormalTok"/>
        </w:rPr>
        <w:t xml:space="preserve">, </w:t>
      </w:r>
      <w:r>
        <w:rPr>
          <w:rStyle w:val="StringTok"/>
        </w:rPr>
        <w:t>"</w:t>
      </w:r>
      <w:proofErr w:type="spellStart"/>
      <w:r>
        <w:rPr>
          <w:rStyle w:val="StringTok"/>
        </w:rPr>
        <w:t>n_oldinpos</w:t>
      </w:r>
      <w:proofErr w:type="spellEnd"/>
      <w:r>
        <w:rPr>
          <w:rStyle w:val="StringTok"/>
        </w:rPr>
        <w:t>"</w:t>
      </w:r>
      <w:r>
        <w:rPr>
          <w:rStyle w:val="NormalTok"/>
        </w:rPr>
        <w:t xml:space="preserve"> </w:t>
      </w:r>
      <w:r>
        <w:rPr>
          <w:rStyle w:val="OtherTok"/>
        </w:rPr>
        <w:t>=</w:t>
      </w:r>
      <w:r>
        <w:rPr>
          <w:rStyle w:val="NormalTok"/>
        </w:rPr>
        <w:t xml:space="preserve"> </w:t>
      </w:r>
      <w:r>
        <w:rPr>
          <w:rStyle w:val="DecValTok"/>
        </w:rPr>
        <w:t>1</w:t>
      </w:r>
      <w:r>
        <w:rPr>
          <w:rStyle w:val="NormalTok"/>
        </w:rPr>
        <w:t>,</w:t>
      </w:r>
      <w:r>
        <w:br/>
      </w:r>
      <w:r>
        <w:rPr>
          <w:rStyle w:val="NormalTok"/>
        </w:rPr>
        <w:t xml:space="preserve">    </w:t>
      </w:r>
      <w:r>
        <w:rPr>
          <w:rStyle w:val="StringTok"/>
        </w:rPr>
        <w:t>"</w:t>
      </w:r>
      <w:proofErr w:type="spellStart"/>
      <w:r>
        <w:rPr>
          <w:rStyle w:val="StringTok"/>
        </w:rPr>
        <w:t>n_otherold</w:t>
      </w:r>
      <w:proofErr w:type="spellEnd"/>
      <w:r>
        <w:rPr>
          <w:rStyle w:val="StringTok"/>
        </w:rPr>
        <w:t>"</w:t>
      </w:r>
      <w:r>
        <w:rPr>
          <w:rStyle w:val="NormalTok"/>
        </w:rPr>
        <w:t xml:space="preserve"> </w:t>
      </w:r>
      <w:r>
        <w:rPr>
          <w:rStyle w:val="OtherTok"/>
        </w:rPr>
        <w:t>=</w:t>
      </w:r>
      <w:r>
        <w:rPr>
          <w:rStyle w:val="NormalTok"/>
        </w:rPr>
        <w:t xml:space="preserve"> </w:t>
      </w:r>
      <w:r>
        <w:rPr>
          <w:rStyle w:val="DecValTok"/>
        </w:rPr>
        <w:t>4</w:t>
      </w:r>
      <w:r>
        <w:rPr>
          <w:rStyle w:val="NormalTok"/>
        </w:rPr>
        <w:t xml:space="preserve">, </w:t>
      </w:r>
      <w:r>
        <w:rPr>
          <w:rStyle w:val="StringTok"/>
        </w:rPr>
        <w:t>"</w:t>
      </w:r>
      <w:proofErr w:type="spellStart"/>
      <w:r>
        <w:rPr>
          <w:rStyle w:val="StringTok"/>
        </w:rPr>
        <w:t>n_npl</w:t>
      </w:r>
      <w:proofErr w:type="spellEnd"/>
      <w:r>
        <w:rPr>
          <w:rStyle w:val="StringTok"/>
        </w:rPr>
        <w:t>"</w:t>
      </w:r>
      <w:r>
        <w:rPr>
          <w:rStyle w:val="NormalTok"/>
        </w:rPr>
        <w:t xml:space="preserve"> </w:t>
      </w:r>
      <w:r>
        <w:rPr>
          <w:rStyle w:val="OtherTok"/>
        </w:rPr>
        <w:t>=</w:t>
      </w:r>
      <w:r>
        <w:rPr>
          <w:rStyle w:val="NormalTok"/>
        </w:rPr>
        <w:t xml:space="preserve"> </w:t>
      </w:r>
      <w:r>
        <w:rPr>
          <w:rStyle w:val="DecValTok"/>
        </w:rPr>
        <w:t>5</w:t>
      </w:r>
      <w:r>
        <w:br/>
      </w:r>
      <w:r>
        <w:rPr>
          <w:rStyle w:val="NormalTok"/>
        </w:rPr>
        <w:lastRenderedPageBreak/>
        <w:t xml:space="preserve">  ),</w:t>
      </w:r>
      <w:r>
        <w:br/>
      </w:r>
      <w:r>
        <w:rPr>
          <w:rStyle w:val="NormalTok"/>
        </w:rPr>
        <w:t xml:space="preserve">  </w:t>
      </w:r>
      <w:r>
        <w:rPr>
          <w:rStyle w:val="AttributeTok"/>
        </w:rPr>
        <w:t>version     =</w:t>
      </w:r>
      <w:r>
        <w:rPr>
          <w:rStyle w:val="NormalTok"/>
        </w:rPr>
        <w:t xml:space="preserve"> </w:t>
      </w:r>
      <w:r>
        <w:rPr>
          <w:rStyle w:val="StringTok"/>
        </w:rPr>
        <w:t>"custom"</w:t>
      </w:r>
      <w:r>
        <w:rPr>
          <w:rStyle w:val="NormalTok"/>
        </w:rPr>
        <w:t>,</w:t>
      </w:r>
      <w:r>
        <w:br/>
      </w:r>
      <w:r>
        <w:rPr>
          <w:rStyle w:val="NormalTok"/>
        </w:rPr>
        <w:t xml:space="preserve">  </w:t>
      </w:r>
      <w:proofErr w:type="spellStart"/>
      <w:r>
        <w:rPr>
          <w:rStyle w:val="AttributeTok"/>
        </w:rPr>
        <w:t>choice_rule</w:t>
      </w:r>
      <w:proofErr w:type="spellEnd"/>
      <w:r>
        <w:rPr>
          <w:rStyle w:val="AttributeTok"/>
        </w:rPr>
        <w:t xml:space="preserve"> =</w:t>
      </w:r>
      <w:r>
        <w:rPr>
          <w:rStyle w:val="NormalTok"/>
        </w:rPr>
        <w:t xml:space="preserve"> </w:t>
      </w:r>
      <w:r>
        <w:rPr>
          <w:rStyle w:val="StringTok"/>
        </w:rPr>
        <w:t>"</w:t>
      </w:r>
      <w:proofErr w:type="spellStart"/>
      <w:r>
        <w:rPr>
          <w:rStyle w:val="StringTok"/>
        </w:rPr>
        <w:t>softmax</w:t>
      </w:r>
      <w:proofErr w:type="spellEnd"/>
      <w:r>
        <w:rPr>
          <w:rStyle w:val="StringTok"/>
        </w:rPr>
        <w:t>"</w:t>
      </w:r>
      <w:r>
        <w:rPr>
          <w:rStyle w:val="NormalTok"/>
        </w:rPr>
        <w:t>,</w:t>
      </w:r>
      <w:r>
        <w:br/>
      </w:r>
      <w:r>
        <w:rPr>
          <w:rStyle w:val="NormalTok"/>
        </w:rPr>
        <w:t xml:space="preserve">  </w:t>
      </w:r>
      <w:r>
        <w:rPr>
          <w:rStyle w:val="AttributeTok"/>
        </w:rPr>
        <w:t>links =</w:t>
      </w:r>
      <w:r>
        <w:rPr>
          <w:rStyle w:val="NormalTok"/>
        </w:rPr>
        <w:t xml:space="preserve"> </w:t>
      </w:r>
      <w:r>
        <w:rPr>
          <w:rStyle w:val="FunctionTok"/>
        </w:rPr>
        <w:t>list</w:t>
      </w:r>
      <w:r>
        <w:rPr>
          <w:rStyle w:val="NormalTok"/>
        </w:rPr>
        <w:t>(</w:t>
      </w:r>
      <w:r>
        <w:br/>
      </w:r>
      <w:r>
        <w:rPr>
          <w:rStyle w:val="NormalTok"/>
        </w:rPr>
        <w:t xml:space="preserve">    </w:t>
      </w:r>
      <w:r>
        <w:rPr>
          <w:rStyle w:val="AttributeTok"/>
        </w:rPr>
        <w:t>a =</w:t>
      </w:r>
      <w:r>
        <w:rPr>
          <w:rStyle w:val="NormalTok"/>
        </w:rPr>
        <w:t xml:space="preserve"> </w:t>
      </w:r>
      <w:r>
        <w:rPr>
          <w:rStyle w:val="StringTok"/>
        </w:rPr>
        <w:t>"identity"</w:t>
      </w:r>
      <w:r>
        <w:rPr>
          <w:rStyle w:val="NormalTok"/>
        </w:rPr>
        <w:t xml:space="preserve">, </w:t>
      </w:r>
      <w:r>
        <w:rPr>
          <w:rStyle w:val="AttributeTok"/>
        </w:rPr>
        <w:t>c =</w:t>
      </w:r>
      <w:r>
        <w:rPr>
          <w:rStyle w:val="NormalTok"/>
        </w:rPr>
        <w:t xml:space="preserve"> </w:t>
      </w:r>
      <w:r>
        <w:rPr>
          <w:rStyle w:val="StringTok"/>
        </w:rPr>
        <w:t>"identity"</w:t>
      </w:r>
      <w:r>
        <w:rPr>
          <w:rStyle w:val="NormalTok"/>
        </w:rPr>
        <w:t>,</w:t>
      </w:r>
      <w:r>
        <w:br/>
      </w:r>
      <w:r>
        <w:rPr>
          <w:rStyle w:val="NormalTok"/>
        </w:rPr>
        <w:t xml:space="preserve">    </w:t>
      </w:r>
      <w:r>
        <w:rPr>
          <w:rStyle w:val="AttributeTok"/>
        </w:rPr>
        <w:t>d =</w:t>
      </w:r>
      <w:r>
        <w:rPr>
          <w:rStyle w:val="NormalTok"/>
        </w:rPr>
        <w:t xml:space="preserve"> </w:t>
      </w:r>
      <w:r>
        <w:rPr>
          <w:rStyle w:val="StringTok"/>
        </w:rPr>
        <w:t>"logit"</w:t>
      </w:r>
      <w:r>
        <w:rPr>
          <w:rStyle w:val="NormalTok"/>
        </w:rPr>
        <w:t xml:space="preserve">, </w:t>
      </w:r>
      <w:r>
        <w:rPr>
          <w:rStyle w:val="AttributeTok"/>
        </w:rPr>
        <w:t>e =</w:t>
      </w:r>
      <w:r>
        <w:rPr>
          <w:rStyle w:val="NormalTok"/>
        </w:rPr>
        <w:t xml:space="preserve"> </w:t>
      </w:r>
      <w:r>
        <w:rPr>
          <w:rStyle w:val="StringTok"/>
        </w:rPr>
        <w:t>"log"</w:t>
      </w:r>
      <w:r>
        <w:rPr>
          <w:rStyle w:val="NormalTok"/>
        </w:rPr>
        <w:t xml:space="preserve">, </w:t>
      </w:r>
      <w:r>
        <w:rPr>
          <w:rStyle w:val="AttributeTok"/>
        </w:rPr>
        <w:t>r =</w:t>
      </w:r>
      <w:r>
        <w:rPr>
          <w:rStyle w:val="NormalTok"/>
        </w:rPr>
        <w:t xml:space="preserve"> </w:t>
      </w:r>
      <w:r>
        <w:rPr>
          <w:rStyle w:val="StringTok"/>
        </w:rPr>
        <w:t>"log"</w:t>
      </w:r>
      <w:r>
        <w:br/>
      </w:r>
      <w:r>
        <w:rPr>
          <w:rStyle w:val="NormalTok"/>
        </w:rPr>
        <w:t xml:space="preserve">  )</w:t>
      </w:r>
      <w:r>
        <w:br/>
      </w:r>
      <w:r>
        <w:rPr>
          <w:rStyle w:val="NormalTok"/>
        </w:rPr>
        <w:t>)</w:t>
      </w:r>
      <w:r>
        <w:br/>
      </w:r>
      <w:r>
        <w:br/>
      </w:r>
      <w:r>
        <w:rPr>
          <w:rStyle w:val="NormalTok"/>
        </w:rPr>
        <w:t xml:space="preserve">m3_act_funs_updating </w:t>
      </w:r>
      <w:r>
        <w:rPr>
          <w:rStyle w:val="OtherTok"/>
        </w:rPr>
        <w:t>&lt;-</w:t>
      </w:r>
      <w:r>
        <w:rPr>
          <w:rStyle w:val="NormalTok"/>
        </w:rPr>
        <w:t xml:space="preserve"> </w:t>
      </w:r>
      <w:proofErr w:type="spellStart"/>
      <w:r>
        <w:rPr>
          <w:rStyle w:val="FunctionTok"/>
        </w:rPr>
        <w:t>bmf</w:t>
      </w:r>
      <w:proofErr w:type="spellEnd"/>
      <w:r>
        <w:rPr>
          <w:rStyle w:val="NormalTok"/>
        </w:rPr>
        <w:t>(</w:t>
      </w:r>
      <w:r>
        <w:br/>
      </w:r>
      <w:r>
        <w:rPr>
          <w:rStyle w:val="NormalTok"/>
        </w:rPr>
        <w:t xml:space="preserve">  correct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w:t>
      </w:r>
      <w:proofErr w:type="spellStart"/>
      <w:r>
        <w:rPr>
          <w:rStyle w:val="NormalTok"/>
        </w:rPr>
        <w:t>te</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other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w:t>
      </w:r>
      <w:proofErr w:type="spellStart"/>
      <w:r>
        <w:rPr>
          <w:rStyle w:val="NormalTok"/>
        </w:rPr>
        <w:t>te</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w:t>
      </w:r>
      <w:proofErr w:type="spellStart"/>
      <w:r>
        <w:rPr>
          <w:rStyle w:val="NormalTok"/>
        </w:rPr>
        <w:t>oldinpos</w:t>
      </w:r>
      <w:proofErr w:type="spellEnd"/>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 </w:t>
      </w:r>
      <w:r>
        <w:rPr>
          <w:rStyle w:val="SpecialCharTok"/>
        </w:rPr>
        <w:t>*</w:t>
      </w:r>
      <w:r>
        <w:rPr>
          <w:rStyle w:val="NormalTok"/>
        </w:rPr>
        <w:t xml:space="preserve"> tr) </w:t>
      </w:r>
      <w:r>
        <w:rPr>
          <w:rStyle w:val="SpecialCharTok"/>
        </w:rPr>
        <w:t>*</w:t>
      </w:r>
      <w:r>
        <w:rPr>
          <w:rStyle w:val="NormalTok"/>
        </w:rPr>
        <w:t xml:space="preserve"> d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w:t>
      </w:r>
      <w:proofErr w:type="spellStart"/>
      <w:r>
        <w:rPr>
          <w:rStyle w:val="NormalTok"/>
        </w:rPr>
        <w:t>te</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w:t>
      </w:r>
      <w:proofErr w:type="spellStart"/>
      <w:r>
        <w:rPr>
          <w:rStyle w:val="NormalTok"/>
        </w:rPr>
        <w:t>otherold</w:t>
      </w:r>
      <w:proofErr w:type="spellEnd"/>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 </w:t>
      </w:r>
      <w:r>
        <w:rPr>
          <w:rStyle w:val="SpecialCharTok"/>
        </w:rPr>
        <w:t>*</w:t>
      </w:r>
      <w:r>
        <w:rPr>
          <w:rStyle w:val="NormalTok"/>
        </w:rPr>
        <w:t xml:space="preserve"> tr) </w:t>
      </w:r>
      <w:r>
        <w:rPr>
          <w:rStyle w:val="SpecialCharTok"/>
        </w:rPr>
        <w:t>*</w:t>
      </w:r>
      <w:r>
        <w:rPr>
          <w:rStyle w:val="NormalTok"/>
        </w:rPr>
        <w:t xml:space="preserve"> d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w:t>
      </w:r>
      <w:proofErr w:type="spellStart"/>
      <w:r>
        <w:rPr>
          <w:rStyle w:val="NormalTok"/>
        </w:rPr>
        <w:t>te</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w:t>
      </w:r>
      <w:proofErr w:type="spellStart"/>
      <w:r>
        <w:rPr>
          <w:rStyle w:val="NormalTok"/>
        </w:rPr>
        <w:t>npl</w:t>
      </w:r>
      <w:proofErr w:type="spellEnd"/>
      <w:r>
        <w:rPr>
          <w:rStyle w:val="NormalTok"/>
        </w:rPr>
        <w:t xml:space="preserve">      </w:t>
      </w:r>
      <w:r>
        <w:rPr>
          <w:rStyle w:val="SpecialCharTok"/>
        </w:rPr>
        <w:t>~</w:t>
      </w:r>
      <w:r>
        <w:rPr>
          <w:rStyle w:val="NormalTok"/>
        </w:rPr>
        <w:t xml:space="preserve"> b</w:t>
      </w:r>
      <w:r>
        <w:br/>
      </w:r>
      <w:r>
        <w:rPr>
          <w:rStyle w:val="NormalTok"/>
        </w:rPr>
        <w:t>)</w:t>
      </w:r>
    </w:p>
    <w:p w14:paraId="28034752" w14:textId="77777777" w:rsidR="00C040A6" w:rsidRDefault="00C040A6" w:rsidP="00C040A6">
      <w:pPr>
        <w:pStyle w:val="FirstParagraph"/>
        <w:spacing w:before="240"/>
      </w:pPr>
      <w:r>
        <w:t xml:space="preserve">Note that </w:t>
      </w:r>
      <w:proofErr w:type="spellStart"/>
      <w:r>
        <w:rPr>
          <w:rStyle w:val="VerbatimChar"/>
        </w:rPr>
        <w:t>te</w:t>
      </w:r>
      <w:proofErr w:type="spellEnd"/>
      <w:r>
        <w:t xml:space="preserve"> and </w:t>
      </w:r>
      <w:r>
        <w:rPr>
          <w:rStyle w:val="VerbatimChar"/>
        </w:rPr>
        <w:t>tr</w:t>
      </w:r>
      <w:r>
        <w:t xml:space="preserve"> appear in the formulas but are not estimated parameters — they are data columns whose values vary across conditions. When </w:t>
      </w:r>
      <w:proofErr w:type="spellStart"/>
      <w:r>
        <w:rPr>
          <w:rStyle w:val="VerbatimChar"/>
        </w:rPr>
        <w:t>bmm</w:t>
      </w:r>
      <w:proofErr w:type="spellEnd"/>
      <w:r>
        <w:t xml:space="preserve"> encounters variables in activation formulas that are not listed as model parameters, it treats them as data columns. This allows custom specifications to incorporate experimentally manipulated design variables directly into the activation equations.</w:t>
      </w:r>
    </w:p>
    <w:p w14:paraId="5A307292" w14:textId="20D3D96D" w:rsidR="007B6D37" w:rsidRDefault="00C040A6" w:rsidP="00C040A6">
      <w:pPr>
        <w:pStyle w:val="Bibliography"/>
        <w:ind w:left="0" w:firstLine="720"/>
      </w:pPr>
      <w:r>
        <w:t>Complete parameter recovery simulations for this model — varying sample size (</w:t>
      </w:r>
      <m:oMath>
        <m:r>
          <w:rPr>
            <w:rFonts w:ascii="Cambria Math" w:hAnsi="Cambria Math"/>
          </w:rPr>
          <m:t>N</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oMath>
      <w:r>
        <w:t>) and trials per condition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oMath>
      <w:r>
        <w:t>) — are available in the companion scripts (</w:t>
      </w:r>
      <w:r>
        <w:rPr>
          <w:rStyle w:val="VerbatimChar"/>
        </w:rPr>
        <w:t>scripts/tutorial5_parameter_recovery_updating_simple.R</w:t>
      </w:r>
      <w:r>
        <w:t xml:space="preserve"> for a single cell walkthrough, </w:t>
      </w:r>
      <w:r>
        <w:rPr>
          <w:rStyle w:val="VerbatimChar"/>
        </w:rPr>
        <w:t>scripts/tutorial5_parameter_recovery_updating.R</w:t>
      </w:r>
      <w:r>
        <w:t xml:space="preserve"> for the full design grid) and in the online supplement. These scripts demonstrate how recovery quality depends on both the number of participants and the amount of data per </w:t>
      </w:r>
      <w:proofErr w:type="gramStart"/>
      <w:r>
        <w:t>participant, and</w:t>
      </w:r>
      <w:proofErr w:type="gramEnd"/>
      <w:r>
        <w:t xml:space="preserve"> can serve as templates for validating other custom specifications.</w:t>
      </w:r>
    </w:p>
    <w:sectPr w:rsidR="007B6D37">
      <w:headerReference w:type="default" r:id="rId5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F00B5" w14:textId="77777777" w:rsidR="00BF59C0" w:rsidRDefault="00BF59C0">
      <w:pPr>
        <w:spacing w:line="240" w:lineRule="auto"/>
      </w:pPr>
      <w:r>
        <w:separator/>
      </w:r>
    </w:p>
  </w:endnote>
  <w:endnote w:type="continuationSeparator" w:id="0">
    <w:p w14:paraId="57681A5C" w14:textId="77777777" w:rsidR="00BF59C0" w:rsidRDefault="00BF59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EE1AA" w14:textId="77777777" w:rsidR="00BF59C0" w:rsidRDefault="00BF59C0">
      <w:pPr>
        <w:spacing w:line="240" w:lineRule="auto"/>
      </w:pPr>
      <w:r>
        <w:separator/>
      </w:r>
    </w:p>
  </w:footnote>
  <w:footnote w:type="continuationSeparator" w:id="0">
    <w:p w14:paraId="545A3301" w14:textId="77777777" w:rsidR="00BF59C0" w:rsidRDefault="00BF59C0">
      <w:pPr>
        <w:spacing w:line="240" w:lineRule="auto"/>
      </w:pPr>
      <w:r>
        <w:continuationSeparator/>
      </w:r>
    </w:p>
  </w:footnote>
  <w:footnote w:id="1">
    <w:p w14:paraId="2DD642FE" w14:textId="77777777" w:rsidR="007B6D37" w:rsidRDefault="00000000" w:rsidP="00BB76F5">
      <w:pPr>
        <w:pStyle w:val="FootnoteText"/>
        <w:spacing w:line="240" w:lineRule="auto"/>
      </w:pPr>
      <w:r>
        <w:rPr>
          <w:rStyle w:val="FootnoteReference"/>
        </w:rPr>
        <w:footnoteRef/>
      </w:r>
      <w:r>
        <w:t xml:space="preserve"> Readers familiar with multinomial processing tree (MPT) models will note similarities: both frameworks decompose categorical response distributions into latent process parameters. However, whereas MPT models use discrete processing trees with binary branching probabilities (</w:t>
      </w:r>
      <w:hyperlink w:anchor="ref-batchelder1999theoretical">
        <w:r>
          <w:rPr>
            <w:rStyle w:val="Hyperlink"/>
          </w:rPr>
          <w:t>Batchelder &amp; Riefer, 1999</w:t>
        </w:r>
      </w:hyperlink>
      <w:r>
        <w:t xml:space="preserve">; e.g., </w:t>
      </w:r>
      <w:hyperlink w:anchor="ref-heck2018treebugs">
        <w:r>
          <w:rPr>
            <w:rStyle w:val="Hyperlink"/>
          </w:rPr>
          <w:t>Heck et al., 2018</w:t>
        </w:r>
      </w:hyperlink>
      <w:r>
        <w:t xml:space="preserve"> for Bayesian hierarchical implementations),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uses continuous activation values with competitive selection, making it particularly suited for theories emphasizing graded memory strength (for a detailed comparison, see </w:t>
      </w:r>
      <w:hyperlink w:anchor="ref-oberauer2019simple">
        <w:r>
          <w:rPr>
            <w:rStyle w:val="Hyperlink"/>
          </w:rPr>
          <w:t>Oberauer &amp; Lewandowsky, 2019</w:t>
        </w:r>
      </w:hyperlink>
      <w:r>
        <w:t>).</w:t>
      </w:r>
    </w:p>
  </w:footnote>
  <w:footnote w:id="2">
    <w:p w14:paraId="0FD4E683" w14:textId="77777777" w:rsidR="007B6D37" w:rsidRDefault="00000000" w:rsidP="00BB76F5">
      <w:pPr>
        <w:pStyle w:val="FootnoteText"/>
        <w:spacing w:line="240" w:lineRule="auto"/>
      </w:pPr>
      <w:r>
        <w:rPr>
          <w:rStyle w:val="FootnoteReference"/>
        </w:rPr>
        <w:footnoteRef/>
      </w:r>
      <w:r>
        <w:t xml:space="preserve"> Although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was concieved as a measurement tool, it can thus be used to implement and test specific theoretical assumptions. For example, similarity between spatial positions could be implemented by other list items getting a partial boost from context binding dependent on their distance to the currently cued position. Thereby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sits at the intersection of measurement and process models, it can account for the interplay of different processes, but does not provide any implementation of the activation sources and why they might differ in strength.</w:t>
      </w:r>
    </w:p>
  </w:footnote>
  <w:footnote w:id="3">
    <w:p w14:paraId="759BFA11" w14:textId="77777777" w:rsidR="007B6D37" w:rsidRDefault="00000000" w:rsidP="00BB76F5">
      <w:pPr>
        <w:pStyle w:val="FootnoteText"/>
        <w:spacing w:line="240" w:lineRule="auto"/>
      </w:pPr>
      <w:r>
        <w:rPr>
          <w:rStyle w:val="FootnoteReference"/>
        </w:rPr>
        <w:footnoteRef/>
      </w:r>
      <w:r>
        <w:t xml:space="preserve"> For details on the </w:t>
      </w:r>
      <w:r>
        <w:rPr>
          <w:rStyle w:val="VerbatimChar"/>
        </w:rPr>
        <w:t>bmmformula</w:t>
      </w:r>
      <w:r>
        <w:t xml:space="preserve"> syntax, see </w:t>
      </w:r>
      <w:hyperlink r:id="rId1">
        <w:r>
          <w:rPr>
            <w:rStyle w:val="Hyperlink"/>
          </w:rPr>
          <w:t>https://venpopov.com/bmm/articles/bmm_bmmformula.html</w:t>
        </w:r>
      </w:hyperlink>
      <w:r>
        <w:t>.</w:t>
      </w:r>
    </w:p>
  </w:footnote>
  <w:footnote w:id="4">
    <w:p w14:paraId="7BD54D24" w14:textId="77777777" w:rsidR="007B6D37" w:rsidRDefault="00000000" w:rsidP="00BB76F5">
      <w:pPr>
        <w:pStyle w:val="FootnoteText"/>
        <w:spacing w:line="240" w:lineRule="auto"/>
      </w:pPr>
      <w:r>
        <w:rPr>
          <w:rStyle w:val="FootnoteReference"/>
        </w:rPr>
        <w:footnoteRef/>
      </w:r>
      <w:r>
        <w:t xml:space="preserve"> We are continuously working on extending the post-processing functions to accommodate the specific requirements of the measurement models implemented in the </w:t>
      </w:r>
      <w:r>
        <w:rPr>
          <w:rStyle w:val="VerbatimChar"/>
        </w:rPr>
        <w:t>bmm</w:t>
      </w:r>
      <w:r>
        <w:t xml:space="preserve"> R package.</w:t>
      </w:r>
    </w:p>
  </w:footnote>
  <w:footnote w:id="5">
    <w:p w14:paraId="40FD5EBB" w14:textId="77777777" w:rsidR="007B6D37" w:rsidRDefault="00000000" w:rsidP="00BB76F5">
      <w:pPr>
        <w:pStyle w:val="FootnoteText"/>
        <w:spacing w:line="240" w:lineRule="auto"/>
      </w:pPr>
      <w:r>
        <w:rPr>
          <w:rStyle w:val="FootnoteReference"/>
        </w:rPr>
        <w:footnoteRef/>
      </w:r>
      <w:r>
        <w:t xml:space="preserve"> For details on the specification of the </w:t>
      </w:r>
      <w:r>
        <w:rPr>
          <w:rStyle w:val="VerbatimChar"/>
        </w:rPr>
        <w:t>bmmformula</w:t>
      </w:r>
      <w:r>
        <w:t xml:space="preserve">, see the </w:t>
      </w:r>
      <w:r>
        <w:rPr>
          <w:rStyle w:val="VerbatimChar"/>
        </w:rPr>
        <w:t>bmm</w:t>
      </w:r>
      <w:r>
        <w:t xml:space="preserve"> package documentation and the documentation of the </w:t>
      </w:r>
      <w:r>
        <w:rPr>
          <w:rStyle w:val="VerbatimChar"/>
        </w:rPr>
        <w:t>brmsformula</w:t>
      </w:r>
      <w:r>
        <w:t xml:space="preserve"> function on which it builds.</w:t>
      </w:r>
    </w:p>
  </w:footnote>
  <w:footnote w:id="6">
    <w:p w14:paraId="53280120" w14:textId="77777777" w:rsidR="007B6D37" w:rsidRDefault="00000000" w:rsidP="00BB76F5">
      <w:pPr>
        <w:pStyle w:val="FootnoteText"/>
        <w:spacing w:line="240" w:lineRule="auto"/>
      </w:pPr>
      <w:r>
        <w:rPr>
          <w:rStyle w:val="FootnoteReference"/>
        </w:rPr>
        <w:footnoteRef/>
      </w:r>
      <w:r>
        <w:t xml:space="preserve"> These are all additional options that are passed to </w:t>
      </w:r>
      <w:r>
        <w:rPr>
          <w:rStyle w:val="VerbatimChar"/>
        </w:rPr>
        <w:t>brms</w:t>
      </w:r>
      <w:r>
        <w:t xml:space="preserve"> and can be modified as needed. For details on these additional arguments, please refer to </w:t>
      </w:r>
      <w:r>
        <w:rPr>
          <w:rStyle w:val="VerbatimChar"/>
        </w:rPr>
        <w:t>brm()</w:t>
      </w:r>
      <w:r>
        <w:t xml:space="preserve"> documentation.</w:t>
      </w:r>
    </w:p>
  </w:footnote>
  <w:footnote w:id="7">
    <w:p w14:paraId="40C0169F" w14:textId="77777777" w:rsidR="007B6D37" w:rsidRDefault="00000000" w:rsidP="00BB76F5">
      <w:pPr>
        <w:pStyle w:val="FootnoteText"/>
        <w:spacing w:line="240" w:lineRule="auto"/>
      </w:pPr>
      <w:r>
        <w:rPr>
          <w:rStyle w:val="FootnoteReference"/>
        </w:rPr>
        <w:footnoteRef/>
      </w:r>
      <w:r>
        <w:t xml:space="preserve"> In principle, the measurement models implemented in </w:t>
      </w:r>
      <w:r>
        <w:rPr>
          <w:rStyle w:val="VerbatimChar"/>
        </w:rPr>
        <w:t>bmm</w:t>
      </w:r>
      <w:r>
        <w:t xml:space="preserve"> are similar to all other Bayesian generalized linear models and thus similar criteria for convergence apply. For guidance on Bayesian convergence diagnostics, see Gabry et al. (</w:t>
      </w:r>
      <w:hyperlink w:anchor="ref-gabry2019visualization">
        <w:r>
          <w:rPr>
            <w:rStyle w:val="Hyperlink"/>
          </w:rPr>
          <w:t>2019</w:t>
        </w:r>
      </w:hyperlink>
      <w:r>
        <w:t xml:space="preserve">) and the </w:t>
      </w:r>
      <w:r>
        <w:rPr>
          <w:rStyle w:val="VerbatimChar"/>
        </w:rPr>
        <w:t>brms</w:t>
      </w:r>
      <w:r>
        <w:t xml:space="preserve"> documentation.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4677"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BB76F5">
          <w:t>FITTING THE M^3 WITH THE BMM R PACKAGE</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2EFD19C6" w14:textId="77777777" w:rsidR="00340B9E" w:rsidRDefault="00340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C14869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150CDC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0B249F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3"/>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769081271">
    <w:abstractNumId w:val="10"/>
  </w:num>
  <w:num w:numId="23" w16cid:durableId="301496994">
    <w:abstractNumId w:val="11"/>
  </w:num>
  <w:num w:numId="24" w16cid:durableId="10654931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058849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1271"/>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3BAB"/>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B6D37"/>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7110C"/>
    <w:rsid w:val="00B830DE"/>
    <w:rsid w:val="00B83793"/>
    <w:rsid w:val="00B93516"/>
    <w:rsid w:val="00B94715"/>
    <w:rsid w:val="00BB3FEC"/>
    <w:rsid w:val="00BB5C76"/>
    <w:rsid w:val="00BB76F5"/>
    <w:rsid w:val="00BD022F"/>
    <w:rsid w:val="00BF59C0"/>
    <w:rsid w:val="00BF5F09"/>
    <w:rsid w:val="00C040A6"/>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622B7"/>
    <w:rsid w:val="00E71E11"/>
    <w:rsid w:val="00E868AE"/>
    <w:rsid w:val="00E90878"/>
    <w:rsid w:val="00EA4191"/>
    <w:rsid w:val="00EA785F"/>
    <w:rsid w:val="00EA7B31"/>
    <w:rsid w:val="00F13DD4"/>
    <w:rsid w:val="00F3598F"/>
    <w:rsid w:val="00F57810"/>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F8678"/>
  <w15:docId w15:val="{006375CF-0C96-8A4B-AD7A-14CA32F9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hyperlink" Target="https://doi.org/10.18637/jss.v080.i01" TargetMode="External"/><Relationship Id="rId39" Type="http://schemas.openxmlformats.org/officeDocument/2006/relationships/hyperlink" Target="https://doi.org/10.1201/9780429029608" TargetMode="External"/><Relationship Id="rId21" Type="http://schemas.openxmlformats.org/officeDocument/2006/relationships/image" Target="media/image12.emf"/><Relationship Id="rId34" Type="http://schemas.openxmlformats.org/officeDocument/2006/relationships/hyperlink" Target="https://doi.org/10.31234/osf.io/945d2" TargetMode="External"/><Relationship Id="rId42" Type="http://schemas.openxmlformats.org/officeDocument/2006/relationships/hyperlink" Target="https://doi.org/10.1037/rev0000159" TargetMode="External"/><Relationship Id="rId47" Type="http://schemas.openxmlformats.org/officeDocument/2006/relationships/hyperlink" Target="https://arxiv.org/abs/1804.06788" TargetMode="External"/><Relationship Id="rId50" Type="http://schemas.openxmlformats.org/officeDocument/2006/relationships/hyperlink" Target="https://doi.org/10.1016/0022-2496(77)90026-8"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emf"/><Relationship Id="rId29" Type="http://schemas.openxmlformats.org/officeDocument/2006/relationships/hyperlink" Target="https://doi.org/10.20982/tqmp.16.4.p248" TargetMode="External"/><Relationship Id="rId11" Type="http://schemas.openxmlformats.org/officeDocument/2006/relationships/hyperlink" Target="mailto:gidon.frischkorn@psychologie.uzh.ch" TargetMode="External"/><Relationship Id="rId24" Type="http://schemas.openxmlformats.org/officeDocument/2006/relationships/hyperlink" Target="https://github.com/GidonFrischkorn/tutorial-m3-bmm" TargetMode="External"/><Relationship Id="rId32" Type="http://schemas.openxmlformats.org/officeDocument/2006/relationships/hyperlink" Target="https://doi.org/10.1111/rssa.12378" TargetMode="External"/><Relationship Id="rId37" Type="http://schemas.openxmlformats.org/officeDocument/2006/relationships/hyperlink" Target="https://doi.org/10.1016/0749-596X(91)90025-F" TargetMode="External"/><Relationship Id="rId40" Type="http://schemas.openxmlformats.org/officeDocument/2006/relationships/hyperlink" Target="https://doi.org/10.5334/joc.86" TargetMode="External"/><Relationship Id="rId45" Type="http://schemas.openxmlformats.org/officeDocument/2006/relationships/hyperlink" Target="https://doi.org/10.1037/0033-295X.108.2.370"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orcid.org/0000-0001-8815-6189" TargetMode="External"/><Relationship Id="rId19" Type="http://schemas.openxmlformats.org/officeDocument/2006/relationships/image" Target="media/image10.emf"/><Relationship Id="rId31" Type="http://schemas.openxmlformats.org/officeDocument/2006/relationships/hyperlink" Target="https://doi.org/10.3758/s13428-025-02643-0" TargetMode="External"/><Relationship Id="rId44" Type="http://schemas.openxmlformats.org/officeDocument/2006/relationships/hyperlink" Target="https://doi.org/10.32614/CRAN.package.bmm" TargetMode="External"/><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orcid.org/0000-0002-5055-9764" TargetMode="External"/><Relationship Id="rId14" Type="http://schemas.openxmlformats.org/officeDocument/2006/relationships/image" Target="media/image5.emf"/><Relationship Id="rId22" Type="http://schemas.openxmlformats.org/officeDocument/2006/relationships/hyperlink" Target="https://venpopov.github.io/bmm/articles/bmm_m3.html" TargetMode="External"/><Relationship Id="rId27" Type="http://schemas.openxmlformats.org/officeDocument/2006/relationships/hyperlink" Target="https://doi.org/10.1037/0033-295X.100.3.432" TargetMode="External"/><Relationship Id="rId30" Type="http://schemas.openxmlformats.org/officeDocument/2006/relationships/hyperlink" Target="https://doi.org/10.1027/0044-3409.217.3.108" TargetMode="External"/><Relationship Id="rId35" Type="http://schemas.openxmlformats.org/officeDocument/2006/relationships/hyperlink" Target="https://doi.org/10.1016/j.jmp.2017.09.005" TargetMode="External"/><Relationship Id="rId43" Type="http://schemas.openxmlformats.org/officeDocument/2006/relationships/hyperlink" Target="https://doi.org/10.1037/bul0000153" TargetMode="External"/><Relationship Id="rId48" Type="http://schemas.openxmlformats.org/officeDocument/2006/relationships/hyperlink" Target="https://doi.org/10.1037/h0070288" TargetMode="External"/><Relationship Id="rId8" Type="http://schemas.openxmlformats.org/officeDocument/2006/relationships/image" Target="media/image2.svg"/><Relationship Id="rId51" Type="http://schemas.openxmlformats.org/officeDocument/2006/relationships/hyperlink" Target="https://doi.org/10.3758/s13421-012-0205-5" TargetMode="External"/><Relationship Id="rId3" Type="http://schemas.openxmlformats.org/officeDocument/2006/relationships/settings" Target="setting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hyperlink" Target="https://doi.org/10.3758/BF03210812" TargetMode="External"/><Relationship Id="rId33" Type="http://schemas.openxmlformats.org/officeDocument/2006/relationships/hyperlink" Target="https://doi.org/10.1214/ss/1177011136" TargetMode="External"/><Relationship Id="rId38" Type="http://schemas.openxmlformats.org/officeDocument/2006/relationships/hyperlink" Target="https://doi.org/10.1037/xlm0001585" TargetMode="External"/><Relationship Id="rId46" Type="http://schemas.openxmlformats.org/officeDocument/2006/relationships/hyperlink" Target="https://doi.org/10.1037/met0000275" TargetMode="External"/><Relationship Id="rId20" Type="http://schemas.openxmlformats.org/officeDocument/2006/relationships/image" Target="media/image11.emf"/><Relationship Id="rId41" Type="http://schemas.openxmlformats.org/officeDocument/2006/relationships/hyperlink" Target="https://doi.org/10.1037/rev0000328"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emf"/><Relationship Id="rId23" Type="http://schemas.openxmlformats.org/officeDocument/2006/relationships/hyperlink" Target="https://osf.io/yb7wm/" TargetMode="External"/><Relationship Id="rId28" Type="http://schemas.openxmlformats.org/officeDocument/2006/relationships/hyperlink" Target="https://doi.org/10.18637/jss.v076.i01" TargetMode="External"/><Relationship Id="rId36" Type="http://schemas.openxmlformats.org/officeDocument/2006/relationships/hyperlink" Target="https://doi.org/10.3758/s13428-017-0869-7" TargetMode="External"/><Relationship Id="rId49" Type="http://schemas.openxmlformats.org/officeDocument/2006/relationships/hyperlink" Target="https://doi.org/10.7554/eLife.49547"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venpopov.com/bmm/articles/bmm_bmmformul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44</Pages>
  <Words>8421</Words>
  <Characters>54485</Characters>
  <Application>Microsoft Office Word</Application>
  <DocSecurity>0</DocSecurity>
  <Lines>767</Lines>
  <Paragraphs>160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62746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Gidon Frischkorn-Bartsch</dc:creator>
  <cp:keywords>working memory, measurement model, multinomial model, Bayesian estimation, R package</cp:keywords>
  <dc:description>FITTING THE M^3 WITH THE BMM R PACKAGE</dc:description>
  <cp:lastModifiedBy>Gidon Frischkorn-Bartsch</cp:lastModifiedBy>
  <cp:revision>3</cp:revision>
  <dcterms:created xsi:type="dcterms:W3CDTF">2026-03-16T15:28:00Z</dcterms:created>
  <dcterms:modified xsi:type="dcterms:W3CDTF">2026-03-16T15:53:00Z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The memory measurement model (M^3) decomposes categorical response data from memory tasks into latent activation parameters, separating item memory from context-specific binding via competitive retrieval. Fitting M^3 has so far required custom JAGS or Stan code for each task design. The bmm R package provides a standardized interface to specify, fit, and evaluate Bayesian hierarchical M^3 with minimal code. This tutorial demonstrates the bmm workflow through four worked examples: fitting a simple span M^3 to cued recall data, where Bayes factor model comparison favors the softmax over the simple choice rule; extending the workflow to a complex span task with distractor categories and a filtering parameter; defining a custom M^3 that relaxes assumptions of the standard version by separating item and binding transfer to distractors; and validating the custom specification through parameter recovery simulation. Complete R scripts accompany each tutorial. After completing the tutorials, readers will be able to fit standard and custom M^3 to their own data and validate new model specifications through simulation.</vt:lpwstr>
  </property>
  <property fmtid="{D5CDD505-2E9C-101B-9397-08002B2CF9AE}" pid="5" name="apaauthor">
    <vt:lpwstr/>
  </property>
  <property fmtid="{D5CDD505-2E9C-101B-9397-08002B2CF9AE}" pid="6" name="apatitle">
    <vt:lpwstr>Fitting the Memory Measurement Model (M^3) with the bmm R Package: A Tutorial</vt:lpwstr>
  </property>
  <property fmtid="{D5CDD505-2E9C-101B-9397-08002B2CF9AE}" pid="7" name="apatitledisplay">
    <vt:lpwstr>Fitting the Memory Measurement Model (M^3) with the bmm R Package: A Tutorial</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xecute">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False</vt:lpwstr>
  </property>
  <property fmtid="{D5CDD505-2E9C-101B-9397-08002B2CF9AE}" pid="31" name="oneauthor">
    <vt:lpwstr>False</vt:lpwstr>
  </property>
  <property fmtid="{D5CDD505-2E9C-101B-9397-08002B2CF9AE}" pid="32" name="output-dir">
    <vt:lpwstr>.</vt:lpwstr>
  </property>
  <property fmtid="{D5CDD505-2E9C-101B-9397-08002B2CF9AE}" pid="33" name="references">
    <vt:lpwstr/>
  </property>
  <property fmtid="{D5CDD505-2E9C-101B-9397-08002B2CF9AE}" pid="34" name="revealjs-plugins">
    <vt:lpwstr/>
  </property>
  <property fmtid="{D5CDD505-2E9C-101B-9397-08002B2CF9AE}" pid="35" name="shorttitle">
    <vt:lpwstr>FITTING THE M^3 WITH THE BMM R PACKAGE</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oc-title">
    <vt:lpwstr>Table of contents</vt:lpwstr>
  </property>
  <property fmtid="{D5CDD505-2E9C-101B-9397-08002B2CF9AE}" pid="62" name="wordn">
    <vt:lpwstr>8068</vt:lpwstr>
  </property>
  <property fmtid="{D5CDD505-2E9C-101B-9397-08002B2CF9AE}" pid="63" name="zerocitations">
    <vt:lpwstr>False</vt:lpwstr>
  </property>
</Properties>
</file>