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5B63" w14:textId="77777777" w:rsidR="00F70B7A" w:rsidRDefault="00000000">
      <w:pPr>
        <w:pStyle w:val="FirstParagraph"/>
      </w:pPr>
      <w:r>
        <w:t xml:space="preserve"> </w:t>
      </w:r>
    </w:p>
    <w:p w14:paraId="753886AE" w14:textId="77777777" w:rsidR="00F70B7A" w:rsidRDefault="00000000">
      <w:pPr>
        <w:pStyle w:val="BodyText"/>
      </w:pPr>
      <w:r>
        <w:t xml:space="preserve"> </w:t>
      </w:r>
    </w:p>
    <w:p w14:paraId="1493B761" w14:textId="77777777" w:rsidR="00F70B7A" w:rsidRDefault="00000000">
      <w:pPr>
        <w:pStyle w:val="Heading1"/>
      </w:pPr>
      <w:bookmarkStart w:id="0" w:name="title"/>
      <w:r>
        <w:t>Fitting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with the bmm R Package: A Tutorial</w:t>
      </w:r>
    </w:p>
    <w:p w14:paraId="01EEB984" w14:textId="77777777" w:rsidR="00F70B7A" w:rsidRDefault="00000000">
      <w:pPr>
        <w:pStyle w:val="Author"/>
      </w:pPr>
      <w:r>
        <w:t xml:space="preserve"> </w:t>
      </w:r>
    </w:p>
    <w:p w14:paraId="3E4FB60D" w14:textId="77777777" w:rsidR="00F70B7A" w:rsidRDefault="00000000">
      <w:pPr>
        <w:pStyle w:val="Author"/>
      </w:pPr>
      <w:r>
        <w:t>Gidon T. Frischkorn</w:t>
      </w:r>
      <w:r>
        <w:rPr>
          <w:vertAlign w:val="superscript"/>
        </w:rPr>
        <w:t>1</w:t>
      </w:r>
      <w:r>
        <w:t xml:space="preserve"> and Chenyu Li</w:t>
      </w:r>
      <w:r>
        <w:rPr>
          <w:vertAlign w:val="superscript"/>
        </w:rPr>
        <w:t>2,3</w:t>
      </w:r>
    </w:p>
    <w:p w14:paraId="1307D3F0" w14:textId="77777777" w:rsidR="00F70B7A" w:rsidRDefault="00000000">
      <w:pPr>
        <w:pStyle w:val="Author"/>
      </w:pPr>
      <w:r>
        <w:rPr>
          <w:vertAlign w:val="superscript"/>
        </w:rPr>
        <w:t>1</w:t>
      </w:r>
      <w:r>
        <w:t>Department of Psychology, University of Zurich</w:t>
      </w:r>
    </w:p>
    <w:p w14:paraId="2E5A660C" w14:textId="77777777" w:rsidR="00F70B7A" w:rsidRDefault="00000000">
      <w:pPr>
        <w:pStyle w:val="Author"/>
      </w:pPr>
      <w:r>
        <w:rPr>
          <w:vertAlign w:val="superscript"/>
        </w:rPr>
        <w:t>2</w:t>
      </w:r>
      <w:r>
        <w:t>Department of Psychology, University of Chicago</w:t>
      </w:r>
    </w:p>
    <w:p w14:paraId="5D099540" w14:textId="77777777" w:rsidR="00F70B7A" w:rsidRDefault="00000000">
      <w:pPr>
        <w:pStyle w:val="Author"/>
      </w:pPr>
      <w:r>
        <w:rPr>
          <w:vertAlign w:val="superscript"/>
        </w:rPr>
        <w:t>3</w:t>
      </w:r>
      <w:r>
        <w:t>Institution for Mind and Biology,, University of Chicago</w:t>
      </w:r>
    </w:p>
    <w:p w14:paraId="53AFAF9C" w14:textId="77777777" w:rsidR="00F70B7A" w:rsidRDefault="00000000">
      <w:pPr>
        <w:pStyle w:val="BodyText"/>
      </w:pPr>
      <w:r>
        <w:t xml:space="preserve"> </w:t>
      </w:r>
    </w:p>
    <w:p w14:paraId="15F0DB13" w14:textId="77777777" w:rsidR="00F70B7A" w:rsidRDefault="00000000">
      <w:pPr>
        <w:pStyle w:val="BodyText"/>
      </w:pPr>
      <w:r>
        <w:t xml:space="preserve"> </w:t>
      </w:r>
    </w:p>
    <w:p w14:paraId="541134DA" w14:textId="77777777" w:rsidR="00F70B7A" w:rsidRDefault="00000000">
      <w:pPr>
        <w:pStyle w:val="Heading1"/>
      </w:pPr>
      <w:bookmarkStart w:id="1" w:name="author-note"/>
      <w:bookmarkEnd w:id="0"/>
      <w:r>
        <w:t>Author Note</w:t>
      </w:r>
    </w:p>
    <w:p w14:paraId="33257DF1" w14:textId="77777777" w:rsidR="00F70B7A" w:rsidRDefault="00000000">
      <w:pPr>
        <w:pStyle w:val="FirstParagraph"/>
      </w:pPr>
      <w:r>
        <w:t xml:space="preserve">Gidon T. Frischkorn </w:t>
      </w:r>
      <w:r>
        <w:rPr>
          <w:noProof/>
        </w:rPr>
        <w:drawing>
          <wp:inline distT="0" distB="0" distL="0" distR="0" wp14:anchorId="221B699B" wp14:editId="10AF279E">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https://orcid.org/0000-0002-5055-9764</w:t>
        </w:r>
      </w:hyperlink>
    </w:p>
    <w:p w14:paraId="405D4BDC" w14:textId="77777777" w:rsidR="00F70B7A" w:rsidRDefault="00000000">
      <w:pPr>
        <w:pStyle w:val="BodyText"/>
      </w:pPr>
      <w:r>
        <w:t xml:space="preserve">Chenyu Li </w:t>
      </w:r>
      <w:bookmarkStart w:id="2" w:name="orchid"/>
      <w:r>
        <w:rPr>
          <w:noProof/>
        </w:rPr>
        <w:drawing>
          <wp:inline distT="0" distB="0" distL="0" distR="0" wp14:anchorId="2A8F96BE" wp14:editId="6196AF4B">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Pr>
            <w:rStyle w:val="Hyperlink"/>
          </w:rPr>
          <w:t>https://orcid.org/0000-0001-8815-6189</w:t>
        </w:r>
      </w:hyperlink>
    </w:p>
    <w:p w14:paraId="5634116F" w14:textId="77777777" w:rsidR="00F70B7A" w:rsidRDefault="00000000">
      <w:pPr>
        <w:pStyle w:val="BodyText"/>
      </w:pPr>
      <w:r>
        <w:t xml:space="preserve">Correspondence concerning this article should be addressed to Gidon T. Frischkorn, Department of Psychology, University of Zurich, Email: </w:t>
      </w:r>
      <w:hyperlink r:id="rId11">
        <w:r>
          <w:rPr>
            <w:rStyle w:val="Hyperlink"/>
          </w:rPr>
          <w:t>gidon.frischkorn@psychologie.uzh.ch</w:t>
        </w:r>
      </w:hyperlink>
    </w:p>
    <w:p w14:paraId="268DB95A" w14:textId="77777777" w:rsidR="00F70B7A" w:rsidRDefault="00000000">
      <w:r>
        <w:br w:type="page"/>
      </w:r>
    </w:p>
    <w:p w14:paraId="260C65FF" w14:textId="77777777" w:rsidR="00F70B7A" w:rsidRDefault="00000000">
      <w:pPr>
        <w:pStyle w:val="Heading1"/>
      </w:pPr>
      <w:bookmarkStart w:id="3" w:name="abstract"/>
      <w:bookmarkEnd w:id="1"/>
      <w:r>
        <w:lastRenderedPageBreak/>
        <w:t>Abstract</w:t>
      </w:r>
    </w:p>
    <w:p w14:paraId="44B1B93C" w14:textId="77777777" w:rsidR="00F70B7A" w:rsidRDefault="00000000">
      <w:pPr>
        <w:pStyle w:val="AbstractFirstParagraph"/>
      </w:pPr>
      <w:r>
        <w:t>The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decomposes categorical response data from memory tasks into latent activation parameters, separating item memory from context-specific binding via competitive retrieval. 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has so far required custom JAGS or Stan code for each task design. The bmm R package provides a standardized interface to specify, fit, and evaluate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minimal code. This tutorial demonstrates the bmm workflow through four worked examples: fitting a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cued recall data, where Bayes factor model comparison favors the softmax over the simple choice rule; extending the workflow to a complex span task with distractor categories and a filtering parameter; 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fit standard and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their own data and validate new model specifications through simulation.</w:t>
      </w:r>
    </w:p>
    <w:p w14:paraId="711C0537" w14:textId="77777777" w:rsidR="00F70B7A" w:rsidRDefault="00000000">
      <w:pPr>
        <w:pStyle w:val="BodyText"/>
      </w:pPr>
      <w:r>
        <w:rPr>
          <w:i/>
          <w:iCs/>
        </w:rPr>
        <w:t>Keywords</w:t>
      </w:r>
      <w:r>
        <w:t>: working memory, measurement model, multinomial model, Bayesian estimation, R package</w:t>
      </w:r>
    </w:p>
    <w:p w14:paraId="5B0107B0" w14:textId="77777777" w:rsidR="00F70B7A" w:rsidRDefault="00000000">
      <w:r>
        <w:br w:type="page"/>
      </w:r>
    </w:p>
    <w:p w14:paraId="5190DCC1" w14:textId="77777777" w:rsidR="00F70B7A" w:rsidRDefault="00000000">
      <w:pPr>
        <w:pStyle w:val="Heading1"/>
      </w:pPr>
      <w:bookmarkStart w:id="4" w:name="firstheader"/>
      <w:bookmarkEnd w:id="3"/>
      <w:r>
        <w:lastRenderedPageBreak/>
        <w:t>Fitting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with the bmm R Package: A Tutorial</w:t>
      </w:r>
    </w:p>
    <w:p w14:paraId="6AC7CD48" w14:textId="77777777" w:rsidR="006915B9" w:rsidRDefault="006915B9">
      <w:pPr>
        <w:pStyle w:val="FirstParagraph"/>
      </w:pPr>
      <w:bookmarkStart w:id="5" w:name="introduction"/>
      <w:bookmarkEnd w:id="4"/>
    </w:p>
    <w:p w14:paraId="4D435522" w14:textId="0A44A470" w:rsidR="00F70B7A" w:rsidRDefault="00000000">
      <w:pPr>
        <w:pStyle w:val="FirstParagraph"/>
      </w:pPr>
      <w:r>
        <w:t>Observed performance in memory and decision tasks is often summarized by overall accuracy. Yet, for many tasks accuracy collapses across qualitatively distinct response categories and error types that may arise from different latent processes. In particular, different error types are diagnostically informative because different cognitive processes imply different conditional response probabilities over observable outcomes. Multinomial processing tree (MPT) models formalize this logic by treating categorical responses</w:t>
      </w:r>
      <w:r w:rsidR="006915B9">
        <w:t>,</w:t>
      </w:r>
      <w:r>
        <w:t xml:space="preserve"> including distinct error classes</w:t>
      </w:r>
      <w:r w:rsidR="006915B9">
        <w:t>,</w:t>
      </w:r>
      <w:r>
        <w:t xml:space="preserve"> as consequences of latent states such as successful retrieval, guessing, or source confusion (</w:t>
      </w:r>
      <w:hyperlink w:anchor="ref-batchelder1999theoretical">
        <w:r>
          <w:rPr>
            <w:rStyle w:val="Hyperlink"/>
          </w:rPr>
          <w:t>Batchelder &amp; Riefer, 1999</w:t>
        </w:r>
      </w:hyperlink>
      <w:r>
        <w:t xml:space="preserve">; </w:t>
      </w:r>
      <w:hyperlink w:anchor="ref-erdfelder2009multinomial">
        <w:r>
          <w:rPr>
            <w:rStyle w:val="Hyperlink"/>
          </w:rPr>
          <w:t>Erdfelder et al., 2009</w:t>
        </w:r>
      </w:hyperlink>
      <w:r>
        <w:t>). Similarly, process-dissociation approaches demonstrate that patterns of correct and incorrect responses across task constraints can separate the contributions of multiple processes within a single task (</w:t>
      </w:r>
      <w:hyperlink w:anchor="ref-jacoby1991process">
        <w:r>
          <w:rPr>
            <w:rStyle w:val="Hyperlink"/>
          </w:rPr>
          <w:t>Jacoby, 1991</w:t>
        </w:r>
      </w:hyperlink>
      <w:r>
        <w:t xml:space="preserve">; </w:t>
      </w:r>
      <w:hyperlink w:anchor="ref-yonelinas2012process">
        <w:r>
          <w:rPr>
            <w:rStyle w:val="Hyperlink"/>
          </w:rPr>
          <w:t>Yonelinas &amp; Jacoby, 2012</w:t>
        </w:r>
      </w:hyperlink>
      <w:r>
        <w:t>). In sum, the full multinomial response distribution - not accuracy alone - carries more information about latent cognitive mechanisms than a single accuracy score.</w:t>
      </w:r>
    </w:p>
    <w:p w14:paraId="2B25CC60" w14:textId="77777777" w:rsidR="00F70B7A" w:rsidRDefault="00000000">
      <w:pPr>
        <w:pStyle w:val="BodyText"/>
      </w:pPr>
      <w:r>
        <w:t>Working memory research frequently relies on tasks that inherently yield response frequencies across discrete outcome categories, such as correct responses, feature confusions, location errors, or intrusions (</w:t>
      </w:r>
      <w:hyperlink w:anchor="ref-oberauer2018benchmarks">
        <w:r>
          <w:rPr>
            <w:rStyle w:val="Hyperlink"/>
          </w:rPr>
          <w:t>Oberauer et al., 2018</w:t>
        </w:r>
      </w:hyperlink>
      <w:r>
        <w:t>). For discrete feature spaces (e.g., words, numbers, letters), these data are naturally multinomial: each retrieval produces one of several mutually exclusive response types. Thus, theoretical claims can often be evaluated by how experimental manipulations and individual differences redistribute probability mass across these categories.</w:t>
      </w:r>
    </w:p>
    <w:p w14:paraId="641E3C3D" w14:textId="77777777" w:rsidR="00F70B7A" w:rsidRDefault="00000000">
      <w:pPr>
        <w:pStyle w:val="BodyText"/>
      </w:pPr>
      <w:r>
        <w:t>The recently proposed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Oberauer and Lewandowsky (</w:t>
      </w:r>
      <w:hyperlink w:anchor="ref-oberauer2019simple">
        <w:r>
          <w:rPr>
            <w:rStyle w:val="Hyperlink"/>
          </w:rPr>
          <w:t>2019</w:t>
        </w:r>
      </w:hyperlink>
      <w:r>
        <w:t xml:space="preserve">)] framework provides one such decomposition. Its core assumptions are that (a) multiple </w:t>
      </w:r>
      <w:r>
        <w:lastRenderedPageBreak/>
        <w:t>activation sources contribute to each response category and that (b) selection among categories follows a competitive retrieval rule (</w:t>
      </w:r>
      <w:hyperlink w:anchor="ref-luce1959individual">
        <w:r>
          <w:rPr>
            <w:rStyle w:val="Hyperlink"/>
          </w:rPr>
          <w:t>Luce, 1959</w:t>
        </w:r>
      </w:hyperlink>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introduced for working memory tasks, the general architecture is domain-general: whenever a task yields categorical responses that can be traced to distinct latent activation sources driving competitive selection, the framework applies.</w:t>
      </w:r>
      <w:r>
        <w:rPr>
          <w:rStyle w:val="FootnoteReference"/>
        </w:rPr>
        <w:footnoteReference w:id="1"/>
      </w:r>
    </w:p>
    <w:p w14:paraId="76F9E74B" w14:textId="54B8A5FE" w:rsidR="00F70B7A" w:rsidRDefault="00000000">
      <w:pPr>
        <w:pStyle w:val="BodyText"/>
      </w:pPr>
      <w:r>
        <w:t xml:space="preserve">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can be applied to different paradigms</w:t>
      </w:r>
      <w:r w:rsidR="006915B9">
        <w:t>,</w:t>
      </w:r>
      <w:r>
        <w:t xml:space="preserve"> including simple span, complex span, and memory updating tasks</w:t>
      </w:r>
      <w:r w:rsidR="006915B9">
        <w:t>,</w:t>
      </w:r>
      <w:r>
        <w:t xml:space="preserve"> and can incorporate varied processes such as distractor filtering or removal of outdated information</w:t>
      </w:r>
      <w:r w:rsidR="006915B9">
        <w:t>;</w:t>
      </w:r>
      <w:r>
        <w:t xml:space="preserve"> </w:t>
      </w:r>
      <w:r w:rsidR="006915B9">
        <w:t>T</w:t>
      </w:r>
      <w:r>
        <w:t xml:space="preserve">he activation formulas that drive response selection typically vary across tasks and response categories. Beyond these existing applications, researchers can develop their own model specifications tailored to their paradigm and theoretical questions. Each new application, however, has so far required translating the model into custom JAGS or Stan code, making implementations error-prone and hard to reuse. The </w:t>
      </w:r>
      <w:r>
        <w:rPr>
          <w:rStyle w:val="VerbatimChar"/>
        </w:rPr>
        <w:t>bmm</w:t>
      </w:r>
      <w:r>
        <w:t xml:space="preserve"> R package (</w:t>
      </w:r>
      <w:hyperlink w:anchor="ref-bmm2025">
        <w:r>
          <w:rPr>
            <w:rStyle w:val="Hyperlink"/>
          </w:rPr>
          <w:t>Popov et al., 2025</w:t>
        </w:r>
      </w:hyperlink>
      <w:r>
        <w:t xml:space="preserve">) addresses this limitation by providing a standardized, low-code workflow for specifying, fitting, and evaluating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shifting the burden of routine implementation details away from users and toward theory-driven model development and interpretation. In this tutorial, we illustrate this approach with four worked examples covering the standard simple span (ss) and complex span (cs) tasks, a custom extension, and parameter recovery as model validation.</w:t>
      </w:r>
    </w:p>
    <w:p w14:paraId="6C2B211A" w14:textId="77777777" w:rsidR="00F70B7A" w:rsidRDefault="00000000">
      <w:pPr>
        <w:pStyle w:val="Heading1"/>
      </w:pPr>
      <w:bookmarkStart w:id="6" w:name="the-m3-framework"/>
      <w:bookmarkEnd w:id="5"/>
      <w:r>
        <w:lastRenderedPageBreak/>
        <w:t xml:space="preserve">The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Framework</w:t>
      </w:r>
    </w:p>
    <w:p w14:paraId="4DA1E233" w14:textId="26AA6316" w:rsidR="00F70B7A" w:rsidRDefault="006915B9">
      <w:pPr>
        <w:pStyle w:val="FirstParagraph"/>
      </w:pPr>
      <w:r>
        <w:rPr>
          <w:noProof/>
        </w:rPr>
        <mc:AlternateContent>
          <mc:Choice Requires="wps">
            <w:drawing>
              <wp:anchor distT="0" distB="0" distL="114300" distR="114300" simplePos="0" relativeHeight="251659264" behindDoc="0" locked="0" layoutInCell="1" allowOverlap="1" wp14:anchorId="03204331" wp14:editId="5F3BE765">
                <wp:simplePos x="0" y="0"/>
                <wp:positionH relativeFrom="column">
                  <wp:posOffset>0</wp:posOffset>
                </wp:positionH>
                <wp:positionV relativeFrom="paragraph">
                  <wp:posOffset>3934718</wp:posOffset>
                </wp:positionV>
                <wp:extent cx="1828800" cy="1828800"/>
                <wp:effectExtent l="0" t="0" r="0" b="0"/>
                <wp:wrapSquare wrapText="bothSides"/>
                <wp:docPr id="158882423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FDFB037" w14:textId="77777777" w:rsidR="006915B9" w:rsidRDefault="006915B9">
                            <w:pPr>
                              <w:pStyle w:val="FigureTitle"/>
                            </w:pPr>
                            <w:r>
                              <w:t>Figure 1</w:t>
                            </w:r>
                          </w:p>
                          <w:p w14:paraId="1377D519" w14:textId="77777777" w:rsidR="006915B9" w:rsidRDefault="006915B9" w:rsidP="006915B9">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7736CC83" w14:textId="77777777" w:rsidR="006915B9" w:rsidRPr="00DB0FFD" w:rsidRDefault="006915B9" w:rsidP="00DB0FFD">
                            <w:pPr>
                              <w:pStyle w:val="FigureWithoutNote"/>
                              <w:rPr>
                                <w:noProof/>
                              </w:rPr>
                            </w:pPr>
                            <w:r>
                              <w:rPr>
                                <w:noProof/>
                              </w:rPr>
                              <w:drawing>
                                <wp:inline distT="0" distB="0" distL="0" distR="0" wp14:anchorId="0EE7596F" wp14:editId="64171B9D">
                                  <wp:extent cx="5284922" cy="2309248"/>
                                  <wp:effectExtent l="0" t="0" r="0" b="2540"/>
                                  <wp:docPr id="1503305471"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314038" cy="232197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3204331" id="_x0000_t202" coordsize="21600,21600" o:spt="202" path="m,l,21600r21600,l21600,xe">
                <v:stroke joinstyle="miter"/>
                <v:path gradientshapeok="t" o:connecttype="rect"/>
              </v:shapetype>
              <v:shape id="Text Box 1" o:spid="_x0000_s1026" type="#_x0000_t202" style="position:absolute;left:0;text-align:left;margin-left:0;margin-top:309.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" filled="f" strokeweight=".5pt">
                <v:fill o:detectmouseclick="t"/>
                <v:textbox style="mso-fit-shape-to-text:t">
                  <w:txbxContent>
                    <w:p w14:paraId="0FDFB037" w14:textId="77777777" w:rsidR="006915B9" w:rsidRDefault="006915B9">
                      <w:pPr>
                        <w:pStyle w:val="FigureTitle"/>
                      </w:pPr>
                      <w:r>
                        <w:t>Figure 1</w:t>
                      </w:r>
                    </w:p>
                    <w:p w14:paraId="1377D519" w14:textId="77777777" w:rsidR="006915B9" w:rsidRDefault="006915B9" w:rsidP="006915B9">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7736CC83" w14:textId="77777777" w:rsidR="006915B9" w:rsidRPr="00DB0FFD" w:rsidRDefault="006915B9" w:rsidP="00DB0FFD">
                      <w:pPr>
                        <w:pStyle w:val="FigureWithoutNote"/>
                        <w:rPr>
                          <w:noProof/>
                        </w:rPr>
                      </w:pPr>
                      <w:r>
                        <w:rPr>
                          <w:noProof/>
                        </w:rPr>
                        <w:drawing>
                          <wp:inline distT="0" distB="0" distL="0" distR="0" wp14:anchorId="0EE7596F" wp14:editId="64171B9D">
                            <wp:extent cx="5284922" cy="2309248"/>
                            <wp:effectExtent l="0" t="0" r="0" b="2540"/>
                            <wp:docPr id="1503305471"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314038" cy="2321970"/>
                                    </a:xfrm>
                                    <a:prstGeom prst="rect">
                                      <a:avLst/>
                                    </a:prstGeom>
                                    <a:noFill/>
                                    <a:ln w="9525">
                                      <a:noFill/>
                                      <a:headEnd/>
                                      <a:tailEnd/>
                                    </a:ln>
                                  </pic:spPr>
                                </pic:pic>
                              </a:graphicData>
                            </a:graphic>
                          </wp:inline>
                        </w:drawing>
                      </w:r>
                    </w:p>
                  </w:txbxContent>
                </v:textbox>
                <w10:wrap type="square"/>
              </v:shape>
            </w:pict>
          </mc:Fallback>
        </mc:AlternateContent>
      </w:r>
      <w:r w:rsidR="00000000">
        <w:t xml:space="preserve">Consider a cued recall task (e.g., remembering letters in serial positions or icons in spatial positions) in which a participant sees a retrieval cue and selects a response from a set containing the correct target, other studied items, and new lures. Each response falls into one of three categories: </w:t>
      </w:r>
      <w:r w:rsidR="00000000">
        <w:rPr>
          <w:i/>
          <w:iCs/>
        </w:rPr>
        <w:t>correct</w:t>
      </w:r>
      <w:r w:rsidR="00000000">
        <w:t xml:space="preserve"> — the item associated with the probed position, </w:t>
      </w:r>
      <w:r w:rsidR="00000000">
        <w:rPr>
          <w:i/>
          <w:iCs/>
        </w:rPr>
        <w:t>other-list intrusion</w:t>
      </w:r>
      <w:r w:rsidR="00000000">
        <w:t xml:space="preserve"> — a studied item from a different position, or </w:t>
      </w:r>
      <w:r w:rsidR="00000000">
        <w:rPr>
          <w:i/>
          <w:iCs/>
        </w:rPr>
        <w:t>not-presented lure</w:t>
      </w:r>
      <w:r w:rsidR="00000000">
        <w:t xml:space="preserve"> (NPL) — an item not presented during the trial. </w:t>
      </w:r>
      <w:hyperlink w:anchor="fig-task-example">
        <w:r w:rsidR="00000000">
          <w:rPr>
            <w:rStyle w:val="Hyperlink"/>
          </w:rPr>
          <w:t>Figure 1</w:t>
        </w:r>
      </w:hyperlink>
      <w:r w:rsidR="00000000">
        <w:t xml:space="preserve"> illustrates this task structure for a simple span paradigm.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00000000">
        <w:t xml:space="preserve"> framework explains each category’s selection frequency by specifying activation formulas: different activation sources feed into each category, and response probabilities arise as the result of applying choice rules that implement competitive selection among all options.</w:t>
      </w:r>
    </w:p>
    <w:p w14:paraId="36F66636" w14:textId="551BCD93" w:rsidR="00F70B7A" w:rsidRDefault="00000000">
      <w:pPr>
        <w:pStyle w:val="Heading2"/>
      </w:pPr>
      <w:bookmarkStart w:id="7" w:name="activation-formulas-and-model-parameters"/>
      <w:r>
        <w:lastRenderedPageBreak/>
        <w:t>Activation Formulas and Model Parameters</w:t>
      </w:r>
    </w:p>
    <w:p w14:paraId="25BBF69E" w14:textId="77777777" w:rsidR="00F70B7A" w:rsidRDefault="00000000">
      <w:pPr>
        <w:pStyle w:val="FirstParagraph"/>
      </w:pPr>
      <w:r>
        <w:t xml:space="preserve">Each response category’s activation formula specifies which latent sources contribute to its selection probability. 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is not committed to any particular memory theory, different assumptions about the processes limiting memory performance can be accommodated through different activation formulas.</w:t>
      </w:r>
    </w:p>
    <w:p w14:paraId="36F0CC70" w14:textId="77777777" w:rsidR="00F70B7A" w:rsidRDefault="00000000">
      <w:pPr>
        <w:pStyle w:val="BodyText"/>
      </w:pPr>
      <w:r>
        <w:t>Each response category usually receives activation from one or more latent sources. For the cued recall task introduced above, the theoretically assumed activation sources are:</w:t>
      </w:r>
    </w:p>
    <w:p w14:paraId="4EDFB1A3" w14:textId="77777777" w:rsidR="00F70B7A" w:rsidRDefault="00000000" w:rsidP="006915B9">
      <w:pPr>
        <w:pStyle w:val="Compact"/>
        <w:numPr>
          <w:ilvl w:val="0"/>
          <w:numId w:val="23"/>
        </w:numPr>
        <w:spacing w:line="480" w:lineRule="auto"/>
      </w:pPr>
      <m:oMath>
        <m:r>
          <w:rPr>
            <w:rFonts w:ascii="Cambria Math" w:hAnsi="Cambria Math"/>
          </w:rPr>
          <m:t>b</m:t>
        </m:r>
      </m:oMath>
      <w:r>
        <w:t xml:space="preserve">: </w:t>
      </w:r>
      <w:r>
        <w:rPr>
          <w:b/>
          <w:bCs/>
        </w:rPr>
        <w:t>baseline activation</w:t>
      </w:r>
      <w:r>
        <w:t>, the tendency to select any response option in the absence of memory-based evidence. This could reflect guessing, response bias, or other non-mnemonic factors that contribute to selection probabilities across all categories.</w:t>
      </w:r>
    </w:p>
    <w:p w14:paraId="76AEA8F5" w14:textId="77777777" w:rsidR="00F70B7A" w:rsidRDefault="00000000" w:rsidP="006915B9">
      <w:pPr>
        <w:pStyle w:val="Compact"/>
        <w:numPr>
          <w:ilvl w:val="0"/>
          <w:numId w:val="23"/>
        </w:numPr>
        <w:spacing w:line="480" w:lineRule="auto"/>
      </w:pPr>
      <m:oMath>
        <m:r>
          <w:rPr>
            <w:rFonts w:ascii="Cambria Math" w:hAnsi="Cambria Math"/>
          </w:rPr>
          <m:t>a</m:t>
        </m:r>
      </m:oMath>
      <w:r>
        <w:t xml:space="preserve">: </w:t>
      </w:r>
      <w:r>
        <w:rPr>
          <w:b/>
          <w:bCs/>
        </w:rPr>
        <w:t>item activation</w:t>
      </w:r>
      <w:r>
        <w:t>, or general memory strength for studied items. An item that was encountered during study receives this activation regardless of its position or context.</w:t>
      </w:r>
    </w:p>
    <w:p w14:paraId="2594AAAE" w14:textId="77777777" w:rsidR="00F70B7A" w:rsidRDefault="00000000" w:rsidP="006915B9">
      <w:pPr>
        <w:pStyle w:val="Compact"/>
        <w:numPr>
          <w:ilvl w:val="0"/>
          <w:numId w:val="23"/>
        </w:numPr>
        <w:spacing w:line="480" w:lineRule="auto"/>
      </w:pPr>
      <m:oMath>
        <m:r>
          <w:rPr>
            <w:rFonts w:ascii="Cambria Math" w:hAnsi="Cambria Math"/>
          </w:rPr>
          <m:t>c</m:t>
        </m:r>
      </m:oMath>
      <w:r>
        <w:t xml:space="preserve">: </w:t>
      </w:r>
      <w:r>
        <w:rPr>
          <w:b/>
          <w:bCs/>
        </w:rPr>
        <w:t>context binding</w:t>
      </w:r>
      <w:r>
        <w:t>, the strength of the association between an item and its specific study context (e.g., serial position, paired associate).</w:t>
      </w:r>
    </w:p>
    <w:p w14:paraId="5364896F" w14:textId="77777777" w:rsidR="00F70B7A" w:rsidRDefault="00000000" w:rsidP="006915B9">
      <w:pPr>
        <w:pStyle w:val="FirstParagraph"/>
      </w:pPr>
      <w:r>
        <w:t>These activation sources or additional mechanisms are specified as parameters that can vary and are estimated from data. Using these parameters, we can specify how they are combined to produce total activations for each response category. The simple span model proposed by Oberauer and Lewandowsky (</w:t>
      </w:r>
      <w:hyperlink w:anchor="ref-oberauer2019simple">
        <w:r>
          <w:rPr>
            <w:rStyle w:val="Hyperlink"/>
          </w:rPr>
          <w:t>2019</w:t>
        </w:r>
      </w:hyperlink>
      <w:r>
        <w:t>) assumes that these activation sources combine additively, with the correct target receiving activation from all three sources, other studied items receiving item activation but lacking context binding, and lures receiving only baseline activation:</w:t>
      </w:r>
    </w:p>
    <w:p w14:paraId="52F95851" w14:textId="77777777" w:rsidR="00F70B7A"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42BDF1F8" w14:textId="77777777" w:rsidR="00F70B7A" w:rsidRDefault="00000000">
      <w:pPr>
        <w:pStyle w:val="FirstParagraph"/>
      </w:pPr>
      <w:r>
        <w:lastRenderedPageBreak/>
        <w:t>Another perspective on the interplay of these processes could also assume that context activation boosts item activation, such that the correct target receives a multiplicative boost from context binding, while other studied items receive only item activation:</w:t>
      </w:r>
    </w:p>
    <w:p w14:paraId="0BF88912" w14:textId="77777777" w:rsidR="00F70B7A"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58AF2013" w14:textId="77777777" w:rsidR="00F70B7A" w:rsidRDefault="00000000">
      <w:pPr>
        <w:pStyle w:val="FirstParagraph"/>
      </w:pPr>
      <w:r>
        <w:t>These two examples illustrate how distinct theoretical perspectives can be encoded through the activation formulas.</w:t>
      </w:r>
      <w:r>
        <w:rPr>
          <w:rStyle w:val="FootnoteReference"/>
        </w:rPr>
        <w:footnoteReference w:id="2"/>
      </w:r>
      <w:r>
        <w:t xml:space="preserve"> </w:t>
      </w:r>
      <w:hyperlink w:anchor="fig-m3-activations">
        <w:r>
          <w:rPr>
            <w:rStyle w:val="Hyperlink"/>
          </w:rPr>
          <w:t>Figure 2</w:t>
        </w:r>
      </w:hyperlink>
      <w:r>
        <w:t xml:space="preserve"> visualizes the additive formulas from the simple span example: each response option receives activation from a subset of the three sources, with the correct target accumulating the most activation. A choice rule then converts these activations into response probabilities (see next section). The </w:t>
      </w:r>
      <w:r>
        <w:rPr>
          <w:rStyle w:val="VerbatimChar"/>
        </w:rPr>
        <w:t>bmm</w:t>
      </w:r>
      <w:r>
        <w:t xml:space="preserve"> package provides pre-specified formulas for the simple span and complex span versions proposed by Oberauer and Lewandowsky (</w:t>
      </w:r>
      <w:hyperlink w:anchor="ref-oberauer2019simple">
        <w:r>
          <w:rPr>
            <w:rStyle w:val="Hyperlink"/>
          </w:rPr>
          <w:t>2019</w:t>
        </w:r>
      </w:hyperlink>
      <w:r>
        <w:t>), and also allows users to define custom formulas for novel task designs.</w:t>
      </w:r>
    </w:p>
    <w:p w14:paraId="7C6A3516" w14:textId="44E7FEEF" w:rsidR="00F70B7A" w:rsidRDefault="006915B9" w:rsidP="006915B9">
      <w:pPr>
        <w:pStyle w:val="Heading2"/>
        <w:spacing w:before="240"/>
      </w:pPr>
      <w:r>
        <w:rPr>
          <w:noProof/>
        </w:rPr>
        <w:lastRenderedPageBreak/>
        <mc:AlternateContent>
          <mc:Choice Requires="wps">
            <w:drawing>
              <wp:anchor distT="0" distB="0" distL="114300" distR="114300" simplePos="0" relativeHeight="251661312" behindDoc="0" locked="0" layoutInCell="1" allowOverlap="1" wp14:anchorId="132BE3B4" wp14:editId="15CB31CE">
                <wp:simplePos x="0" y="0"/>
                <wp:positionH relativeFrom="column">
                  <wp:posOffset>0</wp:posOffset>
                </wp:positionH>
                <wp:positionV relativeFrom="paragraph">
                  <wp:posOffset>0</wp:posOffset>
                </wp:positionV>
                <wp:extent cx="1828800" cy="1828800"/>
                <wp:effectExtent l="0" t="0" r="0" b="0"/>
                <wp:wrapSquare wrapText="bothSides"/>
                <wp:docPr id="8121660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4949962" w14:textId="77777777" w:rsidR="006915B9" w:rsidRDefault="006915B9">
                            <w:pPr>
                              <w:pStyle w:val="FigureTitle"/>
                            </w:pPr>
                            <w:r>
                              <w:t>Figure 2</w:t>
                            </w:r>
                          </w:p>
                          <w:p w14:paraId="53CD0078" w14:textId="77777777" w:rsidR="006915B9" w:rsidRDefault="006915B9" w:rsidP="006915B9">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7A97DA73" w14:textId="77777777" w:rsidR="006915B9" w:rsidRPr="00293309" w:rsidRDefault="006915B9" w:rsidP="006915B9">
                            <w:pPr>
                              <w:pStyle w:val="FigureWithoutNote"/>
                              <w:jc w:val="center"/>
                              <w:rPr>
                                <w:noProof/>
                              </w:rPr>
                            </w:pPr>
                            <w:r>
                              <w:rPr>
                                <w:noProof/>
                              </w:rPr>
                              <w:drawing>
                                <wp:inline distT="0" distB="0" distL="0" distR="0" wp14:anchorId="74DCCAC6" wp14:editId="12EF2D95">
                                  <wp:extent cx="5200650" cy="3200400"/>
                                  <wp:effectExtent l="0" t="0" r="6350" b="0"/>
                                  <wp:docPr id="15593727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5200650" cy="32004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2BE3B4" id="_x0000_s1027"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U+jKQ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" filled="f" strokeweight=".5pt">
                <v:fill o:detectmouseclick="t"/>
                <v:textbox style="mso-fit-shape-to-text:t">
                  <w:txbxContent>
                    <w:p w14:paraId="04949962" w14:textId="77777777" w:rsidR="006915B9" w:rsidRDefault="006915B9">
                      <w:pPr>
                        <w:pStyle w:val="FigureTitle"/>
                      </w:pPr>
                      <w:r>
                        <w:t>Figure 2</w:t>
                      </w:r>
                    </w:p>
                    <w:p w14:paraId="53CD0078" w14:textId="77777777" w:rsidR="006915B9" w:rsidRDefault="006915B9" w:rsidP="006915B9">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7A97DA73" w14:textId="77777777" w:rsidR="006915B9" w:rsidRPr="00293309" w:rsidRDefault="006915B9" w:rsidP="006915B9">
                      <w:pPr>
                        <w:pStyle w:val="FigureWithoutNote"/>
                        <w:jc w:val="center"/>
                        <w:rPr>
                          <w:noProof/>
                        </w:rPr>
                      </w:pPr>
                      <w:r>
                        <w:rPr>
                          <w:noProof/>
                        </w:rPr>
                        <w:drawing>
                          <wp:inline distT="0" distB="0" distL="0" distR="0" wp14:anchorId="74DCCAC6" wp14:editId="12EF2D95">
                            <wp:extent cx="5200650" cy="3200400"/>
                            <wp:effectExtent l="0" t="0" r="6350" b="0"/>
                            <wp:docPr id="15593727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5200650" cy="3200400"/>
                                    </a:xfrm>
                                    <a:prstGeom prst="rect">
                                      <a:avLst/>
                                    </a:prstGeom>
                                    <a:noFill/>
                                    <a:ln w="9525">
                                      <a:noFill/>
                                      <a:headEnd/>
                                      <a:tailEnd/>
                                    </a:ln>
                                  </pic:spPr>
                                </pic:pic>
                              </a:graphicData>
                            </a:graphic>
                          </wp:inline>
                        </w:drawing>
                      </w:r>
                    </w:p>
                  </w:txbxContent>
                </v:textbox>
                <w10:wrap type="square"/>
              </v:shape>
            </w:pict>
          </mc:Fallback>
        </mc:AlternateContent>
      </w:r>
      <w:bookmarkStart w:id="8" w:name="competitive-selection-and-choice-rules"/>
      <w:bookmarkEnd w:id="7"/>
      <w:r w:rsidR="00000000">
        <w:t>Competitive Selection and Choice Rules</w:t>
      </w:r>
    </w:p>
    <w:p w14:paraId="11838F5F" w14:textId="77777777" w:rsidR="00F70B7A" w:rsidRDefault="00000000">
      <w:pPr>
        <w:pStyle w:val="FirstParagraph"/>
      </w:pPr>
      <w:r>
        <w:t xml:space="preserve">To link activations to observed responses, each category’s activation must be converted into a response probability.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assumes competitive selection, that is a category’s probability depends on its activation relative to all competitors. For implementing any choice rules that implement competitive selection the number of all competitors, that is options per category, needs to be known. Therefore, tasks designed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should use a recognition format in which the experimenter controls the available response options instead of free-recall where participants generate their response set internally.</w:t>
      </w:r>
    </w:p>
    <w:p w14:paraId="7F1FE515" w14:textId="77777777" w:rsidR="00F70B7A" w:rsidRDefault="00000000">
      <w:pPr>
        <w:pStyle w:val="BodyText"/>
      </w:pPr>
      <w:r>
        <w:lastRenderedPageBreak/>
        <w:t xml:space="preserve">Given these option counts,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provides two choice rules that differ in how activations are transformed before normalization. The </w:t>
      </w:r>
      <w:r>
        <w:rPr>
          <w:i/>
          <w:iCs/>
        </w:rPr>
        <w:t>simple</w:t>
      </w:r>
      <w:r>
        <w:t xml:space="preserve"> (or linear) choice rule (</w:t>
      </w:r>
      <w:hyperlink w:anchor="ref-luce1959individual">
        <w:r>
          <w:rPr>
            <w:rStyle w:val="Hyperlink"/>
          </w:rPr>
          <w:t>Luce, 1959</w:t>
        </w:r>
      </w:hyperlink>
      <w:r>
        <w:t>) normalizes activations directly:</w:t>
      </w:r>
    </w:p>
    <w:p w14:paraId="05A451F7" w14:textId="77777777" w:rsidR="00F70B7A"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j</m:t>
                  </m:r>
                </m:sub>
              </m:sSub>
            </m:den>
          </m:f>
        </m:oMath>
      </m:oMathPara>
    </w:p>
    <w:p w14:paraId="0BE92376" w14:textId="77777777" w:rsidR="00F70B7A" w:rsidRDefault="00000000">
      <w:pPr>
        <w:pStyle w:val="FirstParagraph"/>
      </w:pPr>
      <w:r>
        <w:t xml:space="preserve">where </w:t>
      </w:r>
      <m:oMath>
        <m:sSub>
          <m:sSubPr>
            <m:ctrlPr>
              <w:rPr>
                <w:rFonts w:ascii="Cambria Math" w:hAnsi="Cambria Math"/>
              </w:rPr>
            </m:ctrlPr>
          </m:sSubPr>
          <m:e>
            <m:r>
              <m:rPr>
                <m:nor/>
              </m:rPr>
              <m:t>A</m:t>
            </m:r>
          </m:e>
          <m:sub>
            <m:r>
              <w:rPr>
                <w:rFonts w:ascii="Cambria Math" w:hAnsi="Cambria Math"/>
              </w:rPr>
              <m:t>k</m:t>
            </m:r>
          </m:sub>
        </m:sSub>
      </m:oMath>
      <w:r>
        <w:t xml:space="preserve"> is the total activation for category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response options in that category. This rule requires all activations to be positive. To identify the scaling of activations, the baseline </w:t>
      </w:r>
      <m:oMath>
        <m:r>
          <w:rPr>
            <w:rFonts w:ascii="Cambria Math" w:hAnsi="Cambria Math"/>
          </w:rPr>
          <m:t>b</m:t>
        </m:r>
      </m:oMath>
      <w:r>
        <w:t xml:space="preserve"> is fixed at a small positive value (0.1 by default).</w:t>
      </w:r>
    </w:p>
    <w:p w14:paraId="0A021839" w14:textId="77777777" w:rsidR="00F70B7A" w:rsidRDefault="00000000">
      <w:pPr>
        <w:pStyle w:val="BodyText"/>
      </w:pPr>
      <w:r>
        <w:t xml:space="preserve">The </w:t>
      </w:r>
      <w:r>
        <w:rPr>
          <w:i/>
          <w:iCs/>
        </w:rPr>
        <w:t>softmax</w:t>
      </w:r>
      <w:r>
        <w:t xml:space="preserve"> (or exponential) choice rule applies an exponential transformation before normalization:</w:t>
      </w:r>
    </w:p>
    <w:p w14:paraId="0D67F895" w14:textId="77777777" w:rsidR="00F70B7A"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j</m:t>
                      </m:r>
                    </m:sub>
                  </m:sSub>
                </m:e>
              </m:d>
            </m:den>
          </m:f>
        </m:oMath>
      </m:oMathPara>
    </w:p>
    <w:p w14:paraId="68B8369B" w14:textId="77777777" w:rsidR="00F70B7A" w:rsidRDefault="00000000">
      <w:pPr>
        <w:pStyle w:val="FirstParagraph"/>
      </w:pPr>
      <w:r>
        <w:t xml:space="preserve">Because </w:t>
      </w:r>
      <m:oMath>
        <m:r>
          <m:rPr>
            <m:sty m:val="p"/>
          </m:rPr>
          <w:rPr>
            <w:rFonts w:ascii="Cambria Math" w:hAnsi="Cambria Math"/>
          </w:rPr>
          <m:t>exp</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softmax guarantees valid probabilities regardless of activation values. Again, to identify the scaling of activations, the baseline is fixed at </w:t>
      </w:r>
      <m:oMath>
        <m:r>
          <w:rPr>
            <w:rFonts w:ascii="Cambria Math" w:hAnsi="Cambria Math"/>
          </w:rPr>
          <m:t>b</m:t>
        </m:r>
        <m:r>
          <m:rPr>
            <m:sty m:val="p"/>
          </m:rPr>
          <w:rPr>
            <w:rFonts w:ascii="Cambria Math" w:hAnsi="Cambria Math"/>
          </w:rPr>
          <m:t>=</m:t>
        </m:r>
        <m:r>
          <w:rPr>
            <w:rFonts w:ascii="Cambria Math" w:hAnsi="Cambria Math"/>
          </w:rPr>
          <m:t>0</m:t>
        </m:r>
      </m:oMath>
      <w:r>
        <w:t xml:space="preserve"> (since </w:t>
      </w: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lures receive a positive baseline contribution automatically).</w:t>
      </w:r>
    </w:p>
    <w:p w14:paraId="7E13C746" w14:textId="77777777" w:rsidR="00F70B7A" w:rsidRDefault="00000000">
      <w:pPr>
        <w:pStyle w:val="BodyText"/>
      </w:pPr>
      <w:r>
        <w:t xml:space="preserve">The softmax rule is formally equivalent to an </w:t>
      </w:r>
      <m:oMath>
        <m:r>
          <w:rPr>
            <w:rFonts w:ascii="Cambria Math" w:hAnsi="Cambria Math"/>
          </w:rPr>
          <m:t>n</m:t>
        </m:r>
      </m:oMath>
      <w:r>
        <w:t>-alternative forced-choice signal detection model with Gumbel-distributed noise (</w:t>
      </w:r>
      <w:hyperlink w:anchor="ref-thurstone1927law">
        <w:r>
          <w:rPr>
            <w:rStyle w:val="Hyperlink"/>
          </w:rPr>
          <w:t>Thurstone, 1927</w:t>
        </w:r>
      </w:hyperlink>
      <w:r>
        <w:t xml:space="preserve">; </w:t>
      </w:r>
      <w:hyperlink w:anchor="ref-yellott1977relationship">
        <w:r>
          <w:rPr>
            <w:rStyle w:val="Hyperlink"/>
          </w:rPr>
          <w:t>Yellott, 1977</w:t>
        </w:r>
      </w:hyperlink>
      <w:r>
        <w:t>). Under this interpretation, each category’s activation represents a deterministic signal, independent Gumbel noise is added to each alternative, and the observer selects the category with the highest noisy value. This equivalence gives activation parameters a principled interpretation as discriminability measures. Recent empirical comparisons have favored the softmax rule over the simple rule for working memory data (</w:t>
      </w:r>
      <w:hyperlink w:anchor="ref-li2026filtering">
        <w:r>
          <w:rPr>
            <w:rStyle w:val="Hyperlink"/>
          </w:rPr>
          <w:t>Li et al., 2026</w:t>
        </w:r>
      </w:hyperlink>
      <w:r>
        <w:t xml:space="preserve">; </w:t>
      </w:r>
      <w:hyperlink w:anchor="ref-oberauer2023measurement">
        <w:r>
          <w:rPr>
            <w:rStyle w:val="Hyperlink"/>
          </w:rPr>
          <w:t>Oberauer, 2023</w:t>
        </w:r>
      </w:hyperlink>
      <w:r>
        <w:t xml:space="preserve">) although the simple choice rule was endorsed </w:t>
      </w:r>
      <w:r>
        <w:lastRenderedPageBreak/>
        <w:t>initially (</w:t>
      </w:r>
      <w:hyperlink w:anchor="ref-oberauer2019simple">
        <w:r>
          <w:rPr>
            <w:rStyle w:val="Hyperlink"/>
          </w:rPr>
          <w:t>Oberauer &amp; Lewandowsky, 2019</w:t>
        </w:r>
      </w:hyperlink>
      <w:r>
        <w:t>). Tutorial 1 compares both rules; Tutorials 2–4 use the softmax rule as the default.</w:t>
      </w:r>
    </w:p>
    <w:p w14:paraId="65AC841D" w14:textId="77777777" w:rsidR="006915B9" w:rsidRDefault="006915B9">
      <w:pPr>
        <w:pStyle w:val="BodyText"/>
      </w:pPr>
    </w:p>
    <w:p w14:paraId="57D0C901" w14:textId="77777777" w:rsidR="00F70B7A" w:rsidRDefault="00000000">
      <w:pPr>
        <w:pStyle w:val="Heading2"/>
      </w:pPr>
      <w:bookmarkStart w:id="9" w:name="model-versions"/>
      <w:bookmarkEnd w:id="8"/>
      <w:r>
        <w:t>Model Versions</w:t>
      </w:r>
    </w:p>
    <w:p w14:paraId="7FBC1FE0" w14:textId="77777777" w:rsidR="00F70B7A" w:rsidRDefault="00000000">
      <w:pPr>
        <w:pStyle w:val="FirstParagraph"/>
      </w:pPr>
      <w:r>
        <w:t xml:space="preserve">The </w:t>
      </w:r>
      <w:r>
        <w:rPr>
          <w:rStyle w:val="VerbatimChar"/>
        </w:rPr>
        <w:t>bmm</w:t>
      </w:r>
      <w:r>
        <w:t xml:space="preserve"> package provides three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versions, two of which implement canonical paradigms often used in working memory research. The versions differ in the response categories and estimated parameters. Here we shortly introduce them, the following tutorials provide more details.</w:t>
      </w:r>
    </w:p>
    <w:p w14:paraId="6F1FBF85" w14:textId="77777777" w:rsidR="00F70B7A" w:rsidRDefault="00000000">
      <w:pPr>
        <w:pStyle w:val="BodyText"/>
      </w:pPr>
      <w:r>
        <w:t xml:space="preserve">The </w:t>
      </w:r>
      <w:r>
        <w:rPr>
          <w:b/>
          <w:bCs/>
        </w:rPr>
        <w:t>simple span</w:t>
      </w:r>
      <w:r>
        <w:t xml:space="preserve"> (</w:t>
      </w:r>
      <w:r>
        <w:rPr>
          <w:rStyle w:val="VerbatimChar"/>
        </w:rPr>
        <w:t>ss</w:t>
      </w:r>
      <w:r>
        <w:t xml:space="preserve">) version implements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for cued recall tasks separating three response categories (correct response, other, lures) with two free parameters (</w:t>
      </w:r>
      <m:oMath>
        <m:r>
          <w:rPr>
            <w:rFonts w:ascii="Cambria Math" w:hAnsi="Cambria Math"/>
          </w:rPr>
          <m:t>a</m:t>
        </m:r>
      </m:oMath>
      <w:r>
        <w:t xml:space="preserve">, </w:t>
      </w:r>
      <m:oMath>
        <m:r>
          <w:rPr>
            <w:rFonts w:ascii="Cambria Math" w:hAnsi="Cambria Math"/>
          </w:rPr>
          <m:t>c</m:t>
        </m:r>
      </m:oMath>
      <w:r>
        <w:t>). It implements the additive activation formula proposed by Oberauer and Lewandowsky (</w:t>
      </w:r>
      <w:hyperlink w:anchor="ref-oberauer2019simple">
        <w:r>
          <w:rPr>
            <w:rStyle w:val="Hyperlink"/>
          </w:rPr>
          <w:t>2019</w:t>
        </w:r>
      </w:hyperlink>
      <w:r>
        <w:t>).</w:t>
      </w:r>
    </w:p>
    <w:p w14:paraId="300347C8" w14:textId="77777777" w:rsidR="00F70B7A" w:rsidRDefault="00000000">
      <w:pPr>
        <w:pStyle w:val="BodyText"/>
      </w:pPr>
      <w:r>
        <w:t xml:space="preserve">The </w:t>
      </w:r>
      <w:r>
        <w:rPr>
          <w:b/>
          <w:bCs/>
        </w:rPr>
        <w:t>complex span</w:t>
      </w:r>
      <w:r>
        <w:t xml:space="preserve"> (</w:t>
      </w:r>
      <w:r>
        <w:rPr>
          <w:rStyle w:val="VerbatimChar"/>
        </w:rPr>
        <w:t>cs</w:t>
      </w:r>
      <w:r>
        <w:t>) version extends the simple span to tasks that interleave distractor processing with memorization. It requires that memoranda and distractors are drawn from the same material so that distractors can plausibly intrude during retrieval (</w:t>
      </w:r>
      <w:hyperlink w:anchor="ref-li2026filtering">
        <w:r>
          <w:rPr>
            <w:rStyle w:val="Hyperlink"/>
          </w:rPr>
          <w:t>Li et al., 2026</w:t>
        </w:r>
      </w:hyperlink>
      <w:r>
        <w:t xml:space="preserve">; for examples, see </w:t>
      </w:r>
      <w:hyperlink w:anchor="ref-oberauer2019simple">
        <w:r>
          <w:rPr>
            <w:rStyle w:val="Hyperlink"/>
          </w:rPr>
          <w:t>Oberauer &amp; Lewandowsky, 2019</w:t>
        </w:r>
      </w:hyperlink>
      <w:r>
        <w:t xml:space="preserve">). The </w:t>
      </w:r>
      <w:r>
        <w:rPr>
          <w:rStyle w:val="VerbatimChar"/>
        </w:rPr>
        <w:t>cs</w:t>
      </w:r>
      <w:r>
        <w:t xml:space="preserve"> version separates five response categories (correct, paired distractor, other memorandum, other distractor, and NPL) with three free parameters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f</m:t>
        </m:r>
      </m:oMath>
      <w:r>
        <w:t xml:space="preserve">). The additional parameter </w:t>
      </w:r>
      <m:oMath>
        <m:r>
          <w:rPr>
            <w:rFonts w:ascii="Cambria Math" w:hAnsi="Cambria Math"/>
          </w:rPr>
          <m:t>f</m:t>
        </m:r>
      </m:oMath>
      <w:r>
        <w:t xml:space="preserve"> captures distractor filtering efficiency on a scale from 0 to 1: </w:t>
      </w:r>
      <m:oMath>
        <m:r>
          <w:rPr>
            <w:rFonts w:ascii="Cambria Math" w:hAnsi="Cambria Math"/>
          </w:rPr>
          <m:t>f</m:t>
        </m:r>
        <m:r>
          <m:rPr>
            <m:sty m:val="p"/>
          </m:rPr>
          <w:rPr>
            <w:rFonts w:ascii="Cambria Math" w:hAnsi="Cambria Math"/>
          </w:rPr>
          <m:t>=</m:t>
        </m:r>
        <m:r>
          <w:rPr>
            <w:rFonts w:ascii="Cambria Math" w:hAnsi="Cambria Math"/>
          </w:rPr>
          <m:t>0</m:t>
        </m:r>
      </m:oMath>
      <w:r>
        <w:t xml:space="preserve"> indicates perfect filtering (distractors receive only baseline activation), while </w:t>
      </w:r>
      <m:oMath>
        <m:r>
          <w:rPr>
            <w:rFonts w:ascii="Cambria Math" w:hAnsi="Cambria Math"/>
          </w:rPr>
          <m:t>f</m:t>
        </m:r>
        <m:r>
          <m:rPr>
            <m:sty m:val="p"/>
          </m:rPr>
          <w:rPr>
            <w:rFonts w:ascii="Cambria Math" w:hAnsi="Cambria Math"/>
          </w:rPr>
          <m:t>=</m:t>
        </m:r>
        <m:r>
          <w:rPr>
            <w:rFonts w:ascii="Cambria Math" w:hAnsi="Cambria Math"/>
          </w:rPr>
          <m:t>1</m:t>
        </m:r>
      </m:oMath>
      <w:r>
        <w:t xml:space="preserve"> indicates no filtering (distractors are activated as strongly as memoranda).</w:t>
      </w:r>
    </w:p>
    <w:p w14:paraId="08E57DE1" w14:textId="77777777" w:rsidR="00F70B7A" w:rsidRDefault="00000000">
      <w:pPr>
        <w:pStyle w:val="BodyText"/>
      </w:pPr>
      <w:r>
        <w:t xml:space="preserve">The </w:t>
      </w:r>
      <w:r>
        <w:rPr>
          <w:b/>
          <w:bCs/>
        </w:rPr>
        <w:t>custom</w:t>
      </w:r>
      <w:r>
        <w:t xml:space="preserve"> version allows user-defined response categories, activation formulas, and parameters. This version allows researchers to specify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of arbitrary complexity for novel task designs, as long as the model remains identified. The only requirement is that all activation formulas include the baseline activation </w:t>
      </w:r>
      <m:oMath>
        <m:r>
          <w:rPr>
            <w:rFonts w:ascii="Cambria Math" w:hAnsi="Cambria Math"/>
          </w:rPr>
          <m:t>b</m:t>
        </m:r>
      </m:oMath>
      <w:r>
        <w:t xml:space="preserve">, which reflects random guessing if no other activations </w:t>
      </w:r>
      <w:r>
        <w:lastRenderedPageBreak/>
        <w:t xml:space="preserve">were included. The </w:t>
      </w:r>
      <w:r>
        <w:rPr>
          <w:rStyle w:val="VerbatimChar"/>
        </w:rPr>
        <w:t>bmm</w:t>
      </w:r>
      <w:r>
        <w:t xml:space="preserve"> package provides a flexible syntax for defining custom models. Tutorial 3 demonstrates how to define and fit a custom model, and Tutorial 4 shows how to validate custom models through parameter recovery simulations.</w:t>
      </w:r>
    </w:p>
    <w:p w14:paraId="671AD962" w14:textId="77777777" w:rsidR="00F70B7A" w:rsidRDefault="00000000">
      <w:pPr>
        <w:pStyle w:val="Heading2"/>
      </w:pPr>
      <w:bookmarkStart w:id="10" w:name="the-bmm-workflow"/>
      <w:bookmarkEnd w:id="9"/>
      <w:r>
        <w:t>The bmm Workflow</w:t>
      </w:r>
    </w:p>
    <w:p w14:paraId="0C126ABB" w14:textId="77777777" w:rsidR="00F70B7A" w:rsidRDefault="00000000">
      <w:pPr>
        <w:pStyle w:val="FirstParagraph"/>
      </w:pPr>
      <w:r>
        <w:t xml:space="preserve">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the </w:t>
      </w:r>
      <w:r>
        <w:rPr>
          <w:rStyle w:val="VerbatimChar"/>
        </w:rPr>
        <w:t>bmm</w:t>
      </w:r>
      <w:r>
        <w:t xml:space="preserve"> R package (</w:t>
      </w:r>
      <w:hyperlink w:anchor="ref-bmm2025">
        <w:r>
          <w:rPr>
            <w:rStyle w:val="Hyperlink"/>
          </w:rPr>
          <w:t>Popov et al., 2025</w:t>
        </w:r>
      </w:hyperlink>
      <w:r>
        <w:t>) follows a three-step workflow that is consistent for all measurement models implemented in the package:</w:t>
      </w:r>
    </w:p>
    <w:p w14:paraId="39955184" w14:textId="77777777" w:rsidR="00F70B7A" w:rsidRDefault="00000000" w:rsidP="006915B9">
      <w:pPr>
        <w:pStyle w:val="Compact"/>
        <w:numPr>
          <w:ilvl w:val="0"/>
          <w:numId w:val="24"/>
        </w:numPr>
        <w:spacing w:line="480" w:lineRule="auto"/>
      </w:pPr>
      <w:r>
        <w:rPr>
          <w:b/>
          <w:bCs/>
        </w:rPr>
        <w:t>Define the model</w:t>
      </w:r>
      <w:r>
        <w:t xml:space="preserve">: The package includes a constructor function </w:t>
      </w:r>
      <w:r>
        <w:rPr>
          <w:rStyle w:val="VerbatimChar"/>
        </w:rPr>
        <w:t>m3()</w:t>
      </w:r>
      <w:r>
        <w:t xml:space="preserve"> that generates a model object with all relevant information for model specification. This entails the variable names of response categories in the data, the number of response options per category, the model version, and the choice rule.</w:t>
      </w:r>
    </w:p>
    <w:p w14:paraId="3064F6AB" w14:textId="77777777" w:rsidR="00F70B7A" w:rsidRDefault="00000000" w:rsidP="006915B9">
      <w:pPr>
        <w:pStyle w:val="Compact"/>
        <w:numPr>
          <w:ilvl w:val="0"/>
          <w:numId w:val="24"/>
        </w:numPr>
        <w:spacing w:line="480" w:lineRule="auto"/>
      </w:pPr>
      <w:r>
        <w:rPr>
          <w:b/>
          <w:bCs/>
        </w:rPr>
        <w:t>Specify predictor formulas</w:t>
      </w:r>
      <w:r>
        <w:t xml:space="preserve">: The </w:t>
      </w:r>
      <w:r>
        <w:rPr>
          <w:rStyle w:val="VerbatimChar"/>
        </w:rPr>
        <w:t>bmm</w:t>
      </w:r>
      <w:r>
        <w:t xml:space="preserve"> package provides a </w:t>
      </w:r>
      <w:r>
        <w:rPr>
          <w:rStyle w:val="VerbatimChar"/>
        </w:rPr>
        <w:t>bmmformula()</w:t>
      </w:r>
      <w:r>
        <w:t xml:space="preserve"> or shorthand </w:t>
      </w:r>
      <w:r>
        <w:rPr>
          <w:rStyle w:val="VerbatimChar"/>
        </w:rPr>
        <w:t>bmf()</w:t>
      </w:r>
      <w:r>
        <w:t xml:space="preserve"> function to specify the linear prediction formulas that define how experimental conditions and individual differences predict each activation parameter. The </w:t>
      </w:r>
      <w:r>
        <w:rPr>
          <w:rStyle w:val="VerbatimChar"/>
        </w:rPr>
        <w:t>bmmformula</w:t>
      </w:r>
      <w:r>
        <w:t xml:space="preserve"> syntax uses the same formula syntax as </w:t>
      </w:r>
      <w:r>
        <w:rPr>
          <w:rStyle w:val="VerbatimChar"/>
        </w:rPr>
        <w:t>brms</w:t>
      </w:r>
      <w:r>
        <w:t xml:space="preserve"> (</w:t>
      </w:r>
      <w:hyperlink w:anchor="ref-burkner2017brms">
        <w:r>
          <w:rPr>
            <w:rStyle w:val="Hyperlink"/>
          </w:rPr>
          <w:t>Bürkner, 2017</w:t>
        </w:r>
      </w:hyperlink>
      <w:r>
        <w:t>) and also includes random effects and non-linear formulas.</w:t>
      </w:r>
      <w:r>
        <w:rPr>
          <w:rStyle w:val="FootnoteReference"/>
        </w:rPr>
        <w:footnoteReference w:id="3"/>
      </w:r>
    </w:p>
    <w:p w14:paraId="2C57BD10" w14:textId="77777777" w:rsidR="00F70B7A" w:rsidRDefault="00000000" w:rsidP="006915B9">
      <w:pPr>
        <w:pStyle w:val="Compact"/>
        <w:numPr>
          <w:ilvl w:val="0"/>
          <w:numId w:val="24"/>
        </w:numPr>
        <w:spacing w:line="480" w:lineRule="auto"/>
      </w:pPr>
      <w:r>
        <w:rPr>
          <w:b/>
          <w:bCs/>
        </w:rPr>
        <w:t>Fit the model</w:t>
      </w:r>
      <w:r>
        <w:t xml:space="preserve">: The model object and prediction formula are passed to </w:t>
      </w:r>
      <w:r>
        <w:rPr>
          <w:rStyle w:val="VerbatimChar"/>
        </w:rPr>
        <w:t>bmm()</w:t>
      </w:r>
      <w:r>
        <w:t xml:space="preserve"> together with the data. This function translates the specification into a </w:t>
      </w:r>
      <w:r>
        <w:rPr>
          <w:rStyle w:val="VerbatimChar"/>
        </w:rPr>
        <w:t>brms</w:t>
      </w:r>
      <w:r>
        <w:t xml:space="preserve"> model and passes it to Stan (</w:t>
      </w:r>
      <w:hyperlink w:anchor="ref-carpenter2017stan">
        <w:r>
          <w:rPr>
            <w:rStyle w:val="Hyperlink"/>
          </w:rPr>
          <w:t>Carpenter et al., 2017</w:t>
        </w:r>
      </w:hyperlink>
      <w:r>
        <w:t>) for Bayesian estimation.</w:t>
      </w:r>
    </w:p>
    <w:p w14:paraId="3CFCD878" w14:textId="77777777" w:rsidR="00F70B7A" w:rsidRDefault="00000000" w:rsidP="006915B9">
      <w:pPr>
        <w:pStyle w:val="FirstParagraph"/>
      </w:pPr>
      <w:r>
        <w:t xml:space="preserve">Because </w:t>
      </w:r>
      <w:r>
        <w:rPr>
          <w:rStyle w:val="VerbatimChar"/>
        </w:rPr>
        <w:t>bmm</w:t>
      </w:r>
      <w:r>
        <w:t xml:space="preserve"> builds on </w:t>
      </w:r>
      <w:r>
        <w:rPr>
          <w:rStyle w:val="VerbatimChar"/>
        </w:rPr>
        <w:t>brms</w:t>
      </w:r>
      <w:r>
        <w:t xml:space="preserve">, fitted models inherit most of the </w:t>
      </w:r>
      <w:r>
        <w:rPr>
          <w:rStyle w:val="VerbatimChar"/>
        </w:rPr>
        <w:t>brms</w:t>
      </w:r>
      <w:r>
        <w:t xml:space="preserve"> post-processing ecosystem, including posterior predictive checks, hypothesis tests, and model comparison.</w:t>
      </w:r>
      <w:r>
        <w:rPr>
          <w:rStyle w:val="FootnoteReference"/>
        </w:rPr>
        <w:footnoteReference w:id="4"/>
      </w:r>
    </w:p>
    <w:p w14:paraId="4B093C46" w14:textId="77777777" w:rsidR="00F70B7A" w:rsidRDefault="00000000">
      <w:pPr>
        <w:pStyle w:val="Heading1"/>
      </w:pPr>
      <w:bookmarkStart w:id="11" w:name="tutorial-1-simple-span-m3"/>
      <w:bookmarkEnd w:id="6"/>
      <w:bookmarkEnd w:id="10"/>
      <w:r>
        <w:lastRenderedPageBreak/>
        <w:t xml:space="preserve">Tutorial 1: Simple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3C5A2A9D" w14:textId="77777777" w:rsidR="00F70B7A" w:rsidRDefault="00000000">
      <w:pPr>
        <w:pStyle w:val="FirstParagraph"/>
      </w:pPr>
      <w:r>
        <w:t xml:space="preserve">This tutorial walks through the complete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workflow for the </w:t>
      </w:r>
      <w:r>
        <w:rPr>
          <w:i/>
          <w:iCs/>
        </w:rPr>
        <w:t>simple span</w:t>
      </w:r>
      <w:r>
        <w:t xml:space="preserve"> (ss) version using data from Oberauer (</w:t>
      </w:r>
      <w:hyperlink w:anchor="ref-oberauer2019bindings">
        <w:r>
          <w:rPr>
            <w:rStyle w:val="Hyperlink"/>
          </w:rPr>
          <w:t>2019</w:t>
        </w:r>
      </w:hyperlink>
      <w:r>
        <w:t>), who measured cued recall with words presented in boxes distributed horizontally on the screen. Two experiments (20 participants each) differed in stimulus set type: Experiment 1 used new words on each trial (open set), while Experiment 2 reused a small set of words across trials (closed set). Set size (2, 4, 6, 8 pairs) varied within participants. For more details on the experimental procedure please refer to the original publication. The full companion script available in the online supplement (</w:t>
      </w:r>
      <w:r>
        <w:rPr>
          <w:rStyle w:val="VerbatimChar"/>
        </w:rPr>
        <w:t>scripts/tutorial1_simple_span.R</w:t>
      </w:r>
      <w:r>
        <w:t>) contains all code; we reproduce the key steps here.</w:t>
      </w:r>
    </w:p>
    <w:p w14:paraId="6A219310" w14:textId="77777777" w:rsidR="00F70B7A" w:rsidRDefault="00000000">
      <w:pPr>
        <w:pStyle w:val="Heading2"/>
      </w:pPr>
      <w:bookmarkStart w:id="12" w:name="data"/>
      <w:r>
        <w:t>Data</w:t>
      </w:r>
    </w:p>
    <w:p w14:paraId="2513B856" w14:textId="77777777" w:rsidR="00F70B7A" w:rsidRDefault="00000000">
      <w:pPr>
        <w:pStyle w:val="FirstParagraph"/>
      </w:pPr>
      <w:r>
        <w:t xml:space="preserve">Each recognition trial presents a position probe (“?”) in one of the boxes together with a set of response options. This set contained the correct target, other studied items from the same list, and not-presented lures. Participants selected one item, producing a categorical response: </w:t>
      </w:r>
      <w:r>
        <w:rPr>
          <w:i/>
          <w:iCs/>
        </w:rPr>
        <w:t>correct</w:t>
      </w:r>
      <w:r>
        <w:t xml:space="preserve">, </w:t>
      </w:r>
      <w:r>
        <w:rPr>
          <w:i/>
          <w:iCs/>
        </w:rPr>
        <w:t>other</w:t>
      </w:r>
      <w:r>
        <w:t xml:space="preserve"> (intrusion from a different list position), or </w:t>
      </w:r>
      <w:r>
        <w:rPr>
          <w:i/>
          <w:iCs/>
        </w:rPr>
        <w:t>NPL</w:t>
      </w:r>
      <w:r>
        <w:t xml:space="preserve"> (not-presented lure). The number of response options per category varied across 24 recognition conditions (combinations of set size, list items in the recognition set, and number of lures) that we will not model in detail here.</w:t>
      </w:r>
    </w:p>
    <w:p w14:paraId="009387D3" w14:textId="77777777" w:rsidR="00F70B7A" w:rsidRDefault="00000000">
      <w:pPr>
        <w:pStyle w:val="BodyText"/>
      </w:pPr>
      <w:r>
        <w:t xml:space="preserve">A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in </w:t>
      </w:r>
      <w:r>
        <w:rPr>
          <w:rStyle w:val="VerbatimChar"/>
        </w:rPr>
        <w:t>bmm</w:t>
      </w:r>
      <w:r>
        <w:t xml:space="preserve"> expects aggregated data with one row per participant and condition. Each row must contain (a) response frequency counts for each response category — that is how often the participant chose each category — and (b) the number of response options available per category. For the simple span version, the three response categories are </w:t>
      </w:r>
      <w:r>
        <w:rPr>
          <w:i/>
          <w:iCs/>
        </w:rPr>
        <w:t>correct</w:t>
      </w:r>
      <w:r>
        <w:t xml:space="preserve">, </w:t>
      </w:r>
      <w:r>
        <w:rPr>
          <w:i/>
          <w:iCs/>
        </w:rPr>
        <w:t>other</w:t>
      </w:r>
      <w:r>
        <w:t xml:space="preserve">, and </w:t>
      </w:r>
      <w:r>
        <w:rPr>
          <w:i/>
          <w:iCs/>
        </w:rPr>
        <w:t>NPL</w:t>
      </w:r>
      <w:r>
        <w:t>, so the dataset requires three frequency columns (</w:t>
      </w:r>
      <w:r>
        <w:rPr>
          <w:rStyle w:val="VerbatimChar"/>
        </w:rPr>
        <w:t>corr</w:t>
      </w:r>
      <w:r>
        <w:t xml:space="preserve">, </w:t>
      </w:r>
      <w:r>
        <w:rPr>
          <w:rStyle w:val="VerbatimChar"/>
        </w:rPr>
        <w:t>other</w:t>
      </w:r>
      <w:r>
        <w:t xml:space="preserve">, </w:t>
      </w:r>
      <w:r>
        <w:rPr>
          <w:rStyle w:val="VerbatimChar"/>
        </w:rPr>
        <w:t>npl</w:t>
      </w:r>
      <w:r>
        <w:t>) and three option-count columns (</w:t>
      </w:r>
      <w:r>
        <w:rPr>
          <w:rStyle w:val="VerbatimChar"/>
        </w:rPr>
        <w:t>n_corr</w:t>
      </w:r>
      <w:r>
        <w:t xml:space="preserve">, </w:t>
      </w:r>
      <w:r>
        <w:rPr>
          <w:rStyle w:val="VerbatimChar"/>
        </w:rPr>
        <w:t>n_other</w:t>
      </w:r>
      <w:r>
        <w:t xml:space="preserve">, </w:t>
      </w:r>
      <w:r>
        <w:rPr>
          <w:rStyle w:val="VerbatimChar"/>
        </w:rPr>
        <w:t>n_npl</w:t>
      </w:r>
      <w:r>
        <w:t xml:space="preserve">). Any predictors of interest (here, mean-centered set size </w:t>
      </w:r>
      <w:r>
        <w:rPr>
          <w:rStyle w:val="VerbatimChar"/>
        </w:rPr>
        <w:t>ss_lin</w:t>
      </w:r>
      <w:r>
        <w:t xml:space="preserve"> and experiment </w:t>
      </w:r>
      <w:r>
        <w:rPr>
          <w:rStyle w:val="VerbatimChar"/>
        </w:rPr>
        <w:t>exp</w:t>
      </w:r>
      <w:r>
        <w:t xml:space="preserve">) are included as additional columns. The companion script </w:t>
      </w:r>
      <w:r>
        <w:lastRenderedPageBreak/>
        <w:t>(</w:t>
      </w:r>
      <w:r>
        <w:rPr>
          <w:rStyle w:val="VerbatimChar"/>
        </w:rPr>
        <w:t>scripts/tutorial1_simple_span.R</w:t>
      </w:r>
      <w:r>
        <w:t>) shows how to aggregate trial-level data from Oberauer (</w:t>
      </w:r>
      <w:hyperlink w:anchor="ref-oberauer2019bindings">
        <w:r>
          <w:rPr>
            <w:rStyle w:val="Hyperlink"/>
          </w:rPr>
          <w:t>2019</w:t>
        </w:r>
      </w:hyperlink>
      <w:r>
        <w:t xml:space="preserve">) into this format; the resulting dataset has 960 rows (40 participants </w:t>
      </w:r>
      <m:oMath>
        <m:r>
          <m:rPr>
            <m:sty m:val="p"/>
          </m:rPr>
          <w:rPr>
            <w:rFonts w:ascii="Cambria Math" w:hAnsi="Cambria Math"/>
          </w:rPr>
          <m:t>×</m:t>
        </m:r>
      </m:oMath>
      <w:r>
        <w:t xml:space="preserve"> 24 recognition conditions). Below are the first rows of the data set:</w:t>
      </w:r>
    </w:p>
    <w:p w14:paraId="36CE4F31" w14:textId="77777777" w:rsidR="00F70B7A" w:rsidRPr="006915B9" w:rsidRDefault="00000000" w:rsidP="006915B9">
      <w:pPr>
        <w:pStyle w:val="SourceCode"/>
        <w:spacing w:line="240" w:lineRule="auto"/>
        <w:rPr>
          <w:sz w:val="22"/>
          <w:szCs w:val="22"/>
        </w:rPr>
      </w:pPr>
      <w:r w:rsidRPr="006915B9">
        <w:rPr>
          <w:rStyle w:val="VerbatimChar"/>
          <w:sz w:val="21"/>
          <w:szCs w:val="22"/>
        </w:rPr>
        <w:t># A tibble: 6 × 12</w:t>
      </w:r>
      <w:r w:rsidRPr="006915B9">
        <w:rPr>
          <w:sz w:val="22"/>
          <w:szCs w:val="22"/>
        </w:rPr>
        <w:br/>
      </w:r>
      <w:r w:rsidRPr="006915B9">
        <w:rPr>
          <w:rStyle w:val="VerbatimChar"/>
          <w:sz w:val="21"/>
          <w:szCs w:val="22"/>
        </w:rPr>
        <w:t xml:space="preserve">  id     exp   setsize rsizeList rsizeNPL  corr other   npl n_corr n_other n_npl</w:t>
      </w:r>
      <w:r w:rsidRPr="006915B9">
        <w:rPr>
          <w:sz w:val="22"/>
          <w:szCs w:val="22"/>
        </w:rPr>
        <w:br/>
      </w:r>
      <w:r w:rsidRPr="006915B9">
        <w:rPr>
          <w:rStyle w:val="VerbatimChar"/>
          <w:sz w:val="21"/>
          <w:szCs w:val="22"/>
        </w:rPr>
        <w:t xml:space="preserve">  &lt;chr&gt;  &lt;fct&gt;   &lt;int&gt;     &lt;int&gt;    &lt;int&gt; &lt;int&gt; &lt;int&gt; &lt;int&gt;  &lt;dbl&gt;   &lt;dbl&gt; &lt;int&gt;</w:t>
      </w:r>
      <w:r w:rsidRPr="006915B9">
        <w:rPr>
          <w:sz w:val="22"/>
          <w:szCs w:val="22"/>
        </w:rPr>
        <w:br/>
      </w:r>
      <w:r w:rsidRPr="006915B9">
        <w:rPr>
          <w:rStyle w:val="VerbatimChar"/>
          <w:sz w:val="21"/>
          <w:szCs w:val="22"/>
        </w:rPr>
        <w:t>1 10_cl… clos…       2         1        1    23     0     0      1       0     1</w:t>
      </w:r>
      <w:r w:rsidRPr="006915B9">
        <w:rPr>
          <w:sz w:val="22"/>
          <w:szCs w:val="22"/>
        </w:rPr>
        <w:br/>
      </w:r>
      <w:r w:rsidRPr="006915B9">
        <w:rPr>
          <w:rStyle w:val="VerbatimChar"/>
          <w:sz w:val="21"/>
          <w:szCs w:val="22"/>
        </w:rPr>
        <w:t>2 10_cl… clos…       2         2        0    23     0     0      1       1     0</w:t>
      </w:r>
      <w:r w:rsidRPr="006915B9">
        <w:rPr>
          <w:sz w:val="22"/>
          <w:szCs w:val="22"/>
        </w:rPr>
        <w:br/>
      </w:r>
      <w:r w:rsidRPr="006915B9">
        <w:rPr>
          <w:rStyle w:val="VerbatimChar"/>
          <w:sz w:val="21"/>
          <w:szCs w:val="22"/>
        </w:rPr>
        <w:t>3 10_cl… clos…       2         2        2    23     0     0      1       1     2</w:t>
      </w:r>
      <w:r w:rsidRPr="006915B9">
        <w:rPr>
          <w:sz w:val="22"/>
          <w:szCs w:val="22"/>
        </w:rPr>
        <w:br/>
      </w:r>
      <w:r w:rsidRPr="006915B9">
        <w:rPr>
          <w:rStyle w:val="VerbatimChar"/>
          <w:sz w:val="21"/>
          <w:szCs w:val="22"/>
        </w:rPr>
        <w:t>4 10_cl… clos…       4         1        1    23     0     0      1       0     1</w:t>
      </w:r>
      <w:r w:rsidRPr="006915B9">
        <w:rPr>
          <w:sz w:val="22"/>
          <w:szCs w:val="22"/>
        </w:rPr>
        <w:br/>
      </w:r>
      <w:r w:rsidRPr="006915B9">
        <w:rPr>
          <w:rStyle w:val="VerbatimChar"/>
          <w:sz w:val="21"/>
          <w:szCs w:val="22"/>
        </w:rPr>
        <w:t>5 10_cl… clos…       4         2        0    23     0     0      1       1     0</w:t>
      </w:r>
      <w:r w:rsidRPr="006915B9">
        <w:rPr>
          <w:sz w:val="22"/>
          <w:szCs w:val="22"/>
        </w:rPr>
        <w:br/>
      </w:r>
      <w:r w:rsidRPr="006915B9">
        <w:rPr>
          <w:rStyle w:val="VerbatimChar"/>
          <w:sz w:val="21"/>
          <w:szCs w:val="22"/>
        </w:rPr>
        <w:t>6 10_cl… clos…       4         2        2    22     0     1      1       1     2</w:t>
      </w:r>
      <w:r w:rsidRPr="006915B9">
        <w:rPr>
          <w:sz w:val="22"/>
          <w:szCs w:val="22"/>
        </w:rPr>
        <w:br/>
      </w:r>
      <w:r w:rsidRPr="006915B9">
        <w:rPr>
          <w:rStyle w:val="VerbatimChar"/>
          <w:sz w:val="21"/>
          <w:szCs w:val="22"/>
        </w:rPr>
        <w:t># ℹ 1 more variable: ss_lin &lt;dbl&gt;</w:t>
      </w:r>
    </w:p>
    <w:p w14:paraId="23C0E4B8" w14:textId="77777777" w:rsidR="00F70B7A" w:rsidRDefault="00000000" w:rsidP="006915B9">
      <w:pPr>
        <w:pStyle w:val="Heading2"/>
        <w:spacing w:before="240"/>
      </w:pPr>
      <w:bookmarkStart w:id="13" w:name="model-specification"/>
      <w:bookmarkEnd w:id="12"/>
      <w:r>
        <w:t>Model Specification</w:t>
      </w:r>
    </w:p>
    <w:p w14:paraId="3A132496" w14:textId="77777777" w:rsidR="00F70B7A" w:rsidRDefault="00000000">
      <w:pPr>
        <w:pStyle w:val="FirstParagraph"/>
      </w:pPr>
      <w:r>
        <w:t xml:space="preserve">Specifying 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two R objects: (a)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object using the </w:t>
      </w:r>
      <w:r>
        <w:rPr>
          <w:rStyle w:val="VerbatimChar"/>
        </w:rPr>
        <w:t>m3()</w:t>
      </w:r>
      <w:r>
        <w:t xml:space="preserve"> and (b) a predictor formula (</w:t>
      </w:r>
      <w:r>
        <w:rPr>
          <w:rStyle w:val="VerbatimChar"/>
        </w:rPr>
        <w:t>bmf()</w:t>
      </w:r>
      <w:r>
        <w:t xml:space="preserve">). For creating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object you need to call the </w:t>
      </w:r>
      <w:r>
        <w:rPr>
          <w:rStyle w:val="VerbatimChar"/>
        </w:rPr>
        <w:t>m3()</w:t>
      </w:r>
      <w:r>
        <w:t xml:space="preserve"> model constructor and pass (a) the name of the variables that contain the response frequency in all response categories, (b) the columns containing option counts or a named vector with the number of response options if they are constant for all observations, (c) the model version, and (d) the choice rule. If no model version is specified the </w:t>
      </w:r>
      <w:r>
        <w:rPr>
          <w:rStyle w:val="VerbatimChar"/>
        </w:rPr>
        <w:t>"custom"</w:t>
      </w:r>
      <w:r>
        <w:t xml:space="preserve"> version is used, and if no choice rule is specified the </w:t>
      </w:r>
      <w:r>
        <w:rPr>
          <w:rStyle w:val="VerbatimChar"/>
        </w:rPr>
        <w:t>"softmax"</w:t>
      </w:r>
      <w:r>
        <w:t xml:space="preserve"> rule is used as default.</w:t>
      </w:r>
    </w:p>
    <w:p w14:paraId="0B6F5BBF" w14:textId="77777777" w:rsidR="00F70B7A" w:rsidRDefault="00000000">
      <w:pPr>
        <w:pStyle w:val="BodyText"/>
      </w:pPr>
      <w:r>
        <w:t>When explicitly passing all arguments, the specification of the simple span model object for the data from Oberauer (</w:t>
      </w:r>
      <w:hyperlink w:anchor="ref-oberauer2019bindings">
        <w:r>
          <w:rPr>
            <w:rStyle w:val="Hyperlink"/>
          </w:rPr>
          <w:t>2019</w:t>
        </w:r>
      </w:hyperlink>
      <w:r>
        <w:t>) looks like this:</w:t>
      </w:r>
    </w:p>
    <w:p w14:paraId="4A1F6C47" w14:textId="77777777" w:rsidR="00F70B7A" w:rsidRDefault="00000000" w:rsidP="006915B9">
      <w:pPr>
        <w:pStyle w:val="SourceCode"/>
        <w:spacing w:line="240" w:lineRule="auto"/>
      </w:pPr>
      <w:r>
        <w:rPr>
          <w:rStyle w:val="NormalTok"/>
        </w:rPr>
        <w:t xml:space="preserve">m3_model_ss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"other"</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"n_other"</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"ss"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3289BAFB" w14:textId="77777777" w:rsidR="00F70B7A" w:rsidRDefault="00000000" w:rsidP="006915B9">
      <w:pPr>
        <w:pStyle w:val="FirstParagraph"/>
        <w:spacing w:before="240"/>
      </w:pPr>
      <w:r>
        <w:lastRenderedPageBreak/>
        <w:t xml:space="preserve">Once we have the model object specified, we can assess which parameters the model contains by calling </w:t>
      </w:r>
      <w:r>
        <w:rPr>
          <w:rStyle w:val="VerbatimChar"/>
        </w:rPr>
        <w:t>m3_model_ss$parameters</w:t>
      </w:r>
      <w:r>
        <w:t xml:space="preserve">. For the simple span version, the parameters are </w:t>
      </w:r>
      <w:r>
        <w:rPr>
          <w:rStyle w:val="VerbatimChar"/>
        </w:rPr>
        <w:t>a</w:t>
      </w:r>
      <w:r>
        <w:t xml:space="preserve"> (item activation) and </w:t>
      </w:r>
      <w:r>
        <w:rPr>
          <w:rStyle w:val="VerbatimChar"/>
        </w:rPr>
        <w:t>c</w:t>
      </w:r>
      <w:r>
        <w:t xml:space="preserve"> (context binding). The baseline parameter </w:t>
      </w:r>
      <w:r>
        <w:rPr>
          <w:rStyle w:val="VerbatimChar"/>
        </w:rPr>
        <w:t>b</w:t>
      </w:r>
      <w:r>
        <w:t xml:space="preserve"> is fixed and not estimated as can be seen in </w:t>
      </w:r>
      <w:r>
        <w:rPr>
          <w:rStyle w:val="VerbatimChar"/>
        </w:rPr>
        <w:t>m3_model_ss$fixed_parameters</w:t>
      </w:r>
      <w:r>
        <w:t>.</w:t>
      </w:r>
    </w:p>
    <w:p w14:paraId="68D70B32" w14:textId="77777777" w:rsidR="00F70B7A" w:rsidRDefault="00000000">
      <w:pPr>
        <w:pStyle w:val="BodyText"/>
      </w:pPr>
      <w:r>
        <w:t xml:space="preserve">One important note applies to all pre-built </w:t>
      </w:r>
      <w:r>
        <w:rPr>
          <w:rStyle w:val="VerbatimChar"/>
        </w:rPr>
        <w:t>m3()</w:t>
      </w:r>
      <w:r>
        <w:t xml:space="preserve"> versions: activation formulas are assigned to response categories </w:t>
      </w:r>
      <w:r>
        <w:rPr>
          <w:i/>
          <w:iCs/>
        </w:rPr>
        <w:t>by position</w:t>
      </w:r>
      <w:r>
        <w:t xml:space="preserve">, not by name. The </w:t>
      </w:r>
      <w:r>
        <w:rPr>
          <w:rStyle w:val="VerbatimChar"/>
        </w:rPr>
        <w:t>resp_cats</w:t>
      </w:r>
      <w:r>
        <w:t xml:space="preserve"> vector must therefore follow the canonical order for the chosen version — for </w:t>
      </w:r>
      <w:r>
        <w:rPr>
          <w:rStyle w:val="VerbatimChar"/>
        </w:rPr>
        <w:t>ss</w:t>
      </w:r>
      <w:r>
        <w:t xml:space="preserve">: </w:t>
      </w:r>
      <w:r>
        <w:rPr>
          <w:rStyle w:val="VerbatimChar"/>
        </w:rPr>
        <w:t>corr, other, npl</w:t>
      </w:r>
      <w:r>
        <w:t xml:space="preserve">. Supplying categories in a different order will silently assign the wrong activation formulas to the wrong categories, producing incorrect estimates without any warning. The same positional rule applies to </w:t>
      </w:r>
      <w:r>
        <w:rPr>
          <w:rStyle w:val="VerbatimChar"/>
        </w:rPr>
        <w:t>num_options</w:t>
      </w:r>
      <w:r>
        <w:t>.</w:t>
      </w:r>
    </w:p>
    <w:p w14:paraId="1CD5591B" w14:textId="77777777" w:rsidR="00F70B7A" w:rsidRDefault="00000000">
      <w:pPr>
        <w:pStyle w:val="BodyText"/>
      </w:pPr>
      <w:r>
        <w:t xml:space="preserve">With this information, we know that we can specify predictor formulas for the two activation parameters </w:t>
      </w:r>
      <m:oMath>
        <m:r>
          <w:rPr>
            <w:rFonts w:ascii="Cambria Math" w:hAnsi="Cambria Math"/>
          </w:rPr>
          <m:t>a</m:t>
        </m:r>
      </m:oMath>
      <w:r>
        <w:t xml:space="preserve"> and </w:t>
      </w:r>
      <m:oMath>
        <m:r>
          <w:rPr>
            <w:rFonts w:ascii="Cambria Math" w:hAnsi="Cambria Math"/>
          </w:rPr>
          <m:t>c</m:t>
        </m:r>
      </m:oMath>
      <w:r>
        <w:t>. Because the two experiments in Oberauer (</w:t>
      </w:r>
      <w:hyperlink w:anchor="ref-oberauer2019bindings">
        <w:r>
          <w:rPr>
            <w:rStyle w:val="Hyperlink"/>
          </w:rPr>
          <w:t>2019</w:t>
        </w:r>
      </w:hyperlink>
      <w:r>
        <w:t>) are between-subjects, we use cell means coding (</w:t>
      </w:r>
      <w:r>
        <w:rPr>
          <w:rStyle w:val="VerbatimChar"/>
        </w:rPr>
        <w:t>0 + exp</w:t>
      </w:r>
      <w:r>
        <w:t>) so that each experiment receives its own intercept rather than a difference from a reference level or grand mean. Similar to the original study by Oberauer (</w:t>
      </w:r>
      <w:hyperlink w:anchor="ref-oberauer2019bindings">
        <w:r>
          <w:rPr>
            <w:rStyle w:val="Hyperlink"/>
          </w:rPr>
          <w:t>2019</w:t>
        </w:r>
      </w:hyperlink>
      <w:r>
        <w:t>), we entered set size as a linear predictor (</w:t>
      </w:r>
      <w:r>
        <w:rPr>
          <w:rStyle w:val="VerbatimChar"/>
        </w:rPr>
        <w:t>exp:ss_lin</w:t>
      </w:r>
      <w:r>
        <w:t>), and random effects allowed both intercepts and slopes to vary across participants, with separate variance components per experiment (</w:t>
      </w:r>
      <w:r>
        <w:rPr>
          <w:rStyle w:val="VerbatimChar"/>
        </w:rPr>
        <w:t>gr(id, by = exp)</w:t>
      </w:r>
      <w:r>
        <w:t>)</w:t>
      </w:r>
      <w:r>
        <w:rPr>
          <w:rStyle w:val="FootnoteReference"/>
        </w:rPr>
        <w:footnoteReference w:id="5"/>
      </w:r>
      <w:r>
        <w:t>.</w:t>
      </w:r>
    </w:p>
    <w:p w14:paraId="3FC80F6A" w14:textId="77777777" w:rsidR="00F70B7A" w:rsidRDefault="00000000" w:rsidP="006915B9">
      <w:pPr>
        <w:pStyle w:val="SourceCode"/>
        <w:spacing w:line="240" w:lineRule="auto"/>
      </w:pPr>
      <w:r>
        <w:rPr>
          <w:rStyle w:val="NormalTok"/>
        </w:rPr>
        <w:t xml:space="preserve">m3_formula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w:t>
      </w:r>
    </w:p>
    <w:p w14:paraId="79042E98" w14:textId="77777777" w:rsidR="00F70B7A" w:rsidRDefault="00000000" w:rsidP="006915B9">
      <w:pPr>
        <w:pStyle w:val="FirstParagraph"/>
        <w:spacing w:before="240"/>
      </w:pPr>
      <w:r>
        <w:lastRenderedPageBreak/>
        <w:t xml:space="preserve">When using the softmax rule, </w:t>
      </w:r>
      <m:oMath>
        <m:r>
          <w:rPr>
            <w:rFonts w:ascii="Cambria Math" w:hAnsi="Cambria Math"/>
          </w:rPr>
          <m:t>a</m:t>
        </m:r>
      </m:oMath>
      <w:r>
        <w:t xml:space="preserve"> and </w:t>
      </w:r>
      <m:oMath>
        <m:r>
          <w:rPr>
            <w:rFonts w:ascii="Cambria Math" w:hAnsi="Cambria Math"/>
          </w:rPr>
          <m:t>c</m:t>
        </m:r>
      </m:oMath>
      <w:r>
        <w:t xml:space="preserve"> are estimated on the identity link (native activation scale) which can be seen via </w:t>
      </w:r>
      <w:r>
        <w:rPr>
          <w:rStyle w:val="VerbatimChar"/>
        </w:rPr>
        <w:t>m3_model_ss$links</w:t>
      </w:r>
      <w:r>
        <w:t xml:space="preserve">. Because there is some information about parameter ranges available from previous literature, </w:t>
      </w:r>
      <w:r>
        <w:rPr>
          <w:rStyle w:val="VerbatimChar"/>
        </w:rPr>
        <w:t>bmm</w:t>
      </w:r>
      <w:r>
        <w:t xml:space="preserve"> specifies weakly informative priors on the intercepts and effect parameters. This is different to </w:t>
      </w:r>
      <w:r>
        <w:rPr>
          <w:rStyle w:val="VerbatimChar"/>
        </w:rPr>
        <w:t>brms</w:t>
      </w:r>
      <w:r>
        <w:t xml:space="preserve">, which uses flat priors for effects by default. These default priors can be inspected with </w:t>
      </w:r>
      <w:r>
        <w:rPr>
          <w:rStyle w:val="VerbatimChar"/>
        </w:rPr>
        <w:t>default_prior(m3_formula, m3_model_ss, data = data_agg)</w:t>
      </w:r>
      <w:r>
        <w:t>. All these priors can be overridden if needed. Throughout this tutorial we use the defaults; Tutorial 2 shows how to set custom priors when needed.</w:t>
      </w:r>
    </w:p>
    <w:p w14:paraId="307C7C4C" w14:textId="77777777" w:rsidR="00F70B7A" w:rsidRDefault="00000000">
      <w:pPr>
        <w:pStyle w:val="Heading2"/>
      </w:pPr>
      <w:bookmarkStart w:id="14" w:name="model-fitting"/>
      <w:bookmarkEnd w:id="13"/>
      <w:r>
        <w:t>Model Fitting</w:t>
      </w:r>
    </w:p>
    <w:p w14:paraId="32B94BD9" w14:textId="77777777" w:rsidR="00F70B7A" w:rsidRDefault="00000000">
      <w:pPr>
        <w:pStyle w:val="FirstParagraph"/>
      </w:pPr>
      <w:r>
        <w:t xml:space="preserve">The </w:t>
      </w:r>
      <w:r>
        <w:rPr>
          <w:rStyle w:val="VerbatimChar"/>
        </w:rPr>
        <w:t>bmm()</w:t>
      </w:r>
      <w:r>
        <w:t xml:space="preserve"> function combines the model definition and formula, and passes them together with the data to </w:t>
      </w:r>
      <w:r>
        <w:rPr>
          <w:rStyle w:val="VerbatimChar"/>
        </w:rPr>
        <w:t>brms</w:t>
      </w:r>
      <w:r>
        <w:t xml:space="preserve"> and Stan, and returns a fitted model object. All models in this tutorial were estimated with the default setting of 4 chains of 2,000 iterations each (1,000 warmup), using </w:t>
      </w:r>
      <w:r>
        <w:rPr>
          <w:rStyle w:val="VerbatimChar"/>
        </w:rPr>
        <w:t>cmdstanr</w:t>
      </w:r>
      <w:r>
        <w:t xml:space="preserve"> as the backend. We set </w:t>
      </w:r>
      <w:r>
        <w:rPr>
          <w:rStyle w:val="VerbatimChar"/>
        </w:rPr>
        <w:t>sample_prior = "yes"</w:t>
      </w:r>
      <w:r>
        <w:t xml:space="preserve"> so that prior samples are available for later hypothesis tests. In addition, </w:t>
      </w:r>
      <w:r>
        <w:rPr>
          <w:rStyle w:val="VerbatimChar"/>
        </w:rPr>
        <w:t>save_pars = save_pars(all = TRUE)</w:t>
      </w:r>
      <w:r>
        <w:t xml:space="preserve"> specifies that all model parameters and likelihood results should be saved, which is necessary to perfrom model comparisons via Bayes Factors. The </w:t>
      </w:r>
      <w:r>
        <w:rPr>
          <w:rStyle w:val="VerbatimChar"/>
        </w:rPr>
        <w:t>file</w:t>
      </w:r>
      <w:r>
        <w:t xml:space="preserve"> argument caches the fitted model to disk; re-running the script loads the cached fit rather than re-fitting.</w:t>
      </w:r>
      <w:r>
        <w:rPr>
          <w:rStyle w:val="FootnoteReference"/>
        </w:rPr>
        <w:footnoteReference w:id="6"/>
      </w:r>
    </w:p>
    <w:p w14:paraId="099F8E50" w14:textId="77777777" w:rsidR="00F70B7A" w:rsidRDefault="00000000" w:rsidP="006915B9">
      <w:pPr>
        <w:pStyle w:val="SourceCode"/>
        <w:spacing w:line="240" w:lineRule="auto"/>
      </w:pPr>
      <w:r>
        <w:rPr>
          <w:rStyle w:val="NormalTok"/>
        </w:rPr>
        <w:t xml:space="preserve">fit_m3_ss_softmax </w:t>
      </w:r>
      <w:r>
        <w:rPr>
          <w:rStyle w:val="OtherTok"/>
        </w:rPr>
        <w:t>&lt;-</w:t>
      </w:r>
      <w:r>
        <w:rPr>
          <w:rStyle w:val="NormalTok"/>
        </w:rPr>
        <w:t xml:space="preserve"> </w:t>
      </w:r>
      <w:r>
        <w:rPr>
          <w:rStyle w:val="FunctionTok"/>
        </w:rPr>
        <w:t>bmm</w:t>
      </w:r>
      <w:r>
        <w:rPr>
          <w:rStyle w:val="NormalTok"/>
        </w:rPr>
        <w:t>(</w:t>
      </w:r>
      <w:r>
        <w:br/>
      </w:r>
      <w:r>
        <w:rPr>
          <w:rStyle w:val="NormalTok"/>
        </w:rPr>
        <w:t xml:space="preserve">  </w:t>
      </w:r>
      <w:r>
        <w:rPr>
          <w:rStyle w:val="AttributeTok"/>
        </w:rPr>
        <w:t>formula      =</w:t>
      </w:r>
      <w:r>
        <w:rPr>
          <w:rStyle w:val="NormalTok"/>
        </w:rPr>
        <w:t xml:space="preserve"> m3_formula,</w:t>
      </w:r>
      <w:r>
        <w:br/>
      </w:r>
      <w:r>
        <w:rPr>
          <w:rStyle w:val="NormalTok"/>
        </w:rPr>
        <w:t xml:space="preserve">  </w:t>
      </w:r>
      <w:r>
        <w:rPr>
          <w:rStyle w:val="AttributeTok"/>
        </w:rPr>
        <w:t>model        =</w:t>
      </w:r>
      <w:r>
        <w:rPr>
          <w:rStyle w:val="NormalTok"/>
        </w:rPr>
        <w:t xml:space="preserve"> m3_model_ss,</w:t>
      </w:r>
      <w:r>
        <w:br/>
      </w:r>
      <w:r>
        <w:rPr>
          <w:rStyle w:val="NormalTok"/>
        </w:rPr>
        <w:t xml:space="preserve">  </w:t>
      </w:r>
      <w:r>
        <w:rPr>
          <w:rStyle w:val="AttributeTok"/>
        </w:rPr>
        <w:t>data         =</w:t>
      </w:r>
      <w:r>
        <w:rPr>
          <w:rStyle w:val="NormalTok"/>
        </w:rPr>
        <w:t xml:space="preserve"> data_agg,</w:t>
      </w:r>
      <w:r>
        <w:br/>
      </w:r>
      <w:r>
        <w:rPr>
          <w:rStyle w:val="NormalTok"/>
        </w:rPr>
        <w:t xml:space="preserve">  </w:t>
      </w:r>
      <w:r>
        <w:rPr>
          <w:rStyle w:val="AttributeTok"/>
        </w:rPr>
        <w:t>cores        =</w:t>
      </w:r>
      <w:r>
        <w:rPr>
          <w:rStyle w:val="NormalTok"/>
        </w:rPr>
        <w:t xml:space="preserve"> </w:t>
      </w:r>
      <w:r>
        <w:rPr>
          <w:rStyle w:val="DecValTok"/>
        </w:rPr>
        <w:t>4</w:t>
      </w:r>
      <w:r>
        <w:rPr>
          <w:rStyle w:val="NormalTok"/>
        </w:rPr>
        <w:t>,</w:t>
      </w:r>
      <w:r>
        <w:br/>
      </w:r>
      <w:r>
        <w:rPr>
          <w:rStyle w:val="NormalTok"/>
        </w:rPr>
        <w:t xml:space="preserve">  </w:t>
      </w:r>
      <w:r>
        <w:rPr>
          <w:rStyle w:val="AttributeTok"/>
        </w:rPr>
        <w:t>backend      =</w:t>
      </w:r>
      <w:r>
        <w:rPr>
          <w:rStyle w:val="NormalTok"/>
        </w:rPr>
        <w:t xml:space="preserve"> </w:t>
      </w:r>
      <w:r>
        <w:rPr>
          <w:rStyle w:val="StringTok"/>
        </w:rPr>
        <w:t>"cmdstanr"</w:t>
      </w:r>
      <w:r>
        <w:rPr>
          <w:rStyle w:val="NormalTok"/>
        </w:rPr>
        <w:t>,</w:t>
      </w:r>
      <w:r>
        <w:br/>
      </w:r>
      <w:r>
        <w:rPr>
          <w:rStyle w:val="NormalTok"/>
        </w:rPr>
        <w:t xml:space="preserve">  </w:t>
      </w:r>
      <w:r>
        <w:rPr>
          <w:rStyle w:val="AttributeTok"/>
        </w:rPr>
        <w:t>sample_prior =</w:t>
      </w:r>
      <w:r>
        <w:rPr>
          <w:rStyle w:val="NormalTok"/>
        </w:rPr>
        <w:t xml:space="preserve"> </w:t>
      </w:r>
      <w:r>
        <w:rPr>
          <w:rStyle w:val="StringTok"/>
        </w:rPr>
        <w:t>"yes"</w:t>
      </w:r>
      <w:r>
        <w:rPr>
          <w:rStyle w:val="NormalTok"/>
        </w:rPr>
        <w:t>,</w:t>
      </w:r>
      <w:r>
        <w:br/>
      </w:r>
      <w:r>
        <w:rPr>
          <w:rStyle w:val="NormalTok"/>
        </w:rPr>
        <w:t xml:space="preserve">  </w:t>
      </w:r>
      <w:r>
        <w:rPr>
          <w:rStyle w:val="AttributeTok"/>
        </w:rPr>
        <w:t>save_pars    =</w:t>
      </w:r>
      <w:r>
        <w:rPr>
          <w:rStyle w:val="NormalTok"/>
        </w:rPr>
        <w:t xml:space="preserve"> </w:t>
      </w:r>
      <w:r>
        <w:rPr>
          <w:rStyle w:val="FunctionTok"/>
        </w:rPr>
        <w:t>save_pars</w:t>
      </w:r>
      <w:r>
        <w:rPr>
          <w:rStyle w:val="NormalTok"/>
        </w:rPr>
        <w:t>(</w:t>
      </w:r>
      <w:r>
        <w:rPr>
          <w:rStyle w:val="AttributeTok"/>
        </w:rPr>
        <w:t>all =</w:t>
      </w:r>
      <w:r>
        <w:rPr>
          <w:rStyle w:val="NormalTok"/>
        </w:rPr>
        <w:t xml:space="preserve"> </w:t>
      </w:r>
      <w:r>
        <w:rPr>
          <w:rStyle w:val="ConstantTok"/>
        </w:rPr>
        <w:t>TRUE</w:t>
      </w:r>
      <w:r>
        <w:rPr>
          <w:rStyle w:val="NormalTok"/>
        </w:rPr>
        <w:t>),</w:t>
      </w:r>
      <w:r>
        <w:br/>
      </w:r>
      <w:r>
        <w:rPr>
          <w:rStyle w:val="NormalTok"/>
        </w:rPr>
        <w:t xml:space="preserve">  </w:t>
      </w:r>
      <w:r>
        <w:rPr>
          <w:rStyle w:val="AttributeTok"/>
        </w:rPr>
        <w:t>file         =</w:t>
      </w:r>
      <w:r>
        <w:rPr>
          <w:rStyle w:val="NormalTok"/>
        </w:rPr>
        <w:t xml:space="preserve"> </w:t>
      </w:r>
      <w:r>
        <w:rPr>
          <w:rStyle w:val="FunctionTok"/>
        </w:rPr>
        <w:t>here</w:t>
      </w:r>
      <w:r>
        <w:rPr>
          <w:rStyle w:val="NormalTok"/>
        </w:rPr>
        <w:t>(</w:t>
      </w:r>
      <w:r>
        <w:rPr>
          <w:rStyle w:val="StringTok"/>
        </w:rPr>
        <w:t>"output"</w:t>
      </w:r>
      <w:r>
        <w:rPr>
          <w:rStyle w:val="NormalTok"/>
        </w:rPr>
        <w:t xml:space="preserve">, </w:t>
      </w:r>
      <w:r>
        <w:rPr>
          <w:rStyle w:val="StringTok"/>
        </w:rPr>
        <w:t>"fit_m3_ss_softmax"</w:t>
      </w:r>
      <w:r>
        <w:rPr>
          <w:rStyle w:val="NormalTok"/>
        </w:rPr>
        <w:t>)</w:t>
      </w:r>
      <w:r>
        <w:br/>
      </w:r>
      <w:r>
        <w:rPr>
          <w:rStyle w:val="NormalTok"/>
        </w:rPr>
        <w:t>)</w:t>
      </w:r>
    </w:p>
    <w:p w14:paraId="49235BAB" w14:textId="77777777" w:rsidR="00F70B7A" w:rsidRDefault="00000000">
      <w:pPr>
        <w:pStyle w:val="FirstParagraph"/>
      </w:pPr>
      <w:r>
        <w:lastRenderedPageBreak/>
        <w:t xml:space="preserve">As for all Bayesian models we should check convergence after fitting. The summary contains </w:t>
      </w:r>
      <w:r>
        <w:rPr>
          <w:rStyle w:val="VerbatimChar"/>
        </w:rPr>
        <w:t>summary(fit_m3_ss_softmax)</w:t>
      </w:r>
      <w:r>
        <w:t xml:space="preserve"> convergence statistics </w:t>
      </w:r>
      <m:oMath>
        <m:acc>
          <m:accPr>
            <m:ctrlPr>
              <w:rPr>
                <w:rFonts w:ascii="Cambria Math" w:hAnsi="Cambria Math"/>
              </w:rPr>
            </m:ctrlPr>
          </m:accPr>
          <m:e>
            <m:r>
              <w:rPr>
                <w:rFonts w:ascii="Cambria Math" w:hAnsi="Cambria Math"/>
              </w:rPr>
              <m:t>R</m:t>
            </m:r>
          </m:e>
        </m:acc>
      </m:oMath>
      <w:r>
        <w:t xml:space="preserve"> for all major model parameters. All </w:t>
      </w:r>
      <m:oMath>
        <m:acc>
          <m:accPr>
            <m:ctrlPr>
              <w:rPr>
                <w:rFonts w:ascii="Cambria Math" w:hAnsi="Cambria Math"/>
              </w:rPr>
            </m:ctrlPr>
          </m:accPr>
          <m:e>
            <m:r>
              <w:rPr>
                <w:rFonts w:ascii="Cambria Math" w:hAnsi="Cambria Math"/>
              </w:rPr>
              <m:t>R</m:t>
            </m:r>
          </m:e>
        </m:acc>
      </m:oMath>
      <w:r>
        <w:t xml:space="preserve"> values (</w:t>
      </w:r>
      <w:hyperlink w:anchor="ref-gelman1992inference">
        <w:r>
          <w:rPr>
            <w:rStyle w:val="Hyperlink"/>
          </w:rPr>
          <w:t>Gelman &amp; Rubin, 1992</w:t>
        </w:r>
      </w:hyperlink>
      <w:r>
        <w:t>) should be below 1.01 and effective sample sizes should be adequate. For all models in this tutorial, these criteria were met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1.006, bulk ESS </w:t>
      </w:r>
      <m:oMath>
        <m:r>
          <m:rPr>
            <m:sty m:val="p"/>
          </m:rPr>
          <w:rPr>
            <w:rFonts w:ascii="Cambria Math" w:hAnsi="Cambria Math"/>
          </w:rPr>
          <m:t>&gt;</m:t>
        </m:r>
      </m:oMath>
      <w:r>
        <w:t xml:space="preserve"> 514).</w:t>
      </w:r>
      <w:r>
        <w:rPr>
          <w:rStyle w:val="FootnoteReference"/>
        </w:rPr>
        <w:footnoteReference w:id="7"/>
      </w:r>
      <w:r>
        <w:t xml:space="preserve"> Ocassionally, Stan may report warnings for divergent transitions, hitting the maximum tree depth, or low effective sample sizes. These issues can often be resolved by increasing the number of iterations, adjusting the </w:t>
      </w:r>
      <w:r>
        <w:rPr>
          <w:rStyle w:val="VerbatimChar"/>
        </w:rPr>
        <w:t>adapt_delta</w:t>
      </w:r>
      <w:r>
        <w:t xml:space="preserve"> parameter, or reparameterizing the model. For guidance on addressing convergence issues, see the </w:t>
      </w:r>
      <w:r>
        <w:rPr>
          <w:rStyle w:val="VerbatimChar"/>
        </w:rPr>
        <w:t>brms</w:t>
      </w:r>
      <w:r>
        <w:t xml:space="preserve"> documentation and resources on Bayesian modeling best practices. In cases where more samples and tuning do not resolve convergence issues, it may be necessary to simplify the model or reconsider the model specification.</w:t>
      </w:r>
    </w:p>
    <w:p w14:paraId="6C808955" w14:textId="77777777" w:rsidR="00F70B7A" w:rsidRDefault="00000000">
      <w:pPr>
        <w:pStyle w:val="Heading2"/>
      </w:pPr>
      <w:bookmarkStart w:id="15" w:name="model-evaluation"/>
      <w:bookmarkEnd w:id="14"/>
      <w:r>
        <w:t>Model Evaluation</w:t>
      </w:r>
    </w:p>
    <w:p w14:paraId="1A217665" w14:textId="3E1A76EF" w:rsidR="00F70B7A" w:rsidRDefault="00000000">
      <w:pPr>
        <w:pStyle w:val="FirstParagraph"/>
      </w:pPr>
      <w:r>
        <w:t xml:space="preserve">Before interpreting parameter estimates, we verify that the fitted model matches the observed data. A posterior predictive check compares observed response proportions to model-predicted proportions; systematic discrepancies would indicate that the activation formulas or choice rule fail to capture the data-generating process. We used </w:t>
      </w:r>
      <w:r>
        <w:rPr>
          <w:rStyle w:val="VerbatimChar"/>
        </w:rPr>
        <w:t>posterior_epred()</w:t>
      </w:r>
      <w:r>
        <w:t xml:space="preserve"> provided from the </w:t>
      </w:r>
      <w:r>
        <w:rPr>
          <w:rStyle w:val="VerbatimChar"/>
        </w:rPr>
        <w:t>brms</w:t>
      </w:r>
      <w:r>
        <w:t xml:space="preserve"> package to obtain expected counts per category for each observation. We then averaged across posterior draws, and aggregated to participant-level proportions by set size and experiment. </w:t>
      </w:r>
      <w:hyperlink w:anchor="fig-t1-pp-check">
        <w:r>
          <w:rPr>
            <w:rStyle w:val="Hyperlink"/>
          </w:rPr>
          <w:t>Figure 3</w:t>
        </w:r>
      </w:hyperlink>
      <w:r>
        <w:t xml:space="preserve"> shows the result. Across all conditions and response categories, predicted </w:t>
      </w:r>
      <w:r w:rsidR="006915B9">
        <w:rPr>
          <w:noProof/>
        </w:rPr>
        <w:lastRenderedPageBreak/>
        <mc:AlternateContent>
          <mc:Choice Requires="wps">
            <w:drawing>
              <wp:anchor distT="0" distB="0" distL="114300" distR="114300" simplePos="0" relativeHeight="251663360" behindDoc="0" locked="0" layoutInCell="1" allowOverlap="1" wp14:anchorId="19617FA8" wp14:editId="203F2501">
                <wp:simplePos x="0" y="0"/>
                <wp:positionH relativeFrom="column">
                  <wp:posOffset>0</wp:posOffset>
                </wp:positionH>
                <wp:positionV relativeFrom="paragraph">
                  <wp:posOffset>1285240</wp:posOffset>
                </wp:positionV>
                <wp:extent cx="1828800" cy="1828800"/>
                <wp:effectExtent l="0" t="0" r="0" b="0"/>
                <wp:wrapSquare wrapText="bothSides"/>
                <wp:docPr id="18886216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05AC755" w14:textId="77777777" w:rsidR="006915B9" w:rsidRDefault="006915B9">
                            <w:pPr>
                              <w:pStyle w:val="FigureTitle"/>
                            </w:pPr>
                            <w:r>
                              <w:t>Figure 3</w:t>
                            </w:r>
                          </w:p>
                          <w:p w14:paraId="559DB92E" w14:textId="77777777" w:rsidR="006915B9" w:rsidRDefault="006915B9" w:rsidP="006915B9">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1ED6077C" w14:textId="77777777" w:rsidR="006915B9" w:rsidRPr="0046067E" w:rsidRDefault="006915B9" w:rsidP="0046067E">
                            <w:pPr>
                              <w:pStyle w:val="FigureWithoutNote"/>
                              <w:rPr>
                                <w:noProof/>
                              </w:rPr>
                            </w:pPr>
                            <w:r>
                              <w:rPr>
                                <w:noProof/>
                              </w:rPr>
                              <w:drawing>
                                <wp:inline distT="0" distB="0" distL="0" distR="0" wp14:anchorId="0CFCE680" wp14:editId="5D237B4A">
                                  <wp:extent cx="5943600" cy="5486400"/>
                                  <wp:effectExtent l="0" t="0" r="0" b="0"/>
                                  <wp:docPr id="453824831" name="Picture"/>
                                  <wp:cNvGraphicFramePr/>
                                  <a:graphic xmlns:a="http://schemas.openxmlformats.org/drawingml/2006/main">
                                    <a:graphicData uri="http://schemas.openxmlformats.org/drawingml/2006/picture">
                                      <pic:pic xmlns:pic="http://schemas.openxmlformats.org/drawingml/2006/picture">
                                        <pic:nvPicPr>
                                          <pic:cNvPr id="61" name="Picture" descr="../figures/tutorial1_pp_check_softmax.pdf"/>
                                          <pic:cNvPicPr>
                                            <a:picLocks noChangeAspect="1" noChangeArrowheads="1"/>
                                          </pic:cNvPicPr>
                                        </pic:nvPicPr>
                                        <pic:blipFill>
                                          <a:blip r:embed="rId14"/>
                                          <a:stretch>
                                            <a:fillRect/>
                                          </a:stretch>
                                        </pic:blipFill>
                                        <pic:spPr bwMode="auto">
                                          <a:xfrm>
                                            <a:off x="0" y="0"/>
                                            <a:ext cx="5943600" cy="54864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617FA8" id="_x0000_s1028" type="#_x0000_t202" style="position:absolute;left:0;text-align:left;margin-left:0;margin-top:101.2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" filled="f" strokeweight=".5pt">
                <v:fill o:detectmouseclick="t"/>
                <v:textbox style="mso-fit-shape-to-text:t">
                  <w:txbxContent>
                    <w:p w14:paraId="205AC755" w14:textId="77777777" w:rsidR="006915B9" w:rsidRDefault="006915B9">
                      <w:pPr>
                        <w:pStyle w:val="FigureTitle"/>
                      </w:pPr>
                      <w:r>
                        <w:t>Figure 3</w:t>
                      </w:r>
                    </w:p>
                    <w:p w14:paraId="559DB92E" w14:textId="77777777" w:rsidR="006915B9" w:rsidRDefault="006915B9" w:rsidP="006915B9">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1ED6077C" w14:textId="77777777" w:rsidR="006915B9" w:rsidRPr="0046067E" w:rsidRDefault="006915B9" w:rsidP="0046067E">
                      <w:pPr>
                        <w:pStyle w:val="FigureWithoutNote"/>
                        <w:rPr>
                          <w:noProof/>
                        </w:rPr>
                      </w:pPr>
                      <w:r>
                        <w:rPr>
                          <w:noProof/>
                        </w:rPr>
                        <w:drawing>
                          <wp:inline distT="0" distB="0" distL="0" distR="0" wp14:anchorId="0CFCE680" wp14:editId="5D237B4A">
                            <wp:extent cx="5943600" cy="5486400"/>
                            <wp:effectExtent l="0" t="0" r="0" b="0"/>
                            <wp:docPr id="453824831" name="Picture"/>
                            <wp:cNvGraphicFramePr/>
                            <a:graphic xmlns:a="http://schemas.openxmlformats.org/drawingml/2006/main">
                              <a:graphicData uri="http://schemas.openxmlformats.org/drawingml/2006/picture">
                                <pic:pic xmlns:pic="http://schemas.openxmlformats.org/drawingml/2006/picture">
                                  <pic:nvPicPr>
                                    <pic:cNvPr id="61" name="Picture" descr="../figures/tutorial1_pp_check_softmax.pdf"/>
                                    <pic:cNvPicPr>
                                      <a:picLocks noChangeAspect="1" noChangeArrowheads="1"/>
                                    </pic:cNvPicPr>
                                  </pic:nvPicPr>
                                  <pic:blipFill>
                                    <a:blip r:embed="rId14"/>
                                    <a:stretch>
                                      <a:fillRect/>
                                    </a:stretch>
                                  </pic:blipFill>
                                  <pic:spPr bwMode="auto">
                                    <a:xfrm>
                                      <a:off x="0" y="0"/>
                                      <a:ext cx="5943600" cy="5486400"/>
                                    </a:xfrm>
                                    <a:prstGeom prst="rect">
                                      <a:avLst/>
                                    </a:prstGeom>
                                    <a:noFill/>
                                    <a:ln w="9525">
                                      <a:noFill/>
                                      <a:headEnd/>
                                      <a:tailEnd/>
                                    </a:ln>
                                  </pic:spPr>
                                </pic:pic>
                              </a:graphicData>
                            </a:graphic>
                          </wp:inline>
                        </w:drawing>
                      </w:r>
                    </w:p>
                  </w:txbxContent>
                </v:textbox>
                <w10:wrap type="square"/>
              </v:shape>
            </w:pict>
          </mc:Fallback>
        </mc:AlternateContent>
      </w:r>
      <w:r>
        <w:t xml:space="preserve">proportions fall within one standard error of the observed means, indicating that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softmax choice rule adequately captures the response distributions.</w:t>
      </w:r>
    </w:p>
    <w:p w14:paraId="2F6F077C" w14:textId="6D3FA7EF" w:rsidR="00F70B7A" w:rsidRDefault="00000000">
      <w:pPr>
        <w:pStyle w:val="Heading2"/>
      </w:pPr>
      <w:bookmarkStart w:id="16" w:name="parameter-estimates"/>
      <w:bookmarkEnd w:id="15"/>
      <w:r>
        <w:lastRenderedPageBreak/>
        <w:t>Parameter Estimates</w:t>
      </w:r>
    </w:p>
    <w:p w14:paraId="517EE069" w14:textId="77777777" w:rsidR="00F70B7A" w:rsidRDefault="00000000">
      <w:pPr>
        <w:pStyle w:val="FirstParagraph"/>
      </w:pPr>
      <w:r>
        <w:t>With the model validated, we can examine how item memory (</w:t>
      </w:r>
      <m:oMath>
        <m:r>
          <w:rPr>
            <w:rFonts w:ascii="Cambria Math" w:hAnsi="Cambria Math"/>
          </w:rPr>
          <m:t>a</m:t>
        </m:r>
      </m:oMath>
      <w:r>
        <w:t>) and context binding (</w:t>
      </w:r>
      <m:oMath>
        <m:r>
          <w:rPr>
            <w:rFonts w:ascii="Cambria Math" w:hAnsi="Cambria Math"/>
          </w:rPr>
          <m:t>c</m:t>
        </m:r>
      </m:oMath>
      <w:r>
        <w:t xml:space="preserve">) varied across set sizes and experiments. Under the softmax choice rule, both parameters are on the identity link, so the posterior draws are directly interpretable as activation values. To compute condition-specific estimates, we reconstructed the linear predictor from the fixed effects: for each set size </w:t>
      </w:r>
      <m:oMath>
        <m:r>
          <w:rPr>
            <w:rFonts w:ascii="Cambria Math" w:hAnsi="Cambria Math"/>
          </w:rPr>
          <m:t>s</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exp:ss_lin</m:t>
            </m:r>
          </m:sub>
        </m:sSub>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e>
        </m:d>
      </m:oMath>
      <w:r>
        <w:t xml:space="preserve">, and analogously for </w:t>
      </w:r>
      <m:oMath>
        <m:r>
          <w:rPr>
            <w:rFonts w:ascii="Cambria Math" w:hAnsi="Cambria Math"/>
          </w:rPr>
          <m:t>c</m:t>
        </m:r>
      </m:oMath>
      <w:r>
        <w:t xml:space="preserve">. The companion script extracts draws using </w:t>
      </w:r>
      <w:r>
        <w:rPr>
          <w:rStyle w:val="VerbatimChar"/>
        </w:rPr>
        <w:t>tidybayes::as_draws_df()</w:t>
      </w:r>
      <w:r>
        <w:t xml:space="preserve"> and computes 95% highest-density intervals [HDIs; McElreath (</w:t>
      </w:r>
      <w:hyperlink w:anchor="ref-mcelreath2020statistical">
        <w:r>
          <w:rPr>
            <w:rStyle w:val="Hyperlink"/>
          </w:rPr>
          <w:t>2020</w:t>
        </w:r>
      </w:hyperlink>
      <w:r>
        <w:t xml:space="preserve">)] via </w:t>
      </w:r>
      <w:r>
        <w:rPr>
          <w:rStyle w:val="VerbatimChar"/>
        </w:rPr>
        <w:t>tidybayes::mean_hdci()</w:t>
      </w:r>
      <w:r>
        <w:t>.</w:t>
      </w:r>
    </w:p>
    <w:p w14:paraId="0B73F71C" w14:textId="4DFDB068" w:rsidR="00F70B7A" w:rsidRDefault="006915B9">
      <w:pPr>
        <w:pStyle w:val="BodyText"/>
      </w:pPr>
      <w:r>
        <w:rPr>
          <w:noProof/>
        </w:rPr>
        <mc:AlternateContent>
          <mc:Choice Requires="wps">
            <w:drawing>
              <wp:anchor distT="0" distB="0" distL="114300" distR="114300" simplePos="0" relativeHeight="251665408" behindDoc="0" locked="0" layoutInCell="1" allowOverlap="1" wp14:anchorId="6C85AFA8" wp14:editId="47E2110A">
                <wp:simplePos x="0" y="0"/>
                <wp:positionH relativeFrom="column">
                  <wp:posOffset>0</wp:posOffset>
                </wp:positionH>
                <wp:positionV relativeFrom="paragraph">
                  <wp:posOffset>732738</wp:posOffset>
                </wp:positionV>
                <wp:extent cx="1828800" cy="1828800"/>
                <wp:effectExtent l="0" t="0" r="0" b="0"/>
                <wp:wrapSquare wrapText="bothSides"/>
                <wp:docPr id="11291590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CA71FD8" w14:textId="77777777" w:rsidR="006915B9" w:rsidRDefault="006915B9">
                            <w:pPr>
                              <w:pStyle w:val="FigureTitle"/>
                            </w:pPr>
                            <w:r>
                              <w:t>Figure 4</w:t>
                            </w:r>
                          </w:p>
                          <w:p w14:paraId="127D8919" w14:textId="77777777" w:rsidR="006915B9" w:rsidRDefault="006915B9" w:rsidP="006915B9">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75013F92" w14:textId="77777777" w:rsidR="006915B9" w:rsidRPr="00292997" w:rsidRDefault="006915B9" w:rsidP="006915B9">
                            <w:pPr>
                              <w:pStyle w:val="FigureWithoutNote"/>
                              <w:jc w:val="center"/>
                              <w:rPr>
                                <w:noProof/>
                              </w:rPr>
                            </w:pPr>
                            <w:r>
                              <w:rPr>
                                <w:noProof/>
                              </w:rPr>
                              <w:drawing>
                                <wp:inline distT="0" distB="0" distL="0" distR="0" wp14:anchorId="6FED0186" wp14:editId="0AA00827">
                                  <wp:extent cx="5200650" cy="3200400"/>
                                  <wp:effectExtent l="0" t="0" r="6350" b="0"/>
                                  <wp:docPr id="21290538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figures/tutorial1_param_estimates_softmax.pdf"/>
                                          <pic:cNvPicPr>
                                            <a:picLocks noChangeAspect="1" noChangeArrowheads="1"/>
                                          </pic:cNvPicPr>
                                        </pic:nvPicPr>
                                        <pic:blipFill>
                                          <a:blip r:embed="rId15"/>
                                          <a:stretch>
                                            <a:fillRect/>
                                          </a:stretch>
                                        </pic:blipFill>
                                        <pic:spPr bwMode="auto">
                                          <a:xfrm>
                                            <a:off x="0" y="0"/>
                                            <a:ext cx="5200650" cy="32004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C85AFA8" id="_x0000_s1029" type="#_x0000_t202" style="position:absolute;left:0;text-align:left;margin-left:0;margin-top:57.7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" filled="f" strokeweight=".5pt">
                <v:fill o:detectmouseclick="t"/>
                <v:textbox style="mso-fit-shape-to-text:t">
                  <w:txbxContent>
                    <w:p w14:paraId="5CA71FD8" w14:textId="77777777" w:rsidR="006915B9" w:rsidRDefault="006915B9">
                      <w:pPr>
                        <w:pStyle w:val="FigureTitle"/>
                      </w:pPr>
                      <w:r>
                        <w:t>Figure 4</w:t>
                      </w:r>
                    </w:p>
                    <w:p w14:paraId="127D8919" w14:textId="77777777" w:rsidR="006915B9" w:rsidRDefault="006915B9" w:rsidP="006915B9">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75013F92" w14:textId="77777777" w:rsidR="006915B9" w:rsidRPr="00292997" w:rsidRDefault="006915B9" w:rsidP="006915B9">
                      <w:pPr>
                        <w:pStyle w:val="FigureWithoutNote"/>
                        <w:jc w:val="center"/>
                        <w:rPr>
                          <w:noProof/>
                        </w:rPr>
                      </w:pPr>
                      <w:r>
                        <w:rPr>
                          <w:noProof/>
                        </w:rPr>
                        <w:drawing>
                          <wp:inline distT="0" distB="0" distL="0" distR="0" wp14:anchorId="6FED0186" wp14:editId="0AA00827">
                            <wp:extent cx="5200650" cy="3200400"/>
                            <wp:effectExtent l="0" t="0" r="6350" b="0"/>
                            <wp:docPr id="21290538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figures/tutorial1_param_estimates_softmax.pdf"/>
                                    <pic:cNvPicPr>
                                      <a:picLocks noChangeAspect="1" noChangeArrowheads="1"/>
                                    </pic:cNvPicPr>
                                  </pic:nvPicPr>
                                  <pic:blipFill>
                                    <a:blip r:embed="rId15"/>
                                    <a:stretch>
                                      <a:fillRect/>
                                    </a:stretch>
                                  </pic:blipFill>
                                  <pic:spPr bwMode="auto">
                                    <a:xfrm>
                                      <a:off x="0" y="0"/>
                                      <a:ext cx="5200650" cy="3200400"/>
                                    </a:xfrm>
                                    <a:prstGeom prst="rect">
                                      <a:avLst/>
                                    </a:prstGeom>
                                    <a:noFill/>
                                    <a:ln w="9525">
                                      <a:noFill/>
                                      <a:headEnd/>
                                      <a:tailEnd/>
                                    </a:ln>
                                  </pic:spPr>
                                </pic:pic>
                              </a:graphicData>
                            </a:graphic>
                          </wp:inline>
                        </w:drawing>
                      </w:r>
                    </w:p>
                  </w:txbxContent>
                </v:textbox>
                <w10:wrap type="square"/>
              </v:shape>
            </w:pict>
          </mc:Fallback>
        </mc:AlternateContent>
      </w:r>
      <w:hyperlink w:anchor="fig-t1-param-estimates">
        <w:r w:rsidR="00000000">
          <w:rPr>
            <w:rStyle w:val="Hyperlink"/>
          </w:rPr>
          <w:t>Figure 4</w:t>
        </w:r>
      </w:hyperlink>
      <w:r w:rsidR="00000000">
        <w:t xml:space="preserve"> shows the resulting estimates. Context binding (</w:t>
      </w:r>
      <m:oMath>
        <m:r>
          <w:rPr>
            <w:rFonts w:ascii="Cambria Math" w:hAnsi="Cambria Math"/>
          </w:rPr>
          <m:t>c</m:t>
        </m:r>
      </m:oMath>
      <w:r w:rsidR="00000000">
        <w:t>) is descriptively higher than item memory (</w:t>
      </w:r>
      <m:oMath>
        <m:r>
          <w:rPr>
            <w:rFonts w:ascii="Cambria Math" w:hAnsi="Cambria Math"/>
          </w:rPr>
          <m:t>a</m:t>
        </m:r>
      </m:oMath>
      <w:r w:rsidR="00000000">
        <w:t xml:space="preserve">) across all set sizes in both experiments, with the gap being especially </w:t>
      </w:r>
      <w:r w:rsidR="00000000">
        <w:lastRenderedPageBreak/>
        <w:t xml:space="preserve">pronounced in the closed-set experiment. Both parameters decrease with set size, but the decline is substantially steeper for </w:t>
      </w:r>
      <m:oMath>
        <m:r>
          <w:rPr>
            <w:rFonts w:ascii="Cambria Math" w:hAnsi="Cambria Math"/>
          </w:rPr>
          <m:t>c</m:t>
        </m:r>
      </m:oMath>
      <w:r w:rsidR="00000000">
        <w:t xml:space="preserve"> than for </w:t>
      </w:r>
      <m:oMath>
        <m:r>
          <w:rPr>
            <w:rFonts w:ascii="Cambria Math" w:hAnsi="Cambria Math"/>
          </w:rPr>
          <m:t>a</m:t>
        </m:r>
      </m:oMath>
      <w:r w:rsidR="00000000">
        <w:t xml:space="preserve">, consistent with binding being more sensitive to memory load. The two experiments differ markedly in item activation: </w:t>
      </w:r>
      <m:oMath>
        <m:r>
          <w:rPr>
            <w:rFonts w:ascii="Cambria Math" w:hAnsi="Cambria Math"/>
          </w:rPr>
          <m:t>a</m:t>
        </m:r>
      </m:oMath>
      <w:r w:rsidR="00000000">
        <w:t xml:space="preserve"> is notably higher in the open-set experiment than in the closed-set experiment. This likely reflects cross-trial interference in the closed-set condition, where the same words recur across trials and become associated with multiple contexts, reducing effective item-specific memory strength. These results are consistent with the original findings by Oberauer (</w:t>
      </w:r>
      <w:hyperlink w:anchor="ref-oberauer2019bindings">
        <w:r w:rsidR="00000000">
          <w:rPr>
            <w:rStyle w:val="Hyperlink"/>
          </w:rPr>
          <w:t>2019</w:t>
        </w:r>
      </w:hyperlink>
      <w:r w:rsidR="00000000">
        <w:t xml:space="preserve">), who also found higher </w:t>
      </w:r>
      <m:oMath>
        <m:r>
          <w:rPr>
            <w:rFonts w:ascii="Cambria Math" w:hAnsi="Cambria Math"/>
          </w:rPr>
          <m:t>a</m:t>
        </m:r>
      </m:oMath>
      <w:r w:rsidR="00000000">
        <w:t xml:space="preserve"> in the open-set experiment and a steeper decline of </w:t>
      </w:r>
      <m:oMath>
        <m:r>
          <w:rPr>
            <w:rFonts w:ascii="Cambria Math" w:hAnsi="Cambria Math"/>
          </w:rPr>
          <m:t>c</m:t>
        </m:r>
      </m:oMath>
      <w:r w:rsidR="00000000">
        <w:t xml:space="preserve"> with set size.</w:t>
      </w:r>
    </w:p>
    <w:p w14:paraId="62E523F7" w14:textId="5A06B294" w:rsidR="00F70B7A" w:rsidRDefault="00000000">
      <w:pPr>
        <w:pStyle w:val="Heading2"/>
      </w:pPr>
      <w:bookmarkStart w:id="17" w:name="choice-rule-comparison"/>
      <w:bookmarkEnd w:id="16"/>
      <w:r>
        <w:t>Choice Rule Comparison</w:t>
      </w:r>
    </w:p>
    <w:p w14:paraId="0BA1AAE7" w14:textId="77777777" w:rsidR="00F70B7A" w:rsidRDefault="00000000">
      <w:pPr>
        <w:pStyle w:val="FirstParagraph"/>
      </w:pPr>
      <w:r>
        <w:t xml:space="preserve">As introduced in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section, the choice rule determines how activations are converted to response probabilities. Because the choice rule affects both the parameter scale and the model’s fit to data, selecting the appropriate rule is an important modeling decision. To compare the two options, we fit a second model with </w:t>
      </w:r>
      <w:r>
        <w:rPr>
          <w:rStyle w:val="VerbatimChar"/>
        </w:rPr>
        <w:t>choice_rule = "simple"</w:t>
      </w:r>
      <w:r>
        <w:t xml:space="preserve"> using the same formula and data. Under the simple rule, </w:t>
      </w:r>
      <m:oMath>
        <m:r>
          <w:rPr>
            <w:rFonts w:ascii="Cambria Math" w:hAnsi="Cambria Math"/>
          </w:rPr>
          <m:t>a</m:t>
        </m:r>
      </m:oMath>
      <w:r>
        <w:t xml:space="preserve"> and </w:t>
      </w:r>
      <m:oMath>
        <m:r>
          <w:rPr>
            <w:rFonts w:ascii="Cambria Math" w:hAnsi="Cambria Math"/>
          </w:rPr>
          <m:t>c</m:t>
        </m:r>
      </m:oMath>
      <w:r>
        <w:t xml:space="preserve"> are estimated on the log link, so the raw coefficients must be exponentiated to obtain activation values.</w:t>
      </w:r>
    </w:p>
    <w:p w14:paraId="5426102C" w14:textId="77777777" w:rsidR="00F70B7A" w:rsidRDefault="00000000">
      <w:pPr>
        <w:pStyle w:val="BodyText"/>
      </w:pPr>
      <w:r>
        <w:t>The posterior predictive checks for both models are qualitatively similar, but the softmax rule tends to capture the tails of the response distribution more accurately, particularly for the NPL category at larger set sizes. The simple rule slightly overpredicts other-list intrusions in some conditions. The companion script contains the full posterior predictive figures for both models.</w:t>
      </w:r>
    </w:p>
    <w:p w14:paraId="534740EC" w14:textId="77777777" w:rsidR="00F70B7A" w:rsidRDefault="00000000">
      <w:pPr>
        <w:pStyle w:val="BodyText"/>
      </w:pPr>
      <w:r>
        <w:t>For a formal comparison, we computed the marginal likelihood of each model via bridge sampling (</w:t>
      </w:r>
      <w:hyperlink w:anchor="ref-gronau2017bridge">
        <w:r>
          <w:rPr>
            <w:rStyle w:val="Hyperlink"/>
          </w:rPr>
          <w:t>Gronau et al., 2017</w:t>
        </w:r>
      </w:hyperlink>
      <w:r>
        <w:t xml:space="preserve">) and derive a Bayes factor. This requires </w:t>
      </w:r>
      <w:r>
        <w:rPr>
          <w:rStyle w:val="VerbatimChar"/>
        </w:rPr>
        <w:t>save_pars(all = TRUE)</w:t>
      </w:r>
      <w:r>
        <w:t xml:space="preserve"> during fitting (set in the </w:t>
      </w:r>
      <w:r>
        <w:rPr>
          <w:rStyle w:val="VerbatimChar"/>
        </w:rPr>
        <w:t>bmm()</w:t>
      </w:r>
      <w:r>
        <w:t xml:space="preserve"> call above):</w:t>
      </w:r>
    </w:p>
    <w:p w14:paraId="6F928EE0" w14:textId="77777777" w:rsidR="00F70B7A" w:rsidRDefault="00000000" w:rsidP="006915B9">
      <w:pPr>
        <w:pStyle w:val="SourceCode"/>
        <w:spacing w:line="240" w:lineRule="auto"/>
      </w:pPr>
      <w:r>
        <w:rPr>
          <w:rStyle w:val="NormalTok"/>
        </w:rPr>
        <w:lastRenderedPageBreak/>
        <w:t xml:space="preserve">bridge_softmax </w:t>
      </w:r>
      <w:r>
        <w:rPr>
          <w:rStyle w:val="OtherTok"/>
        </w:rPr>
        <w:t>&lt;-</w:t>
      </w:r>
      <w:r>
        <w:rPr>
          <w:rStyle w:val="NormalTok"/>
        </w:rPr>
        <w:t xml:space="preserve"> </w:t>
      </w:r>
      <w:r>
        <w:rPr>
          <w:rStyle w:val="FunctionTok"/>
        </w:rPr>
        <w:t>bridge_sampler</w:t>
      </w:r>
      <w:r>
        <w:rPr>
          <w:rStyle w:val="NormalTok"/>
        </w:rPr>
        <w:t xml:space="preserve">(fit_m3_ss_softmax,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bridge_simple  </w:t>
      </w:r>
      <w:r>
        <w:rPr>
          <w:rStyle w:val="OtherTok"/>
        </w:rPr>
        <w:t>&lt;-</w:t>
      </w:r>
      <w:r>
        <w:rPr>
          <w:rStyle w:val="NormalTok"/>
        </w:rPr>
        <w:t xml:space="preserve"> </w:t>
      </w:r>
      <w:r>
        <w:rPr>
          <w:rStyle w:val="FunctionTok"/>
        </w:rPr>
        <w:t>bridge_sampler</w:t>
      </w:r>
      <w:r>
        <w:rPr>
          <w:rStyle w:val="NormalTok"/>
        </w:rPr>
        <w:t xml:space="preserve">(fit_m3_ss_simple,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(bridge_softmax, bridge_simple)</w:t>
      </w:r>
    </w:p>
    <w:p w14:paraId="64800BDA" w14:textId="77777777" w:rsidR="00F70B7A" w:rsidRDefault="00000000" w:rsidP="006915B9">
      <w:pPr>
        <w:pStyle w:val="FirstParagraph"/>
        <w:spacing w:before="240"/>
      </w:pPr>
      <w:r>
        <w:t xml:space="preserve">The Bayes factor strongly favored the softmax rule (median </w:t>
      </w:r>
      <w:r>
        <w:rPr>
          <w:i/>
          <w:iCs/>
        </w:rPr>
        <w:t>BF</w:t>
      </w:r>
      <w:r>
        <w:rPr>
          <w:vertAlign w:val="subscript"/>
        </w:rPr>
        <w:t>10</w:t>
      </w:r>
      <w:r>
        <w:t xml:space="preserve"> =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across 10 bridge sampling repetitions). This is consistent with recent comparisons by Oberauer (</w:t>
      </w:r>
      <w:hyperlink w:anchor="ref-oberauer2023measurement">
        <w:r>
          <w:rPr>
            <w:rStyle w:val="Hyperlink"/>
          </w:rPr>
          <w:t>2023</w:t>
        </w:r>
      </w:hyperlink>
      <w:r>
        <w:t>) and Li et al. (</w:t>
      </w:r>
      <w:hyperlink w:anchor="ref-li2026filtering">
        <w:r>
          <w:rPr>
            <w:rStyle w:val="Hyperlink"/>
          </w:rPr>
          <w:t>2026</w:t>
        </w:r>
      </w:hyperlink>
      <w:r>
        <w:t>), who found softmax to outperform the simple rule across different working memory tasks. We use the softmax rule as the default in the remaining tutorials.</w:t>
      </w:r>
    </w:p>
    <w:p w14:paraId="1F539A5E" w14:textId="77777777" w:rsidR="00F70B7A" w:rsidRDefault="00000000">
      <w:pPr>
        <w:pStyle w:val="Heading2"/>
      </w:pPr>
      <w:bookmarkStart w:id="18" w:name="hypothesis-testing"/>
      <w:bookmarkEnd w:id="17"/>
      <w:r>
        <w:t>Hypothesis Testing</w:t>
      </w:r>
    </w:p>
    <w:p w14:paraId="6555B866" w14:textId="77777777" w:rsidR="00F70B7A" w:rsidRDefault="00000000">
      <w:pPr>
        <w:pStyle w:val="FirstParagraph"/>
      </w:pPr>
      <w:r>
        <w:t xml:space="preserve">Because we fitted the model with </w:t>
      </w:r>
      <w:r>
        <w:rPr>
          <w:rStyle w:val="VerbatimChar"/>
        </w:rPr>
        <w:t>sample_prior = "yes"</w:t>
      </w:r>
      <w:r>
        <w:t xml:space="preserve">, we can use </w:t>
      </w:r>
      <w:r>
        <w:rPr>
          <w:rStyle w:val="VerbatimChar"/>
        </w:rPr>
        <w:t>brms::hypothesis()</w:t>
      </w:r>
      <w:r>
        <w:t xml:space="preserve"> to test directed hypotheses and obtain evidence ratios (Savage-Dickey density ratios comparing posterior to prior density at the hypothesis boundary). For example, to test whether context binding exceeds item memory within the open-set experiment:</w:t>
      </w:r>
    </w:p>
    <w:p w14:paraId="2490205C" w14:textId="77777777" w:rsidR="00F70B7A" w:rsidRDefault="00000000" w:rsidP="006915B9">
      <w:pPr>
        <w:pStyle w:val="SourceCode"/>
        <w:spacing w:line="240" w:lineRule="auto"/>
      </w:pPr>
      <w:r>
        <w:rPr>
          <w:rStyle w:val="FunctionTok"/>
        </w:rPr>
        <w:t>hypothesis</w:t>
      </w:r>
      <w:r>
        <w:rPr>
          <w:rStyle w:val="NormalTok"/>
        </w:rPr>
        <w:t xml:space="preserve">(fit_m3_ss_softmax, </w:t>
      </w:r>
      <w:r>
        <w:rPr>
          <w:rStyle w:val="StringTok"/>
        </w:rPr>
        <w:t>"c_expopenset = a_expopenset"</w:t>
      </w:r>
      <w:r>
        <w:rPr>
          <w:rStyle w:val="NormalTok"/>
        </w:rPr>
        <w:t>)</w:t>
      </w:r>
    </w:p>
    <w:p w14:paraId="48363433" w14:textId="77777777" w:rsidR="00F70B7A" w:rsidRDefault="00000000" w:rsidP="006915B9">
      <w:pPr>
        <w:pStyle w:val="FirstParagraph"/>
        <w:spacing w:before="240"/>
      </w:pPr>
      <w:r>
        <w:t xml:space="preserve">This returns a Savage-Dickey density ratio: the ratio of prior to posterior density at the point null </w:t>
      </w:r>
      <m:oMath>
        <m:r>
          <w:rPr>
            <w:rFonts w:ascii="Cambria Math" w:hAnsi="Cambria Math"/>
          </w:rPr>
          <m:t>c</m:t>
        </m:r>
        <m:r>
          <m:rPr>
            <m:sty m:val="p"/>
          </m:rPr>
          <w:rPr>
            <w:rFonts w:ascii="Cambria Math" w:hAnsi="Cambria Math"/>
          </w:rPr>
          <m:t>=</m:t>
        </m:r>
        <m:r>
          <w:rPr>
            <w:rFonts w:ascii="Cambria Math" w:hAnsi="Cambria Math"/>
          </w:rPr>
          <m:t>a</m:t>
        </m:r>
      </m:oMath>
      <w:r>
        <w:t>. Values substantially greater than 1 indicate that the data have shifted belief away from equality; values near 1 indicate inconclusive evidence. In the open-set experiment, the result is inconclusive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2.23), suggesting the data do not clearly distinguish whether </w:t>
      </w:r>
      <m:oMath>
        <m:r>
          <w:rPr>
            <w:rFonts w:ascii="Cambria Math" w:hAnsi="Cambria Math"/>
          </w:rPr>
          <m:t>c</m:t>
        </m:r>
      </m:oMath>
      <w:r>
        <w:t xml:space="preserve"> and </w:t>
      </w:r>
      <m:oMath>
        <m:r>
          <w:rPr>
            <w:rFonts w:ascii="Cambria Math" w:hAnsi="Cambria Math"/>
          </w:rPr>
          <m:t>a</m:t>
        </m:r>
      </m:oMath>
      <w:r>
        <w:t xml:space="preserve"> differ at the mean set size. We can similarly test whether set size reduces </w:t>
      </w:r>
      <m:oMath>
        <m:r>
          <w:rPr>
            <w:rFonts w:ascii="Cambria Math" w:hAnsi="Cambria Math"/>
          </w:rPr>
          <m:t>c</m:t>
        </m:r>
      </m:oMath>
      <w:r>
        <w:t xml:space="preserve"> (averaged across experiments) and whether set size effects differ between experiments:</w:t>
      </w:r>
    </w:p>
    <w:p w14:paraId="627D6D01" w14:textId="77777777" w:rsidR="00F70B7A" w:rsidRDefault="00000000" w:rsidP="006915B9">
      <w:pPr>
        <w:pStyle w:val="SourceCode"/>
        <w:spacing w:line="240" w:lineRule="auto"/>
      </w:pPr>
      <w:r>
        <w:rPr>
          <w:rStyle w:val="CommentTok"/>
        </w:rPr>
        <w:t xml:space="preserve"># </w:t>
      </w:r>
      <w:proofErr w:type="spellStart"/>
      <w:r>
        <w:rPr>
          <w:rStyle w:val="CommentTok"/>
        </w:rPr>
        <w:t>Comparion</w:t>
      </w:r>
      <w:proofErr w:type="spellEnd"/>
      <w:r>
        <w:rPr>
          <w:rStyle w:val="CommentTok"/>
        </w:rPr>
        <w:t xml:space="preserve"> of c and a for the closed-set experiment</w:t>
      </w:r>
      <w:r>
        <w:br/>
      </w:r>
      <w:r>
        <w:rPr>
          <w:rStyle w:val="FunctionTok"/>
        </w:rPr>
        <w:t>hypothesis</w:t>
      </w:r>
      <w:r>
        <w:rPr>
          <w:rStyle w:val="NormalTok"/>
        </w:rPr>
        <w:t xml:space="preserve">(fit_m3_ss_softmax, </w:t>
      </w:r>
      <w:r>
        <w:rPr>
          <w:rStyle w:val="StringTok"/>
        </w:rPr>
        <w:t>"c_expclosedset = a_expclosedset"</w:t>
      </w:r>
      <w:r>
        <w:rPr>
          <w:rStyle w:val="NormalTok"/>
        </w:rPr>
        <w:t>)</w:t>
      </w:r>
      <w:r>
        <w:br/>
      </w:r>
      <w:r>
        <w:br/>
      </w:r>
      <w:r>
        <w:rPr>
          <w:rStyle w:val="CommentTok"/>
        </w:rPr>
        <w:t># Set size effect on context binding (averaged across experiments)</w:t>
      </w:r>
      <w:r>
        <w:br/>
      </w:r>
      <w:r>
        <w:rPr>
          <w:rStyle w:val="FunctionTok"/>
        </w:rPr>
        <w:t>hypothesis</w:t>
      </w:r>
      <w:r>
        <w:rPr>
          <w:rStyle w:val="NormalTok"/>
        </w:rPr>
        <w:t>(fit_m3_ss_softmax,</w:t>
      </w:r>
      <w:r>
        <w:br/>
      </w:r>
      <w:r>
        <w:rPr>
          <w:rStyle w:val="NormalTok"/>
        </w:rPr>
        <w:t xml:space="preserve">  </w:t>
      </w:r>
      <w:r>
        <w:rPr>
          <w:rStyle w:val="StringTok"/>
        </w:rPr>
        <w:t>"(c_expopenset:ss_lin + c_expclosedset:ss_lin) / 2 = 0"</w:t>
      </w:r>
      <w:r>
        <w:rPr>
          <w:rStyle w:val="NormalTok"/>
        </w:rPr>
        <w:t>)</w:t>
      </w:r>
      <w:r>
        <w:br/>
      </w:r>
      <w:r>
        <w:br/>
      </w:r>
      <w:r>
        <w:rPr>
          <w:rStyle w:val="CommentTok"/>
        </w:rPr>
        <w:t># Experiment difference in set size effect on c</w:t>
      </w:r>
      <w:r>
        <w:br/>
      </w:r>
      <w:r>
        <w:rPr>
          <w:rStyle w:val="FunctionTok"/>
        </w:rPr>
        <w:t>hypothesis</w:t>
      </w:r>
      <w:r>
        <w:rPr>
          <w:rStyle w:val="NormalTok"/>
        </w:rPr>
        <w:t>(fit_m3_ss_softmax,</w:t>
      </w:r>
      <w:r>
        <w:br/>
      </w:r>
      <w:r>
        <w:rPr>
          <w:rStyle w:val="NormalTok"/>
        </w:rPr>
        <w:t xml:space="preserve">  </w:t>
      </w:r>
      <w:r>
        <w:rPr>
          <w:rStyle w:val="StringTok"/>
        </w:rPr>
        <w:t>"c_expopenset:ss_lin = c_expclosedset:ss_lin"</w:t>
      </w:r>
      <w:r>
        <w:rPr>
          <w:rStyle w:val="NormalTok"/>
        </w:rPr>
        <w:t>)</w:t>
      </w:r>
    </w:p>
    <w:p w14:paraId="00CBAF76" w14:textId="77777777" w:rsidR="00F70B7A" w:rsidRDefault="00000000">
      <w:pPr>
        <w:pStyle w:val="FirstParagraph"/>
      </w:pPr>
      <w:r>
        <w:lastRenderedPageBreak/>
        <w:t xml:space="preserve">The closed-set experiment yields strong evidence that </w:t>
      </w:r>
      <m:oMath>
        <m:r>
          <w:rPr>
            <w:rFonts w:ascii="Cambria Math" w:hAnsi="Cambria Math"/>
          </w:rPr>
          <m:t>c</m:t>
        </m:r>
        <m:r>
          <m:rPr>
            <m:sty m:val="p"/>
          </m:rPr>
          <w:rPr>
            <w:rFonts w:ascii="Cambria Math" w:hAnsi="Cambria Math"/>
          </w:rPr>
          <m:t>&gt;</m:t>
        </m:r>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However, there is moderate evidence that set size reduces </w:t>
      </w:r>
      <m:oMath>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5.56) and strong evidence for </w:t>
      </w:r>
      <m:oMath>
        <m:r>
          <w:rPr>
            <w:rFonts w:ascii="Cambria Math" w:hAnsi="Cambria Math"/>
          </w:rPr>
          <m:t>c</m:t>
        </m:r>
      </m:oMath>
      <w:r>
        <w:t xml:space="preserve"> decreasing with larger set size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There is also strong evidence that the set size effect on </w:t>
      </w:r>
      <m:oMath>
        <m:r>
          <w:rPr>
            <w:rFonts w:ascii="Cambria Math" w:hAnsi="Cambria Math"/>
          </w:rPr>
          <m:t>c</m:t>
        </m:r>
      </m:oMath>
      <w:r>
        <w:t xml:space="preserve"> is equal for the closed-set compared to the open-set experiment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62.4). The companion script contains the full set of six hypothesis tests.</w:t>
      </w:r>
    </w:p>
    <w:p w14:paraId="6D463331" w14:textId="77777777" w:rsidR="006915B9" w:rsidRPr="006915B9" w:rsidRDefault="006915B9" w:rsidP="006915B9">
      <w:pPr>
        <w:pStyle w:val="BodyText"/>
      </w:pPr>
    </w:p>
    <w:p w14:paraId="2116EB28" w14:textId="77777777" w:rsidR="00F70B7A" w:rsidRDefault="00000000">
      <w:pPr>
        <w:pStyle w:val="Heading1"/>
      </w:pPr>
      <w:bookmarkStart w:id="19" w:name="tutorial-2-complex-span-m3"/>
      <w:bookmarkEnd w:id="11"/>
      <w:bookmarkEnd w:id="18"/>
      <w:r>
        <w:t xml:space="preserve">Tutorial 2: Complex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0748143C" w14:textId="77777777" w:rsidR="00F70B7A" w:rsidRDefault="00000000">
      <w:pPr>
        <w:pStyle w:val="FirstParagraph"/>
      </w:pPr>
      <w:r>
        <w:t>This tutorial extends the workflow to tasks where distractors appear alongside memoranda. We use data from Li et al. (</w:t>
      </w:r>
      <w:hyperlink w:anchor="ref-li2026filtering">
        <w:r>
          <w:rPr>
            <w:rStyle w:val="Hyperlink"/>
          </w:rPr>
          <w:t>2026</w:t>
        </w:r>
      </w:hyperlink>
      <w:r>
        <w:t xml:space="preserve">), who developed a complex-span filtering task to test whether processed information can be kept out of working memory. The companion script is </w:t>
      </w:r>
      <w:r>
        <w:rPr>
          <w:rStyle w:val="VerbatimChar"/>
        </w:rPr>
        <w:t>scripts/tutorial2_complex_span.R</w:t>
      </w:r>
      <w:r>
        <w:t xml:space="preserve">; data preparation is in </w:t>
      </w:r>
      <w:r>
        <w:rPr>
          <w:rStyle w:val="VerbatimChar"/>
        </w:rPr>
        <w:t>scripts/prepare_Li2026_data.R</w:t>
      </w:r>
      <w:r>
        <w:t>.</w:t>
      </w:r>
    </w:p>
    <w:p w14:paraId="733CF156" w14:textId="77777777" w:rsidR="00F70B7A" w:rsidRDefault="00000000">
      <w:pPr>
        <w:pStyle w:val="Heading2"/>
      </w:pPr>
      <w:bookmarkStart w:id="20" w:name="what-makes-complex-span-different"/>
      <w:r>
        <w:t>What makes complex span different</w:t>
      </w:r>
    </w:p>
    <w:p w14:paraId="040366E5" w14:textId="77777777" w:rsidR="00F70B7A" w:rsidRDefault="00000000">
      <w:pPr>
        <w:pStyle w:val="FirstParagraph"/>
      </w:pPr>
      <w:r>
        <w:t>The simple span model has three response categories. When distractors are present, and parameters capturing the effect of distractors should be estimated, two more categories are needed: the distractor paired with respect to the context of the tested target (</w:t>
      </w:r>
      <w:r>
        <w:rPr>
          <w:i/>
          <w:iCs/>
        </w:rPr>
        <w:t>paired or close distractor</w:t>
      </w:r>
      <w:r>
        <w:t>) and distractors from other positions (</w:t>
      </w:r>
      <w:r>
        <w:rPr>
          <w:i/>
          <w:iCs/>
        </w:rPr>
        <w:t>other distractor</w:t>
      </w:r>
      <w:r>
        <w:t>). The complex span (</w:t>
      </w:r>
      <w:r>
        <w:rPr>
          <w:rStyle w:val="VerbatimChar"/>
        </w:rPr>
        <w:t>cs</w:t>
      </w:r>
      <w:r>
        <w:t xml:space="preserve">) model extends the activation formulas with a filtering parameter </w:t>
      </w:r>
      <m:oMath>
        <m:r>
          <w:rPr>
            <w:rFonts w:ascii="Cambria Math" w:hAnsi="Cambria Math"/>
          </w:rPr>
          <m:t>f</m:t>
        </m:r>
      </m:oMath>
      <w:r>
        <w:t xml:space="preserve"> that determines how much activation distractors receive relative to memoranda. In the model for complex span tasks proposed by Oberauer and Lewandowsky (</w:t>
      </w:r>
      <w:hyperlink w:anchor="ref-oberauer2019simple">
        <w:r>
          <w:rPr>
            <w:rStyle w:val="Hyperlink"/>
          </w:rPr>
          <w:t>2019</w:t>
        </w:r>
      </w:hyperlink>
      <w:r>
        <w:t>) it appears as a multiplier on item memory and context binding for distractor categories:</w:t>
      </w:r>
    </w:p>
    <w:p w14:paraId="118F179E" w14:textId="77777777" w:rsidR="00F70B7A"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3989B342" w14:textId="77777777" w:rsidR="00F70B7A" w:rsidRDefault="00000000">
      <w:pPr>
        <w:pStyle w:val="FirstParagraph"/>
      </w:pPr>
      <w:r>
        <w:t xml:space="preserve">The parameter </w:t>
      </w:r>
      <m:oMath>
        <m:r>
          <w:rPr>
            <w:rFonts w:ascii="Cambria Math" w:hAnsi="Cambria Math"/>
          </w:rPr>
          <m:t>f</m:t>
        </m:r>
      </m:oMath>
      <w:r>
        <w:t xml:space="preserve"> ranges from 0 to 1 (estimated on the logit scale). At the extremes, </w:t>
      </w:r>
      <m:oMath>
        <m:r>
          <w:rPr>
            <w:rFonts w:ascii="Cambria Math" w:hAnsi="Cambria Math"/>
          </w:rPr>
          <m:t>f</m:t>
        </m:r>
        <m:r>
          <m:rPr>
            <m:sty m:val="p"/>
          </m:rPr>
          <w:rPr>
            <w:rFonts w:ascii="Cambria Math" w:hAnsi="Cambria Math"/>
          </w:rPr>
          <m:t>=</m:t>
        </m:r>
        <m:r>
          <w:rPr>
            <w:rFonts w:ascii="Cambria Math" w:hAnsi="Cambria Math"/>
          </w:rPr>
          <m:t>0</m:t>
        </m:r>
      </m:oMath>
      <w:r>
        <w:t xml:space="preserve"> means distractors receive only baseline activation, as if they were never encountered (perfect filtering); </w:t>
      </w:r>
      <m:oMath>
        <m:r>
          <w:rPr>
            <w:rFonts w:ascii="Cambria Math" w:hAnsi="Cambria Math"/>
          </w:rPr>
          <m:t>f</m:t>
        </m:r>
        <m:r>
          <m:rPr>
            <m:sty m:val="p"/>
          </m:rPr>
          <w:rPr>
            <w:rFonts w:ascii="Cambria Math" w:hAnsi="Cambria Math"/>
          </w:rPr>
          <m:t>=</m:t>
        </m:r>
        <m:r>
          <w:rPr>
            <w:rFonts w:ascii="Cambria Math" w:hAnsi="Cambria Math"/>
          </w:rPr>
          <m:t>1</m:t>
        </m:r>
      </m:oMath>
      <w:r>
        <w:t xml:space="preserve"> means distractors are activated identically to memoranda, as if filtering failed entirely.</w:t>
      </w:r>
    </w:p>
    <w:p w14:paraId="72AEC0EB" w14:textId="77777777" w:rsidR="00F70B7A" w:rsidRDefault="00000000">
      <w:pPr>
        <w:pStyle w:val="Heading2"/>
      </w:pPr>
      <w:bookmarkStart w:id="21" w:name="data-1"/>
      <w:bookmarkEnd w:id="20"/>
      <w:r>
        <w:t>Data</w:t>
      </w:r>
    </w:p>
    <w:p w14:paraId="352BDE53" w14:textId="77777777" w:rsidR="00F70B7A" w:rsidRDefault="00000000">
      <w:pPr>
        <w:pStyle w:val="FirstParagraph"/>
      </w:pPr>
      <w:r>
        <w:t>Li et al. (</w:t>
      </w:r>
      <w:hyperlink w:anchor="ref-li2026filtering">
        <w:r>
          <w:rPr>
            <w:rStyle w:val="Hyperlink"/>
          </w:rPr>
          <w:t>2026</w:t>
        </w:r>
      </w:hyperlink>
      <w:r>
        <w:t>) presented participants with image pairs and manipulated whether targets and distractors were identified using an arrow cue pointing to one of the items before processing (pre-cue), after processing (retro-cue), or whether no distractors were present (control). We use Experiment 1 (45 participants after exclusions, within-subjects) for this tutorial. The data are pre-aggregated into response frequencies across the five categories:</w:t>
      </w:r>
    </w:p>
    <w:p w14:paraId="6EFCDFA8" w14:textId="77777777" w:rsidR="00F70B7A" w:rsidRDefault="00000000" w:rsidP="006915B9">
      <w:pPr>
        <w:pStyle w:val="SourceCode"/>
        <w:spacing w:line="240" w:lineRule="auto"/>
      </w:pPr>
      <w:r>
        <w:rPr>
          <w:rStyle w:val="VerbatimChar"/>
        </w:rPr>
        <w:t># A tibble: 6 × 12</w:t>
      </w:r>
      <w:r>
        <w:br/>
      </w:r>
      <w:r>
        <w:rPr>
          <w:rStyle w:val="VerbatimChar"/>
        </w:rPr>
        <w:t xml:space="preserve">  participant condition  corr other distc disto   npl n_corr n_other n_distc</w:t>
      </w:r>
      <w:r>
        <w:br/>
      </w:r>
      <w:r>
        <w:rPr>
          <w:rStyle w:val="VerbatimChar"/>
        </w:rPr>
        <w:t xml:space="preserve">        &lt;dbl&gt; &lt;fct&gt;     &lt;dbl&gt; &lt;dbl&gt; &lt;dbl&gt; &lt;dbl&gt; &lt;dbl&gt;  &lt;dbl&gt;   &lt;dbl&gt;   &lt;dbl&gt;</w:t>
      </w:r>
      <w:r>
        <w:br/>
      </w:r>
      <w:r>
        <w:rPr>
          <w:rStyle w:val="VerbatimChar"/>
        </w:rPr>
        <w:t>1           1 control      41    18     0     0     1      1       2       0</w:t>
      </w:r>
      <w:r>
        <w:br/>
      </w:r>
      <w:r>
        <w:rPr>
          <w:rStyle w:val="VerbatimChar"/>
        </w:rPr>
        <w:t>2           1 pre          31    17     4     6     1      1       2       1</w:t>
      </w:r>
      <w:r>
        <w:br/>
      </w:r>
      <w:r>
        <w:rPr>
          <w:rStyle w:val="VerbatimChar"/>
        </w:rPr>
        <w:t>3           1 retro        34    15     5     4     1      1       2       1</w:t>
      </w:r>
      <w:r>
        <w:br/>
      </w:r>
      <w:r>
        <w:rPr>
          <w:rStyle w:val="VerbatimChar"/>
        </w:rPr>
        <w:t>4           2 control      52     7     0     0     1      1       2       0</w:t>
      </w:r>
      <w:r>
        <w:br/>
      </w:r>
      <w:r>
        <w:rPr>
          <w:rStyle w:val="VerbatimChar"/>
        </w:rPr>
        <w:t>5           2 pre          33    14     6     7     0      1       2       1</w:t>
      </w:r>
      <w:r>
        <w:br/>
      </w:r>
      <w:r>
        <w:rPr>
          <w:rStyle w:val="VerbatimChar"/>
        </w:rPr>
        <w:t>6           2 retro        44     9     4     3     0      1       2       1</w:t>
      </w:r>
      <w:r>
        <w:br/>
      </w:r>
      <w:r>
        <w:rPr>
          <w:rStyle w:val="VerbatimChar"/>
        </w:rPr>
        <w:t># ℹ 2 more variables: n_disto &lt;dbl&gt;, n_npl &lt;dbl&gt;</w:t>
      </w:r>
    </w:p>
    <w:p w14:paraId="761D1123" w14:textId="77777777" w:rsidR="00F70B7A" w:rsidRDefault="00000000" w:rsidP="006915B9">
      <w:pPr>
        <w:pStyle w:val="Heading2"/>
        <w:spacing w:before="240"/>
      </w:pPr>
      <w:bookmarkStart w:id="22" w:name="model-specification-1"/>
      <w:bookmarkEnd w:id="21"/>
      <w:r>
        <w:t>Model specification</w:t>
      </w:r>
    </w:p>
    <w:p w14:paraId="54275523" w14:textId="77777777" w:rsidR="00F70B7A" w:rsidRDefault="00000000">
      <w:pPr>
        <w:pStyle w:val="FirstParagraph"/>
      </w:pPr>
      <w:r>
        <w:t xml:space="preserve">The model definition follows the same pattern as in Tutorial 1. As noted before, the </w:t>
      </w:r>
      <w:r>
        <w:rPr>
          <w:rStyle w:val="VerbatimChar"/>
        </w:rPr>
        <w:t>cs</w:t>
      </w:r>
      <w:r>
        <w:t xml:space="preserve"> version also assigns activation formulas by position: </w:t>
      </w:r>
      <w:r>
        <w:rPr>
          <w:rStyle w:val="VerbatimChar"/>
        </w:rPr>
        <w:t>resp_cats</w:t>
      </w:r>
      <w:r>
        <w:t xml:space="preserve"> must follow the order </w:t>
      </w:r>
      <w:r>
        <w:rPr>
          <w:rStyle w:val="VerbatimChar"/>
        </w:rPr>
        <w:t xml:space="preserve">corr, </w:t>
      </w:r>
      <w:r>
        <w:rPr>
          <w:rStyle w:val="VerbatimChar"/>
        </w:rPr>
        <w:lastRenderedPageBreak/>
        <w:t>distc, other, disto, npl</w:t>
      </w:r>
      <w:r>
        <w:t>. The model specification for the complex span version thus looks like this:</w:t>
      </w:r>
    </w:p>
    <w:p w14:paraId="03FA0F70" w14:textId="77777777" w:rsidR="00F70B7A" w:rsidRDefault="00000000" w:rsidP="006915B9">
      <w:pPr>
        <w:pStyle w:val="SourceCode"/>
        <w:spacing w:line="240" w:lineRule="auto"/>
      </w:pPr>
      <w:r>
        <w:rPr>
          <w:rStyle w:val="NormalTok"/>
        </w:rPr>
        <w:t xml:space="preserve">m3_model_cs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2B2EE87F" w14:textId="77777777" w:rsidR="00F70B7A" w:rsidRDefault="00000000" w:rsidP="006915B9">
      <w:pPr>
        <w:pStyle w:val="FirstParagraph"/>
        <w:spacing w:before="240"/>
      </w:pPr>
      <w:r>
        <w:t xml:space="preserve">Again, we can use the information from the model object that is returned by the </w:t>
      </w:r>
      <w:r>
        <w:rPr>
          <w:rStyle w:val="VerbatimChar"/>
        </w:rPr>
        <w:t>m3</w:t>
      </w:r>
      <w:r>
        <w:t xml:space="preserve"> call to obtain information on the parameters that are estimated and can be predicted. For the </w:t>
      </w:r>
      <w:r>
        <w:rPr>
          <w:rStyle w:val="VerbatimChar"/>
        </w:rPr>
        <w:t>cs</w:t>
      </w:r>
      <w:r>
        <w:t xml:space="preserve"> version, these are again context activation </w:t>
      </w:r>
      <m:oMath>
        <m:r>
          <w:rPr>
            <w:rFonts w:ascii="Cambria Math" w:hAnsi="Cambria Math"/>
          </w:rPr>
          <m:t>c</m:t>
        </m:r>
      </m:oMath>
      <w:r>
        <w:t xml:space="preserve">, general activation </w:t>
      </w:r>
      <m:oMath>
        <m:r>
          <w:rPr>
            <w:rFonts w:ascii="Cambria Math" w:hAnsi="Cambria Math"/>
          </w:rPr>
          <m:t>a</m:t>
        </m:r>
      </m:oMath>
      <w:r>
        <w:t xml:space="preserve">, and now also the filtering parameter </w:t>
      </w:r>
      <m:oMath>
        <m:r>
          <w:rPr>
            <w:rFonts w:ascii="Cambria Math" w:hAnsi="Cambria Math"/>
          </w:rPr>
          <m:t>f</m:t>
        </m:r>
      </m:oMath>
      <w:r>
        <w:t>. According to the experimental design of experiment 1 from Li et al. (</w:t>
      </w:r>
      <w:hyperlink w:anchor="ref-li2026filtering">
        <w:r>
          <w:rPr>
            <w:rStyle w:val="Hyperlink"/>
          </w:rPr>
          <w:t>2026</w:t>
        </w:r>
      </w:hyperlink>
      <w:r>
        <w:t>), the predictor formula specifies condition effects on all three parameters with cell means coding and uncorrelated random effects per condition:</w:t>
      </w:r>
    </w:p>
    <w:p w14:paraId="419A1B71" w14:textId="77777777" w:rsidR="00F70B7A" w:rsidRDefault="00000000" w:rsidP="006915B9">
      <w:pPr>
        <w:pStyle w:val="SourceCode"/>
        <w:spacing w:line="240" w:lineRule="auto"/>
      </w:pPr>
      <w:r>
        <w:rPr>
          <w:rStyle w:val="NormalTok"/>
        </w:rPr>
        <w:t xml:space="preserve">m3_formula_cs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f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501B8695" w14:textId="77777777" w:rsidR="00F70B7A" w:rsidRDefault="00000000" w:rsidP="006915B9">
      <w:pPr>
        <w:pStyle w:val="FirstParagraph"/>
        <w:spacing w:before="240"/>
      </w:pPr>
      <w:r>
        <w:t>There is one complication that we should address for this data: in the control condition, no distractors are presented (</w:t>
      </w:r>
      <w:r>
        <w:rPr>
          <w:rStyle w:val="VerbatimChar"/>
        </w:rPr>
        <w:t>n_distc = 0</w:t>
      </w:r>
      <w:r>
        <w:t xml:space="preserve">, </w:t>
      </w:r>
      <w:r>
        <w:rPr>
          <w:rStyle w:val="VerbatimChar"/>
        </w:rPr>
        <w:t>n_disto = 0</w:t>
      </w:r>
      <w:r>
        <w:t xml:space="preserve">), so </w:t>
      </w:r>
      <m:oMath>
        <m:r>
          <w:rPr>
            <w:rFonts w:ascii="Cambria Math" w:hAnsi="Cambria Math"/>
          </w:rPr>
          <m:t>f</m:t>
        </m:r>
      </m:oMath>
      <w:r>
        <w:t xml:space="preserve"> does not influence the likelihood and is not identified. If left free, the sampler will wander through the prior, which can slow down sampling. The solution is to fix </w:t>
      </w:r>
      <m:oMath>
        <m:r>
          <w:rPr>
            <w:rFonts w:ascii="Cambria Math" w:hAnsi="Cambria Math"/>
          </w:rPr>
          <m:t>f</m:t>
        </m:r>
      </m:oMath>
      <w:r>
        <w:t xml:space="preserve"> in the control condition using a </w:t>
      </w:r>
      <w:r>
        <w:rPr>
          <w:rStyle w:val="VerbatimChar"/>
        </w:rPr>
        <w:t>constant()</w:t>
      </w:r>
      <w:r>
        <w:t xml:space="preserve"> prior on both the fixed effect and the random effect SD:</w:t>
      </w:r>
    </w:p>
    <w:p w14:paraId="4B06D560" w14:textId="77777777" w:rsidR="00F70B7A" w:rsidRDefault="00000000" w:rsidP="006915B9">
      <w:pPr>
        <w:pStyle w:val="SourceCode"/>
        <w:spacing w:line="240" w:lineRule="auto"/>
      </w:pPr>
      <w:r>
        <w:rPr>
          <w:rStyle w:val="NormalTok"/>
        </w:rPr>
        <w:t xml:space="preserve">priors_cs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"f"</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"f"</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60349625" w14:textId="77777777" w:rsidR="00F70B7A" w:rsidRDefault="00000000">
      <w:pPr>
        <w:pStyle w:val="FirstParagraph"/>
      </w:pPr>
      <w:r>
        <w:lastRenderedPageBreak/>
        <w:t xml:space="preserve">The specific values are not critical, as </w:t>
      </w:r>
      <m:oMath>
        <m:r>
          <w:rPr>
            <w:rFonts w:ascii="Cambria Math" w:hAnsi="Cambria Math"/>
          </w:rPr>
          <m:t>f</m:t>
        </m:r>
      </m:oMath>
      <w:r>
        <w:t xml:space="preserve"> will not influence the likelihood in the control condition. Still, setting the fixed effect to 0 on the logit scale (effectively </w:t>
      </w:r>
      <m:oMath>
        <m:r>
          <w:rPr>
            <w:rFonts w:ascii="Cambria Math" w:hAnsi="Cambria Math"/>
          </w:rPr>
          <m:t>f</m:t>
        </m:r>
        <m:r>
          <m:rPr>
            <m:sty m:val="p"/>
          </m:rPr>
          <w:rPr>
            <w:rFonts w:ascii="Cambria Math" w:hAnsi="Cambria Math"/>
          </w:rPr>
          <m:t>=</m:t>
        </m:r>
        <m:r>
          <w:rPr>
            <w:rFonts w:ascii="Cambria Math" w:hAnsi="Cambria Math"/>
          </w:rPr>
          <m:t>0.5</m:t>
        </m:r>
      </m:oMath>
      <w:r>
        <w:t xml:space="preserve">) and the SD to 0 pins the control-condition filtering at a fixed value. The remaining conditions still estimate </w:t>
      </w:r>
      <m:oMath>
        <m:r>
          <w:rPr>
            <w:rFonts w:ascii="Cambria Math" w:hAnsi="Cambria Math"/>
          </w:rPr>
          <m:t>f</m:t>
        </m:r>
      </m:oMath>
      <w:r>
        <w:t xml:space="preserve"> freely. For more information on setting priors in </w:t>
      </w:r>
      <w:r>
        <w:rPr>
          <w:rStyle w:val="VerbatimChar"/>
        </w:rPr>
        <w:t>bmm</w:t>
      </w:r>
      <w:r>
        <w:t xml:space="preserve">, you can check the </w:t>
      </w:r>
      <w:r>
        <w:rPr>
          <w:rStyle w:val="VerbatimChar"/>
        </w:rPr>
        <w:t>brms</w:t>
      </w:r>
      <w:r>
        <w:t xml:space="preserve"> documentation. As </w:t>
      </w:r>
      <w:r>
        <w:rPr>
          <w:rStyle w:val="VerbatimChar"/>
        </w:rPr>
        <w:t>bmm</w:t>
      </w:r>
      <w:r>
        <w:t xml:space="preserve"> builds on </w:t>
      </w:r>
      <w:r>
        <w:rPr>
          <w:rStyle w:val="VerbatimChar"/>
        </w:rPr>
        <w:t>brms</w:t>
      </w:r>
      <w:r>
        <w:t>, the same syntax applies for setting priors. The companion script contains the full set of priors used for this model, which are mostly the default weakly informative priors.</w:t>
      </w:r>
    </w:p>
    <w:p w14:paraId="5C70F436" w14:textId="77777777" w:rsidR="00F70B7A" w:rsidRDefault="00000000">
      <w:pPr>
        <w:pStyle w:val="Heading2"/>
      </w:pPr>
      <w:bookmarkStart w:id="23" w:name="model-fitting-and-evaluation"/>
      <w:bookmarkEnd w:id="22"/>
      <w:r>
        <w:t>Model fitting and evaluation</w:t>
      </w:r>
    </w:p>
    <w:p w14:paraId="7455B599" w14:textId="77777777" w:rsidR="00F70B7A" w:rsidRDefault="00000000">
      <w:pPr>
        <w:pStyle w:val="FirstParagraph"/>
      </w:pPr>
      <w:r>
        <w:t xml:space="preserve">Fitting follows the same </w:t>
      </w:r>
      <w:r>
        <w:rPr>
          <w:rStyle w:val="VerbatimChar"/>
        </w:rPr>
        <w:t>bmm()</w:t>
      </w:r>
      <w:r>
        <w:t xml:space="preserve"> call as in Tutorial 1, now additionally passing the custom priors.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1.005, bulk ESS </w:t>
      </w:r>
      <m:oMath>
        <m:r>
          <m:rPr>
            <m:sty m:val="p"/>
          </m:rPr>
          <w:rPr>
            <w:rFonts w:ascii="Cambria Math" w:hAnsi="Cambria Math"/>
          </w:rPr>
          <m:t>&gt;</m:t>
        </m:r>
      </m:oMath>
      <w:r>
        <w:t xml:space="preserve"> 1,027, no divergent transitions). </w:t>
      </w:r>
      <w:hyperlink w:anchor="fig-t2-pp-check">
        <w:r>
          <w:rPr>
            <w:rStyle w:val="Hyperlink"/>
          </w:rPr>
          <w:t>Figure 5</w:t>
        </w:r>
      </w:hyperlink>
      <w:r>
        <w:t xml:space="preserve"> shows the posterior predictive check. The model captured the observed response proportions well across all three conditions and five categories.</w:t>
      </w:r>
    </w:p>
    <w:p w14:paraId="7444B967" w14:textId="5C4EA8D3" w:rsidR="00F70B7A" w:rsidRDefault="006915B9">
      <w:pPr>
        <w:pStyle w:val="Heading2"/>
      </w:pPr>
      <w:r>
        <w:rPr>
          <w:noProof/>
        </w:rPr>
        <w:lastRenderedPageBreak/>
        <mc:AlternateContent>
          <mc:Choice Requires="wps">
            <w:drawing>
              <wp:anchor distT="0" distB="0" distL="114300" distR="114300" simplePos="0" relativeHeight="251667456" behindDoc="0" locked="0" layoutInCell="1" allowOverlap="1" wp14:anchorId="50AFA0EF" wp14:editId="7CBDDB72">
                <wp:simplePos x="0" y="0"/>
                <wp:positionH relativeFrom="column">
                  <wp:posOffset>0</wp:posOffset>
                </wp:positionH>
                <wp:positionV relativeFrom="paragraph">
                  <wp:posOffset>0</wp:posOffset>
                </wp:positionV>
                <wp:extent cx="1828800" cy="1828800"/>
                <wp:effectExtent l="0" t="0" r="0" b="0"/>
                <wp:wrapSquare wrapText="bothSides"/>
                <wp:docPr id="18529598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554A1AC" w14:textId="77777777" w:rsidR="006915B9" w:rsidRDefault="006915B9">
                            <w:pPr>
                              <w:pStyle w:val="FigureTitle"/>
                            </w:pPr>
                            <w:r>
                              <w:t>Figure 5</w:t>
                            </w:r>
                          </w:p>
                          <w:p w14:paraId="2ACB22F2" w14:textId="77777777" w:rsidR="006915B9" w:rsidRDefault="006915B9" w:rsidP="006915B9">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4E086120" w14:textId="77777777" w:rsidR="006915B9" w:rsidRPr="00BD112C" w:rsidRDefault="006915B9" w:rsidP="00BD112C">
                            <w:pPr>
                              <w:pStyle w:val="FigureWithoutNote"/>
                              <w:rPr>
                                <w:noProof/>
                              </w:rPr>
                            </w:pPr>
                            <w:r>
                              <w:rPr>
                                <w:noProof/>
                              </w:rPr>
                              <w:drawing>
                                <wp:inline distT="0" distB="0" distL="0" distR="0" wp14:anchorId="61D2256D" wp14:editId="55F2BD22">
                                  <wp:extent cx="5943600" cy="3657600"/>
                                  <wp:effectExtent l="0" t="0" r="0" b="0"/>
                                  <wp:docPr id="818857445" name="Picture"/>
                                  <wp:cNvGraphicFramePr/>
                                  <a:graphic xmlns:a="http://schemas.openxmlformats.org/drawingml/2006/main">
                                    <a:graphicData uri="http://schemas.openxmlformats.org/drawingml/2006/picture">
                                      <pic:pic xmlns:pic="http://schemas.openxmlformats.org/drawingml/2006/picture">
                                        <pic:nvPicPr>
                                          <pic:cNvPr id="77" name="Picture" descr="../figures/tutorial2_pp_check.pdf"/>
                                          <pic:cNvPicPr>
                                            <a:picLocks noChangeAspect="1" noChangeArrowheads="1"/>
                                          </pic:cNvPicPr>
                                        </pic:nvPicPr>
                                        <pic:blipFill>
                                          <a:blip r:embed="rId16"/>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0AFA0EF" id="_x0000_s1030" type="#_x0000_t202" style="position:absolute;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qUh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6dDwFqoj4uCgHxFv+Vph+kfmwwtzOBPYH855eMZDasCa4CRRUoP79bf76I9UoZWSFmespAaXgBL9&#13;&#10;3SCFd+PpNI5kUqY3XyaouGvL9tpi9s0KsM0x7pPlSYz+QQ+idNC84TIs45toYobjyyUNg7gK/dzj&#13;&#10;MnGxXCYnHELLwqPZWB5TD6C+dm/M2RNZAXl+gmEWWfGOs943Rnq73AdkLhEaUe4xPYGPA5y4OS1b&#13;&#10;3JBrPXldfgm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CK+pSErAgAAWgQAAA4AAAAAAAAAAAAAAAAALgIAAGRycy9lMm9E&#13;&#10;b2MueG1sUEsBAi0AFAAGAAgAAAAhAAUyY4naAAAACgEAAA8AAAAAAAAAAAAAAAAAhQQAAGRycy9k&#13;&#10;b3ducmV2LnhtbFBLBQYAAAAABAAEAPMAAACMBQAAAAA=&#13;&#10;" filled="f" strokeweight=".5pt">
                <v:fill o:detectmouseclick="t"/>
                <v:textbox style="mso-fit-shape-to-text:t">
                  <w:txbxContent>
                    <w:p w14:paraId="5554A1AC" w14:textId="77777777" w:rsidR="006915B9" w:rsidRDefault="006915B9">
                      <w:pPr>
                        <w:pStyle w:val="FigureTitle"/>
                      </w:pPr>
                      <w:r>
                        <w:t>Figure 5</w:t>
                      </w:r>
                    </w:p>
                    <w:p w14:paraId="2ACB22F2" w14:textId="77777777" w:rsidR="006915B9" w:rsidRDefault="006915B9" w:rsidP="006915B9">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4E086120" w14:textId="77777777" w:rsidR="006915B9" w:rsidRPr="00BD112C" w:rsidRDefault="006915B9" w:rsidP="00BD112C">
                      <w:pPr>
                        <w:pStyle w:val="FigureWithoutNote"/>
                        <w:rPr>
                          <w:noProof/>
                        </w:rPr>
                      </w:pPr>
                      <w:r>
                        <w:rPr>
                          <w:noProof/>
                        </w:rPr>
                        <w:drawing>
                          <wp:inline distT="0" distB="0" distL="0" distR="0" wp14:anchorId="61D2256D" wp14:editId="55F2BD22">
                            <wp:extent cx="5943600" cy="3657600"/>
                            <wp:effectExtent l="0" t="0" r="0" b="0"/>
                            <wp:docPr id="818857445" name="Picture"/>
                            <wp:cNvGraphicFramePr/>
                            <a:graphic xmlns:a="http://schemas.openxmlformats.org/drawingml/2006/main">
                              <a:graphicData uri="http://schemas.openxmlformats.org/drawingml/2006/picture">
                                <pic:pic xmlns:pic="http://schemas.openxmlformats.org/drawingml/2006/picture">
                                  <pic:nvPicPr>
                                    <pic:cNvPr id="77" name="Picture" descr="../figures/tutorial2_pp_check.pdf"/>
                                    <pic:cNvPicPr>
                                      <a:picLocks noChangeAspect="1" noChangeArrowheads="1"/>
                                    </pic:cNvPicPr>
                                  </pic:nvPicPr>
                                  <pic:blipFill>
                                    <a:blip r:embed="rId16"/>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bookmarkStart w:id="24" w:name="parameter-estimates-and-interpreting-f"/>
      <w:bookmarkEnd w:id="23"/>
      <w:r w:rsidR="00000000">
        <w:t>Parameter estimates and interpreting f</w:t>
      </w:r>
    </w:p>
    <w:p w14:paraId="0B89AD64" w14:textId="77777777" w:rsidR="00F70B7A" w:rsidRDefault="00000000">
      <w:pPr>
        <w:pStyle w:val="FirstParagraph"/>
      </w:pPr>
      <w:r>
        <w:t>We now examine the posterior estimates for all three parameters. Item memory (</w:t>
      </w:r>
      <m:oMath>
        <m:r>
          <w:rPr>
            <w:rFonts w:ascii="Cambria Math" w:hAnsi="Cambria Math"/>
          </w:rPr>
          <m:t>a</m:t>
        </m:r>
      </m:oMath>
      <w:r>
        <w:t>) and context binding (</w:t>
      </w:r>
      <m:oMath>
        <m:r>
          <w:rPr>
            <w:rFonts w:ascii="Cambria Math" w:hAnsi="Cambria Math"/>
          </w:rPr>
          <m:t>c</m:t>
        </m:r>
      </m:oMath>
      <w:r>
        <w:t xml:space="preserve">) are on the identity link and can be read directly from the posterior draws. The filtering parameter </w:t>
      </w:r>
      <m:oMath>
        <m:r>
          <w:rPr>
            <w:rFonts w:ascii="Cambria Math" w:hAnsi="Cambria Math"/>
          </w:rPr>
          <m:t>f</m:t>
        </m:r>
      </m:oMath>
      <w:r>
        <w:t>, however, is estimated on the logit scale. To interpret it as a proportional reduction between 0 and 1, we apply the inverse logit transformation (</w:t>
      </w:r>
      <w:r>
        <w:rPr>
          <w:rStyle w:val="VerbatimChar"/>
        </w:rPr>
        <w:t>plogis()</w:t>
      </w:r>
      <w:r>
        <w:t>):</w:t>
      </w:r>
    </w:p>
    <w:p w14:paraId="3BCD8A4E" w14:textId="77777777" w:rsidR="00F70B7A" w:rsidRDefault="00000000" w:rsidP="006915B9">
      <w:pPr>
        <w:pStyle w:val="SourceCode"/>
        <w:spacing w:line="240" w:lineRule="auto"/>
      </w:pPr>
      <w:r>
        <w:rPr>
          <w:rStyle w:val="NormalTok"/>
        </w:rPr>
        <w:t xml:space="preserve">draws </w:t>
      </w:r>
      <w:r>
        <w:rPr>
          <w:rStyle w:val="OtherTok"/>
        </w:rPr>
        <w:t>&lt;-</w:t>
      </w:r>
      <w:r>
        <w:rPr>
          <w:rStyle w:val="NormalTok"/>
        </w:rPr>
        <w:t xml:space="preserve"> </w:t>
      </w:r>
      <w:r>
        <w:rPr>
          <w:rStyle w:val="FunctionTok"/>
        </w:rPr>
        <w:t>as_draws_df</w:t>
      </w:r>
      <w:r>
        <w:rPr>
          <w:rStyle w:val="NormalTok"/>
        </w:rPr>
        <w:t xml:space="preserve">(fit_m3_cs) </w:t>
      </w:r>
      <w:r>
        <w:rPr>
          <w:rStyle w:val="SpecialCharTok"/>
        </w:rPr>
        <w:t>%&gt;%</w:t>
      </w:r>
      <w:r>
        <w:rPr>
          <w:rStyle w:val="NormalTok"/>
        </w:rPr>
        <w:t xml:space="preserve"> </w:t>
      </w:r>
      <w:r>
        <w:rPr>
          <w:rStyle w:val="FunctionTok"/>
        </w:rPr>
        <w:t>as_tibble</w:t>
      </w:r>
      <w:r>
        <w:rPr>
          <w:rStyle w:val="NormalTok"/>
        </w:rPr>
        <w:t>()</w:t>
      </w:r>
      <w:r>
        <w:br/>
      </w:r>
      <w:r>
        <w:rPr>
          <w:rStyle w:val="NormalTok"/>
        </w:rPr>
        <w:t xml:space="preserve">f_pre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b_f_conditionpre)</w:t>
      </w:r>
      <w:r>
        <w:br/>
      </w:r>
      <w:r>
        <w:rPr>
          <w:rStyle w:val="NormalTok"/>
        </w:rPr>
        <w:t xml:space="preserve">f_retro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b_f_conditionretro)</w:t>
      </w:r>
    </w:p>
    <w:p w14:paraId="7A7CB441" w14:textId="5CF2D915" w:rsidR="00F70B7A" w:rsidRDefault="006915B9">
      <w:pPr>
        <w:pStyle w:val="AfterWithoutNote"/>
      </w:pPr>
      <w:r>
        <w:rPr>
          <w:noProof/>
        </w:rPr>
        <w:lastRenderedPageBreak/>
        <mc:AlternateContent>
          <mc:Choice Requires="wps">
            <w:drawing>
              <wp:anchor distT="0" distB="0" distL="114300" distR="114300" simplePos="0" relativeHeight="251669504" behindDoc="0" locked="0" layoutInCell="1" allowOverlap="1" wp14:anchorId="6B7EF0F0" wp14:editId="7FEE201E">
                <wp:simplePos x="0" y="0"/>
                <wp:positionH relativeFrom="column">
                  <wp:posOffset>0</wp:posOffset>
                </wp:positionH>
                <wp:positionV relativeFrom="paragraph">
                  <wp:posOffset>0</wp:posOffset>
                </wp:positionV>
                <wp:extent cx="1828800" cy="1828800"/>
                <wp:effectExtent l="0" t="0" r="0" b="0"/>
                <wp:wrapSquare wrapText="bothSides"/>
                <wp:docPr id="198995697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B2C8BBC" w14:textId="77777777" w:rsidR="006915B9" w:rsidRDefault="006915B9">
                            <w:pPr>
                              <w:pStyle w:val="FigureTitle"/>
                            </w:pPr>
                            <w:r>
                              <w:t>Figure 6</w:t>
                            </w:r>
                          </w:p>
                          <w:p w14:paraId="56F98163" w14:textId="77777777" w:rsidR="006915B9" w:rsidRDefault="006915B9" w:rsidP="006915B9">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3CE5A7DA" w14:textId="77777777" w:rsidR="006915B9" w:rsidRPr="00961817" w:rsidRDefault="006915B9" w:rsidP="00961817">
                            <w:pPr>
                              <w:pStyle w:val="FigureWithoutNote"/>
                              <w:rPr>
                                <w:noProof/>
                              </w:rPr>
                            </w:pPr>
                            <w:r>
                              <w:rPr>
                                <w:noProof/>
                              </w:rPr>
                              <w:drawing>
                                <wp:inline distT="0" distB="0" distL="0" distR="0" wp14:anchorId="34018325" wp14:editId="391104D3">
                                  <wp:extent cx="5943600" cy="3657600"/>
                                  <wp:effectExtent l="0" t="0" r="0" b="0"/>
                                  <wp:docPr id="669672880" name="Picture"/>
                                  <wp:cNvGraphicFramePr/>
                                  <a:graphic xmlns:a="http://schemas.openxmlformats.org/drawingml/2006/main">
                                    <a:graphicData uri="http://schemas.openxmlformats.org/drawingml/2006/picture">
                                      <pic:pic xmlns:pic="http://schemas.openxmlformats.org/drawingml/2006/picture">
                                        <pic:nvPicPr>
                                          <pic:cNvPr id="82" name="Picture" descr="../figures/tutorial2_param_estimates.pdf"/>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B7EF0F0" id="_x0000_s1031" type="#_x0000_t202" style="position:absolute;left:0;text-align:left;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B4bQr0rAgAAWgQAAA4AAAAAAAAAAAAAAAAALgIAAGRycy9lMm9E&#13;&#10;b2MueG1sUEsBAi0AFAAGAAgAAAAhAAUyY4naAAAACgEAAA8AAAAAAAAAAAAAAAAAhQQAAGRycy9k&#13;&#10;b3ducmV2LnhtbFBLBQYAAAAABAAEAPMAAACMBQAAAAA=&#13;&#10;" filled="f" strokeweight=".5pt">
                <v:fill o:detectmouseclick="t"/>
                <v:textbox style="mso-fit-shape-to-text:t">
                  <w:txbxContent>
                    <w:p w14:paraId="5B2C8BBC" w14:textId="77777777" w:rsidR="006915B9" w:rsidRDefault="006915B9">
                      <w:pPr>
                        <w:pStyle w:val="FigureTitle"/>
                      </w:pPr>
                      <w:r>
                        <w:t>Figure 6</w:t>
                      </w:r>
                    </w:p>
                    <w:p w14:paraId="56F98163" w14:textId="77777777" w:rsidR="006915B9" w:rsidRDefault="006915B9" w:rsidP="006915B9">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3CE5A7DA" w14:textId="77777777" w:rsidR="006915B9" w:rsidRPr="00961817" w:rsidRDefault="006915B9" w:rsidP="00961817">
                      <w:pPr>
                        <w:pStyle w:val="FigureWithoutNote"/>
                        <w:rPr>
                          <w:noProof/>
                        </w:rPr>
                      </w:pPr>
                      <w:r>
                        <w:rPr>
                          <w:noProof/>
                        </w:rPr>
                        <w:drawing>
                          <wp:inline distT="0" distB="0" distL="0" distR="0" wp14:anchorId="34018325" wp14:editId="391104D3">
                            <wp:extent cx="5943600" cy="3657600"/>
                            <wp:effectExtent l="0" t="0" r="0" b="0"/>
                            <wp:docPr id="669672880" name="Picture"/>
                            <wp:cNvGraphicFramePr/>
                            <a:graphic xmlns:a="http://schemas.openxmlformats.org/drawingml/2006/main">
                              <a:graphicData uri="http://schemas.openxmlformats.org/drawingml/2006/picture">
                                <pic:pic xmlns:pic="http://schemas.openxmlformats.org/drawingml/2006/picture">
                                  <pic:nvPicPr>
                                    <pic:cNvPr id="82" name="Picture" descr="../figures/tutorial2_param_estimates.pdf"/>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r w:rsidR="00000000">
        <w:t xml:space="preserve">On the probability scale, </w:t>
      </w:r>
      <m:oMath>
        <m:r>
          <w:rPr>
            <w:rFonts w:ascii="Cambria Math" w:hAnsi="Cambria Math"/>
          </w:rPr>
          <m:t>f</m:t>
        </m:r>
      </m:oMath>
      <w:r w:rsidR="00000000">
        <w:t xml:space="preserve"> is around 0.65 in both conditions (pre-cue: </w:t>
      </w:r>
      <m:oMath>
        <m:r>
          <w:rPr>
            <w:rFonts w:ascii="Cambria Math" w:hAnsi="Cambria Math"/>
          </w:rPr>
          <m:t>M</m:t>
        </m:r>
      </m:oMath>
      <w:r w:rsidR="00000000">
        <w:t xml:space="preserve"> = 0.66, 95% HDI [0.61, 0.70]; retro-cue: </w:t>
      </w:r>
      <m:oMath>
        <m:r>
          <w:rPr>
            <w:rFonts w:ascii="Cambria Math" w:hAnsi="Cambria Math"/>
          </w:rPr>
          <m:t>M</m:t>
        </m:r>
      </m:oMath>
      <w:r w:rsidR="00000000">
        <w:t xml:space="preserve"> = 0.63, 95% HDI [0.59, 0.66]), indicating some filtering. This matches the conclusion of Li et al. (</w:t>
      </w:r>
      <w:hyperlink w:anchor="ref-li2026filtering">
        <w:r w:rsidR="00000000">
          <w:rPr>
            <w:rStyle w:val="Hyperlink"/>
          </w:rPr>
          <w:t>2026</w:t>
        </w:r>
      </w:hyperlink>
      <w:r w:rsidR="00000000">
        <w:t>): once distractors are processed, they are encoded into working memory regardless of whether participants knew in advance which items were distractors.</w:t>
      </w:r>
    </w:p>
    <w:p w14:paraId="1D1C1DD9" w14:textId="77777777" w:rsidR="00F70B7A" w:rsidRDefault="00000000">
      <w:pPr>
        <w:pStyle w:val="Heading2"/>
      </w:pPr>
      <w:bookmarkStart w:id="25" w:name="hypothesis-tests"/>
      <w:bookmarkEnd w:id="24"/>
      <w:r>
        <w:t>Hypothesis tests</w:t>
      </w:r>
    </w:p>
    <w:p w14:paraId="5AB1C773" w14:textId="77777777" w:rsidR="00F70B7A" w:rsidRDefault="00000000">
      <w:pPr>
        <w:pStyle w:val="FirstParagraph"/>
      </w:pPr>
      <w:r>
        <w:t xml:space="preserve">Again, we can test condition differences for the different parameters formally using </w:t>
      </w:r>
      <w:r>
        <w:rPr>
          <w:rStyle w:val="VerbatimChar"/>
        </w:rPr>
        <w:t>brms::hypothesis()</w:t>
      </w:r>
      <w:r>
        <w:t>:</w:t>
      </w:r>
    </w:p>
    <w:p w14:paraId="713D7AC3" w14:textId="77777777" w:rsidR="00F70B7A" w:rsidRDefault="00000000" w:rsidP="0027575C">
      <w:pPr>
        <w:pStyle w:val="SourceCode"/>
        <w:spacing w:line="240" w:lineRule="auto"/>
      </w:pPr>
      <w:r>
        <w:rPr>
          <w:rStyle w:val="CommentTok"/>
        </w:rPr>
        <w:lastRenderedPageBreak/>
        <w:t># Does f differ between pre-cue and retro-cue?</w:t>
      </w:r>
      <w:r>
        <w:br/>
      </w:r>
      <w:r>
        <w:rPr>
          <w:rStyle w:val="FunctionTok"/>
        </w:rPr>
        <w:t>hypothesis</w:t>
      </w:r>
      <w:r>
        <w:rPr>
          <w:rStyle w:val="NormalTok"/>
        </w:rPr>
        <w:t xml:space="preserve">(fit_m3_cs, </w:t>
      </w:r>
      <w:r>
        <w:rPr>
          <w:rStyle w:val="StringTok"/>
        </w:rPr>
        <w:t>"f_conditionpre - f_conditionretro = 0"</w:t>
      </w:r>
      <w:r>
        <w:rPr>
          <w:rStyle w:val="NormalTok"/>
        </w:rPr>
        <w:t>)</w:t>
      </w:r>
      <w:r>
        <w:br/>
      </w:r>
      <w:r>
        <w:br/>
      </w:r>
      <w:r>
        <w:rPr>
          <w:rStyle w:val="CommentTok"/>
        </w:rPr>
        <w:t># Do a and c differ between control and distractor conditions?</w:t>
      </w:r>
      <w:r>
        <w:br/>
      </w:r>
      <w:r>
        <w:rPr>
          <w:rStyle w:val="FunctionTok"/>
        </w:rPr>
        <w:t>hypothesis</w:t>
      </w:r>
      <w:r>
        <w:rPr>
          <w:rStyle w:val="NormalTok"/>
        </w:rPr>
        <w:t>(fit_m3_cs,</w:t>
      </w:r>
      <w:r>
        <w:br/>
      </w:r>
      <w:r>
        <w:rPr>
          <w:rStyle w:val="NormalTok"/>
        </w:rPr>
        <w:t xml:space="preserve">  </w:t>
      </w:r>
      <w:r>
        <w:rPr>
          <w:rStyle w:val="StringTok"/>
        </w:rPr>
        <w:t>"a_conditioncontrol - (a_conditionpre + a_conditionretro) / 2 = 0"</w:t>
      </w:r>
      <w:r>
        <w:rPr>
          <w:rStyle w:val="NormalTok"/>
        </w:rPr>
        <w:t>)</w:t>
      </w:r>
    </w:p>
    <w:p w14:paraId="5E9B91EF" w14:textId="77777777" w:rsidR="00F70B7A" w:rsidRDefault="00000000" w:rsidP="0027575C">
      <w:pPr>
        <w:pStyle w:val="FirstParagraph"/>
        <w:spacing w:before="240"/>
      </w:pPr>
      <w:r>
        <w:t xml:space="preserve">The evidence ratio for the </w:t>
      </w:r>
      <m:oMath>
        <m:r>
          <w:rPr>
            <w:rFonts w:ascii="Cambria Math" w:hAnsi="Cambria Math"/>
          </w:rPr>
          <m:t>f</m:t>
        </m:r>
      </m:oMath>
      <w:r>
        <w:t xml:space="preserve"> comparison indicated that filtering is equivalent between cue conditions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10.5). There is inconclusive evidence for item memory </w:t>
      </w:r>
      <m:oMath>
        <m:r>
          <w:rPr>
            <w:rFonts w:ascii="Cambria Math" w:hAnsi="Cambria Math"/>
          </w:rPr>
          <m:t>a</m:t>
        </m:r>
      </m:oMath>
      <w:r>
        <w:t xml:space="preserve"> comparing the distractor conditions to the control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0.45); however, context activation </w:t>
      </w:r>
      <m:oMath>
        <m:r>
          <w:rPr>
            <w:rFonts w:ascii="Cambria Math" w:hAnsi="Cambria Math"/>
          </w:rPr>
          <m:t>c</m:t>
        </m:r>
      </m:oMath>
      <w:r>
        <w:t xml:space="preserve"> is lower in the distractor conditions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7.52).</w:t>
      </w:r>
    </w:p>
    <w:p w14:paraId="113A6AD9" w14:textId="77777777" w:rsidR="00F70B7A" w:rsidRDefault="00000000">
      <w:pPr>
        <w:pStyle w:val="Heading2"/>
      </w:pPr>
      <w:bookmarkStart w:id="26" w:name="comparison-with-the-published-model"/>
      <w:bookmarkEnd w:id="25"/>
      <w:r>
        <w:t>Comparison with the published model</w:t>
      </w:r>
    </w:p>
    <w:p w14:paraId="0921C553" w14:textId="7A8D384B" w:rsidR="00F70B7A" w:rsidRDefault="00000000">
      <w:pPr>
        <w:pStyle w:val="FirstParagraph"/>
      </w:pPr>
      <w:r>
        <w:t xml:space="preserve">The standard </w:t>
      </w:r>
      <w:r>
        <w:rPr>
          <w:rStyle w:val="VerbatimChar"/>
        </w:rPr>
        <w:t>cs</w:t>
      </w:r>
      <w:r>
        <w:t xml:space="preserve"> version makes a simplifying assumption: distractor attenuation is symmetric, with both item memory and context binding scaled by the single parameter </w:t>
      </w:r>
      <m:oMath>
        <m:r>
          <w:rPr>
            <w:rFonts w:ascii="Cambria Math" w:hAnsi="Cambria Math"/>
          </w:rPr>
          <m:t>f</m:t>
        </m:r>
      </m:oMath>
      <w:r>
        <w:t>. This is a reasonable default, but it rules out the possibility that item and context information transfer to distractors at different rates. The original analysis by Li et al. (</w:t>
      </w:r>
      <w:hyperlink w:anchor="ref-li2026filtering">
        <w:r>
          <w:rPr>
            <w:rStyle w:val="Hyperlink"/>
          </w:rPr>
          <w:t>2026</w:t>
        </w:r>
      </w:hyperlink>
      <w:r>
        <w:t xml:space="preserve">) tested exactly this distinction using a custom version with two separate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allowing item and binding activation to transfer differently to distractors. Their findings suggest that item memory is barely reduced, whereas context activation is more affected. When a research question requires this kind of flexibility</w:t>
      </w:r>
      <w:r w:rsidR="0027575C">
        <w:t>,</w:t>
      </w:r>
      <w:r>
        <w:t xml:space="preserve"> or when the task design does not map onto any pre-built version</w:t>
      </w:r>
      <w:r w:rsidR="0027575C">
        <w:t>,</w:t>
      </w:r>
      <w:r>
        <w:t xml:space="preserve"> a custom specification is needed. Tutorial 3 demonstrates how to define and fit such a custom version using the same data.</w:t>
      </w:r>
    </w:p>
    <w:p w14:paraId="6D9C2F2B" w14:textId="77777777" w:rsidR="0027575C" w:rsidRPr="0027575C" w:rsidRDefault="0027575C" w:rsidP="0027575C">
      <w:pPr>
        <w:pStyle w:val="BodyText"/>
      </w:pPr>
    </w:p>
    <w:p w14:paraId="6F9BC75C" w14:textId="77777777" w:rsidR="00F70B7A" w:rsidRDefault="00000000">
      <w:pPr>
        <w:pStyle w:val="Heading1"/>
      </w:pPr>
      <w:bookmarkStart w:id="27" w:name="tutorial-3-custom-m3"/>
      <w:bookmarkEnd w:id="19"/>
      <w:bookmarkEnd w:id="26"/>
      <w:r>
        <w:t xml:space="preserve">Tutorial 3: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463BF5D4" w14:textId="28CEF60E" w:rsidR="00F70B7A" w:rsidRDefault="00000000">
      <w:pPr>
        <w:pStyle w:val="FirstParagraph"/>
      </w:pPr>
      <w:r>
        <w:t>The previous tutorials used pre-built versions (</w:t>
      </w:r>
      <w:r>
        <w:rPr>
          <w:rStyle w:val="VerbatimChar"/>
        </w:rPr>
        <w:t>ss</w:t>
      </w:r>
      <w:r>
        <w:t xml:space="preserve"> and </w:t>
      </w:r>
      <w:r>
        <w:rPr>
          <w:rStyle w:val="VerbatimChar"/>
        </w:rPr>
        <w:t>cs</w:t>
      </w:r>
      <w:r>
        <w:t xml:space="preserve">) that ship with fixed activation formulas. When a research question requires different assumptions about how activation sources </w:t>
      </w:r>
      <w:r>
        <w:lastRenderedPageBreak/>
        <w:t>combine</w:t>
      </w:r>
      <w:r w:rsidR="0027575C">
        <w:t>,</w:t>
      </w:r>
      <w:r>
        <w:t xml:space="preserve"> as in the filtering example at the end of Tutorial 2</w:t>
      </w:r>
      <w:r w:rsidR="0027575C">
        <w:t>,</w:t>
      </w:r>
      <w:r>
        <w:t xml:space="preserve"> </w:t>
      </w:r>
      <w:proofErr w:type="spellStart"/>
      <w:r>
        <w:rPr>
          <w:rStyle w:val="VerbatimChar"/>
        </w:rPr>
        <w:t>bmm</w:t>
      </w:r>
      <w:proofErr w:type="spellEnd"/>
      <w:r>
        <w:t xml:space="preserve"> allows defining a fully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user-specified response categories and activation formulas. This tutorial demonstrates how to define, fit, and compare a custom version using the same data as Tutorial 2. The companion script is </w:t>
      </w:r>
      <w:r>
        <w:rPr>
          <w:rStyle w:val="VerbatimChar"/>
        </w:rPr>
        <w:t>scripts/tutorial3_custom_filtering.R</w:t>
      </w:r>
      <w:r>
        <w:t>.</w:t>
      </w:r>
    </w:p>
    <w:p w14:paraId="0552A4F4" w14:textId="77777777" w:rsidR="00F70B7A" w:rsidRDefault="00000000">
      <w:pPr>
        <w:pStyle w:val="Heading2"/>
      </w:pPr>
      <w:bookmarkStart w:id="28" w:name="X27b1f7a65d1ead4277cbf164ad0561d85835384"/>
      <w:r>
        <w:t xml:space="preserve">From single </w:t>
      </w:r>
      <m:oMath>
        <m:r>
          <m:rPr>
            <m:sty m:val="bi"/>
          </m:rPr>
          <w:rPr>
            <w:rFonts w:ascii="Cambria Math" w:hAnsi="Cambria Math"/>
          </w:rPr>
          <m:t>f</m:t>
        </m:r>
      </m:oMath>
      <w:r>
        <w:t xml:space="preserve"> to separate ratio parameters</w:t>
      </w:r>
    </w:p>
    <w:p w14:paraId="4E8EDD70" w14:textId="77777777" w:rsidR="00F70B7A" w:rsidRDefault="00000000">
      <w:pPr>
        <w:pStyle w:val="FirstParagraph"/>
      </w:pPr>
      <w:r>
        <w:t xml:space="preserve">As noted at the end of Tutorial 2, the </w:t>
      </w:r>
      <w:r>
        <w:rPr>
          <w:rStyle w:val="VerbatimChar"/>
        </w:rPr>
        <w:t>cs</w:t>
      </w:r>
      <w:r>
        <w:t xml:space="preserve"> version constrains distractor attenuation to be symmetric. Replacing </w:t>
      </w:r>
      <m:oMath>
        <m:r>
          <w:rPr>
            <w:rFonts w:ascii="Cambria Math" w:hAnsi="Cambria Math"/>
          </w:rPr>
          <m:t>f</m:t>
        </m:r>
      </m:oMath>
      <w:r>
        <w:t xml:space="preserve"> with two ratio parameters —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for item memory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for context binding — produces the following activation formulas:</w:t>
      </w:r>
    </w:p>
    <w:p w14:paraId="59D1DF63" w14:textId="77777777" w:rsidR="00F70B7A"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6373C0AA" w14:textId="77777777" w:rsidR="00F70B7A" w:rsidRDefault="00000000">
      <w:pPr>
        <w:pStyle w:val="FirstParagraph"/>
      </w:pPr>
      <w:r>
        <w:t xml:space="preserve">When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this reduces to the standard </w:t>
      </w:r>
      <w:r>
        <w:rPr>
          <w:rStyle w:val="VerbatimChar"/>
        </w:rPr>
        <w:t>cs</w:t>
      </w:r>
      <w:r>
        <w:t xml:space="preserve"> version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custom version relaxes this constraint and lets the data decide.</w:t>
      </w:r>
    </w:p>
    <w:p w14:paraId="6AB32295" w14:textId="77777777" w:rsidR="00F70B7A" w:rsidRDefault="00000000">
      <w:pPr>
        <w:pStyle w:val="Heading2"/>
      </w:pPr>
      <w:bookmarkStart w:id="29" w:name="defining-a-custom-m3"/>
      <w:bookmarkEnd w:id="28"/>
      <w:r>
        <w:t xml:space="preserve">Defining a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75428C63" w14:textId="77777777" w:rsidR="00F70B7A" w:rsidRDefault="00000000">
      <w:pPr>
        <w:pStyle w:val="FirstParagraph"/>
      </w:pPr>
      <w:r>
        <w:t xml:space="preserve">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specifying the response categories, the number of options per category, and — importantly — the link functions for each parameter. Because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proportions bounded between 0 and 1, we use the logit link; </w:t>
      </w:r>
      <m:oMath>
        <m:r>
          <w:rPr>
            <w:rFonts w:ascii="Cambria Math" w:hAnsi="Cambria Math"/>
          </w:rPr>
          <m:t>a</m:t>
        </m:r>
      </m:oMath>
      <w:r>
        <w:t xml:space="preserve"> and </w:t>
      </w:r>
      <m:oMath>
        <m:r>
          <w:rPr>
            <w:rFonts w:ascii="Cambria Math" w:hAnsi="Cambria Math"/>
          </w:rPr>
          <m:t>c</m:t>
        </m:r>
      </m:oMath>
      <w:r>
        <w:t xml:space="preserve"> are unbounded activations and use the identity link:</w:t>
      </w:r>
    </w:p>
    <w:p w14:paraId="15109F23" w14:textId="77777777" w:rsidR="00F70B7A" w:rsidRDefault="00000000" w:rsidP="0027575C">
      <w:pPr>
        <w:pStyle w:val="SourceCode"/>
        <w:spacing w:line="240" w:lineRule="auto"/>
      </w:pPr>
      <w:r>
        <w:rPr>
          <w:rStyle w:val="NormalTok"/>
        </w:rPr>
        <w:t xml:space="preserve">m3_model_custom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ra =</w:t>
      </w:r>
      <w:r>
        <w:rPr>
          <w:rStyle w:val="NormalTok"/>
        </w:rPr>
        <w:t xml:space="preserve"> </w:t>
      </w:r>
      <w:r>
        <w:rPr>
          <w:rStyle w:val="StringTok"/>
        </w:rPr>
        <w:t>"logit"</w:t>
      </w:r>
      <w:r>
        <w:rPr>
          <w:rStyle w:val="NormalTok"/>
        </w:rPr>
        <w:t xml:space="preserve">,    </w:t>
      </w:r>
      <w:r>
        <w:rPr>
          <w:rStyle w:val="AttributeTok"/>
        </w:rPr>
        <w:t>rc =</w:t>
      </w:r>
      <w:r>
        <w:rPr>
          <w:rStyle w:val="NormalTok"/>
        </w:rPr>
        <w:t xml:space="preserve"> </w:t>
      </w:r>
      <w:r>
        <w:rPr>
          <w:rStyle w:val="StringTok"/>
        </w:rPr>
        <w:t>"logit"</w:t>
      </w:r>
      <w:r>
        <w:br/>
      </w:r>
      <w:r>
        <w:rPr>
          <w:rStyle w:val="NormalTok"/>
        </w:rPr>
        <w:lastRenderedPageBreak/>
        <w:t xml:space="preserve">  )</w:t>
      </w:r>
      <w:r>
        <w:br/>
      </w:r>
      <w:r>
        <w:rPr>
          <w:rStyle w:val="NormalTok"/>
        </w:rPr>
        <w:t>)</w:t>
      </w:r>
    </w:p>
    <w:p w14:paraId="39B5CE38" w14:textId="77777777" w:rsidR="00F70B7A" w:rsidRDefault="00000000" w:rsidP="0027575C">
      <w:pPr>
        <w:pStyle w:val="FirstParagraph"/>
        <w:spacing w:before="240"/>
      </w:pPr>
      <w:r>
        <w:t xml:space="preserve">For custom versions, </w:t>
      </w:r>
      <w:r>
        <w:rPr>
          <w:rStyle w:val="VerbatimChar"/>
        </w:rPr>
        <w:t>bmf()</w:t>
      </w:r>
      <w:r>
        <w:t xml:space="preserve"> specifies both the activation formulas (how parameters combine into category activations) and the regression formulas (how experimental conditions predict each parameter). The activation formulas translate the equations above into R formula syntax:</w:t>
      </w:r>
    </w:p>
    <w:p w14:paraId="0EB4FF48" w14:textId="77777777" w:rsidR="00F70B7A" w:rsidRDefault="00000000" w:rsidP="0027575C">
      <w:pPr>
        <w:pStyle w:val="SourceCode"/>
        <w:spacing w:line="240" w:lineRule="auto"/>
      </w:pPr>
      <w:r>
        <w:rPr>
          <w:rStyle w:val="NormalTok"/>
        </w:rPr>
        <w:t xml:space="preserve">m3_formula_custom </w:t>
      </w:r>
      <w:r>
        <w:rPr>
          <w:rStyle w:val="OtherTok"/>
        </w:rPr>
        <w:t>&lt;-</w:t>
      </w:r>
      <w:r>
        <w:rPr>
          <w:rStyle w:val="NormalTok"/>
        </w:rPr>
        <w:t xml:space="preserve"> </w:t>
      </w:r>
      <w:r>
        <w:rPr>
          <w:rStyle w:val="FunctionTok"/>
        </w:rPr>
        <w:t>bmf</w:t>
      </w:r>
      <w:r>
        <w:rPr>
          <w:rStyle w:val="NormalTok"/>
        </w:rPr>
        <w:t>(</w:t>
      </w:r>
      <w:r>
        <w:br/>
      </w:r>
      <w:r>
        <w:rPr>
          <w:rStyle w:val="NormalTok"/>
        </w:rPr>
        <w:t xml:space="preserve">  corr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distc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rc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disto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npl   </w:t>
      </w:r>
      <w:r>
        <w:rPr>
          <w:rStyle w:val="SpecialCharTok"/>
        </w:rPr>
        <w:t>~</w:t>
      </w:r>
      <w:r>
        <w:rPr>
          <w:rStyle w:val="NormalTok"/>
        </w:rPr>
        <w:t xml:space="preserve"> b,</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50B224D4" w14:textId="77777777" w:rsidR="00F70B7A" w:rsidRDefault="00000000" w:rsidP="0027575C">
      <w:pPr>
        <w:pStyle w:val="FirstParagraph"/>
        <w:spacing w:before="240"/>
      </w:pPr>
      <w:r>
        <w:t xml:space="preserve">As in Tutorial 2,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not identified in the control condition (no distractors present), so we fix them with constant priors on both the fixed effect and the random effect SD:</w:t>
      </w:r>
    </w:p>
    <w:p w14:paraId="5D3BB148" w14:textId="77777777" w:rsidR="00F70B7A" w:rsidRDefault="00000000" w:rsidP="0027575C">
      <w:pPr>
        <w:pStyle w:val="SourceCode"/>
        <w:spacing w:line="240" w:lineRule="auto"/>
      </w:pPr>
      <w:r>
        <w:rPr>
          <w:rStyle w:val="NormalTok"/>
        </w:rPr>
        <w:t xml:space="preserve">priors_custom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"ra"</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"ra"</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"rc"</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"rc"</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560CEFF2" w14:textId="77777777" w:rsidR="00F70B7A" w:rsidRDefault="00000000" w:rsidP="0027575C">
      <w:pPr>
        <w:pStyle w:val="Heading2"/>
        <w:spacing w:before="240"/>
      </w:pPr>
      <w:bookmarkStart w:id="30" w:name="model-fitting-and-evaluation-1"/>
      <w:bookmarkEnd w:id="29"/>
      <w:r>
        <w:t>Model fitting and evaluation</w:t>
      </w:r>
    </w:p>
    <w:p w14:paraId="495DFA1E" w14:textId="77777777" w:rsidR="00F70B7A" w:rsidRDefault="00000000">
      <w:pPr>
        <w:pStyle w:val="FirstParagraph"/>
      </w:pPr>
      <w:r>
        <w:t xml:space="preserve">Fitting follows the same </w:t>
      </w:r>
      <w:r>
        <w:rPr>
          <w:rStyle w:val="VerbatimChar"/>
        </w:rPr>
        <w:t>bmm()</w:t>
      </w:r>
      <w:r>
        <w:t xml:space="preserve"> call as in the previous tutorials.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1.007, bulk ESS </w:t>
      </w:r>
      <m:oMath>
        <m:r>
          <m:rPr>
            <m:sty m:val="p"/>
          </m:rPr>
          <w:rPr>
            <w:rFonts w:ascii="Cambria Math" w:hAnsi="Cambria Math"/>
          </w:rPr>
          <m:t>&gt;</m:t>
        </m:r>
      </m:oMath>
      <w:r>
        <w:t xml:space="preserve"> 794, no divergent transitions). </w:t>
      </w:r>
      <w:hyperlink w:anchor="fig-t3-pp-check">
        <w:r>
          <w:rPr>
            <w:rStyle w:val="Hyperlink"/>
          </w:rPr>
          <w:t>Figure 7</w:t>
        </w:r>
      </w:hyperlink>
      <w:r>
        <w:t xml:space="preserve"> shows the posterior predictive check. Predicted proportions closely match the observed data across all conditions and categories, comparable to the </w:t>
      </w:r>
      <w:r>
        <w:rPr>
          <w:rStyle w:val="VerbatimChar"/>
        </w:rPr>
        <w:t>cs</w:t>
      </w:r>
      <w:r>
        <w:t xml:space="preserve"> fit in Tutorial 2.</w:t>
      </w:r>
    </w:p>
    <w:p w14:paraId="1F0CAC64" w14:textId="44B77ABE" w:rsidR="00F70B7A" w:rsidRDefault="0027575C">
      <w:pPr>
        <w:pStyle w:val="Heading2"/>
      </w:pPr>
      <w:r>
        <w:rPr>
          <w:noProof/>
        </w:rPr>
        <w:lastRenderedPageBreak/>
        <mc:AlternateContent>
          <mc:Choice Requires="wps">
            <w:drawing>
              <wp:anchor distT="0" distB="0" distL="114300" distR="114300" simplePos="0" relativeHeight="251671552" behindDoc="0" locked="0" layoutInCell="1" allowOverlap="1" wp14:anchorId="4DECAD41" wp14:editId="0BBF757A">
                <wp:simplePos x="0" y="0"/>
                <wp:positionH relativeFrom="column">
                  <wp:posOffset>0</wp:posOffset>
                </wp:positionH>
                <wp:positionV relativeFrom="paragraph">
                  <wp:posOffset>0</wp:posOffset>
                </wp:positionV>
                <wp:extent cx="1828800" cy="1828800"/>
                <wp:effectExtent l="0" t="0" r="0" b="0"/>
                <wp:wrapSquare wrapText="bothSides"/>
                <wp:docPr id="748173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8283A70" w14:textId="77777777" w:rsidR="0027575C" w:rsidRDefault="0027575C">
                            <w:pPr>
                              <w:pStyle w:val="FigureTitle"/>
                            </w:pPr>
                            <w:r>
                              <w:t>Figure 7</w:t>
                            </w:r>
                          </w:p>
                          <w:p w14:paraId="5A569F19" w14:textId="77777777" w:rsidR="0027575C" w:rsidRDefault="0027575C" w:rsidP="0027575C">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482255B4" w14:textId="77777777" w:rsidR="0027575C" w:rsidRPr="00EA30AE" w:rsidRDefault="0027575C" w:rsidP="00EA30AE">
                            <w:pPr>
                              <w:pStyle w:val="FigureWithoutNote"/>
                              <w:rPr>
                                <w:noProof/>
                              </w:rPr>
                            </w:pPr>
                            <w:r>
                              <w:rPr>
                                <w:noProof/>
                              </w:rPr>
                              <w:drawing>
                                <wp:inline distT="0" distB="0" distL="0" distR="0" wp14:anchorId="46EBA03F" wp14:editId="586F6661">
                                  <wp:extent cx="5943600" cy="3657600"/>
                                  <wp:effectExtent l="0" t="0" r="0" b="0"/>
                                  <wp:docPr id="1447559415" name="Picture"/>
                                  <wp:cNvGraphicFramePr/>
                                  <a:graphic xmlns:a="http://schemas.openxmlformats.org/drawingml/2006/main">
                                    <a:graphicData uri="http://schemas.openxmlformats.org/drawingml/2006/picture">
                                      <pic:pic xmlns:pic="http://schemas.openxmlformats.org/drawingml/2006/picture">
                                        <pic:nvPicPr>
                                          <pic:cNvPr id="92" name="Picture" descr="../figures/tutorial3_pp_check.pdf"/>
                                          <pic:cNvPicPr>
                                            <a:picLocks noChangeAspect="1" noChangeArrowheads="1"/>
                                          </pic:cNvPicPr>
                                        </pic:nvPicPr>
                                        <pic:blipFill>
                                          <a:blip r:embed="rId18"/>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ECAD41" id="_x0000_s1032"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hvDKg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" filled="f" strokeweight=".5pt">
                <v:fill o:detectmouseclick="t"/>
                <v:textbox style="mso-fit-shape-to-text:t">
                  <w:txbxContent>
                    <w:p w14:paraId="18283A70" w14:textId="77777777" w:rsidR="0027575C" w:rsidRDefault="0027575C">
                      <w:pPr>
                        <w:pStyle w:val="FigureTitle"/>
                      </w:pPr>
                      <w:r>
                        <w:t>Figure 7</w:t>
                      </w:r>
                    </w:p>
                    <w:p w14:paraId="5A569F19" w14:textId="77777777" w:rsidR="0027575C" w:rsidRDefault="0027575C" w:rsidP="0027575C">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482255B4" w14:textId="77777777" w:rsidR="0027575C" w:rsidRPr="00EA30AE" w:rsidRDefault="0027575C" w:rsidP="00EA30AE">
                      <w:pPr>
                        <w:pStyle w:val="FigureWithoutNote"/>
                        <w:rPr>
                          <w:noProof/>
                        </w:rPr>
                      </w:pPr>
                      <w:r>
                        <w:rPr>
                          <w:noProof/>
                        </w:rPr>
                        <w:drawing>
                          <wp:inline distT="0" distB="0" distL="0" distR="0" wp14:anchorId="46EBA03F" wp14:editId="586F6661">
                            <wp:extent cx="5943600" cy="3657600"/>
                            <wp:effectExtent l="0" t="0" r="0" b="0"/>
                            <wp:docPr id="1447559415" name="Picture"/>
                            <wp:cNvGraphicFramePr/>
                            <a:graphic xmlns:a="http://schemas.openxmlformats.org/drawingml/2006/main">
                              <a:graphicData uri="http://schemas.openxmlformats.org/drawingml/2006/picture">
                                <pic:pic xmlns:pic="http://schemas.openxmlformats.org/drawingml/2006/picture">
                                  <pic:nvPicPr>
                                    <pic:cNvPr id="92" name="Picture" descr="../figures/tutorial3_pp_check.pdf"/>
                                    <pic:cNvPicPr>
                                      <a:picLocks noChangeAspect="1" noChangeArrowheads="1"/>
                                    </pic:cNvPicPr>
                                  </pic:nvPicPr>
                                  <pic:blipFill>
                                    <a:blip r:embed="rId18"/>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bookmarkStart w:id="31" w:name="model-comparison"/>
      <w:bookmarkEnd w:id="30"/>
      <w:r w:rsidR="00000000">
        <w:t>Model comparison</w:t>
      </w:r>
    </w:p>
    <w:p w14:paraId="443E3EFC" w14:textId="77777777" w:rsidR="00F70B7A" w:rsidRDefault="00000000">
      <w:pPr>
        <w:pStyle w:val="FirstParagraph"/>
      </w:pPr>
      <w:r>
        <w:t xml:space="preserve">To evaluate whether separating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improves on the standard </w:t>
      </w:r>
      <w:r>
        <w:rPr>
          <w:rStyle w:val="VerbatimChar"/>
        </w:rPr>
        <w:t>cs</w:t>
      </w:r>
      <w:r>
        <w:t xml:space="preserve"> version, we compared the two using bridge sampling (</w:t>
      </w:r>
      <w:hyperlink w:anchor="ref-gronau2017bridge">
        <w:r>
          <w:rPr>
            <w:rStyle w:val="Hyperlink"/>
          </w:rPr>
          <w:t>Gronau et al., 2017</w:t>
        </w:r>
      </w:hyperlink>
      <w:r>
        <w:t>):</w:t>
      </w:r>
    </w:p>
    <w:p w14:paraId="23032E67" w14:textId="77777777" w:rsidR="00F70B7A" w:rsidRDefault="00000000" w:rsidP="0027575C">
      <w:pPr>
        <w:pStyle w:val="SourceCode"/>
        <w:spacing w:line="240" w:lineRule="auto"/>
      </w:pPr>
      <w:r>
        <w:rPr>
          <w:rStyle w:val="NormalTok"/>
        </w:rPr>
        <w:t xml:space="preserve">bridge_cs     </w:t>
      </w:r>
      <w:r>
        <w:rPr>
          <w:rStyle w:val="OtherTok"/>
        </w:rPr>
        <w:t>&lt;-</w:t>
      </w:r>
      <w:r>
        <w:rPr>
          <w:rStyle w:val="NormalTok"/>
        </w:rPr>
        <w:t xml:space="preserve"> </w:t>
      </w:r>
      <w:r>
        <w:rPr>
          <w:rStyle w:val="FunctionTok"/>
        </w:rPr>
        <w:t>bridge_sampler</w:t>
      </w:r>
      <w:r>
        <w:rPr>
          <w:rStyle w:val="NormalTok"/>
        </w:rPr>
        <w:t xml:space="preserve">(fit_m3_cs,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bridge_custom </w:t>
      </w:r>
      <w:r>
        <w:rPr>
          <w:rStyle w:val="OtherTok"/>
        </w:rPr>
        <w:t>&lt;-</w:t>
      </w:r>
      <w:r>
        <w:rPr>
          <w:rStyle w:val="NormalTok"/>
        </w:rPr>
        <w:t xml:space="preserve"> </w:t>
      </w:r>
      <w:r>
        <w:rPr>
          <w:rStyle w:val="FunctionTok"/>
        </w:rPr>
        <w:t>bridge_sampler</w:t>
      </w:r>
      <w:r>
        <w:rPr>
          <w:rStyle w:val="NormalTok"/>
        </w:rPr>
        <w:t xml:space="preserve">(fit_m3_custom,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(bridge_custom, bridge_cs)</w:t>
      </w:r>
    </w:p>
    <w:p w14:paraId="4C17EBA0" w14:textId="77777777" w:rsidR="00F70B7A" w:rsidRDefault="00000000" w:rsidP="0027575C">
      <w:pPr>
        <w:pStyle w:val="FirstParagraph"/>
        <w:spacing w:before="240"/>
      </w:pPr>
      <w:r>
        <w:t>The Bayes factor strongly favored the custom version (median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across 10 bridge sampling repetitions), indicating that the data warrant separate ratio parameters rather than a single </w:t>
      </w:r>
      <m:oMath>
        <m:r>
          <w:rPr>
            <w:rFonts w:ascii="Cambria Math" w:hAnsi="Cambria Math"/>
          </w:rPr>
          <m:t>f</m:t>
        </m:r>
      </m:oMath>
      <w:r>
        <w:t>.</w:t>
      </w:r>
    </w:p>
    <w:p w14:paraId="4CB73A88" w14:textId="77777777" w:rsidR="00F70B7A" w:rsidRDefault="00000000">
      <w:pPr>
        <w:pStyle w:val="Heading2"/>
      </w:pPr>
      <w:bookmarkStart w:id="32" w:name="parameter-estimates-1"/>
      <w:bookmarkEnd w:id="31"/>
      <w:r>
        <w:lastRenderedPageBreak/>
        <w:t>Parameter estimates</w:t>
      </w:r>
    </w:p>
    <w:p w14:paraId="2C4D5258" w14:textId="4622E1E7" w:rsidR="00F70B7A" w:rsidRDefault="0027575C">
      <w:pPr>
        <w:pStyle w:val="FirstParagraph"/>
      </w:pPr>
      <w:r>
        <w:rPr>
          <w:noProof/>
        </w:rPr>
        <mc:AlternateContent>
          <mc:Choice Requires="wps">
            <w:drawing>
              <wp:anchor distT="0" distB="0" distL="114300" distR="114300" simplePos="0" relativeHeight="251673600" behindDoc="0" locked="0" layoutInCell="1" allowOverlap="1" wp14:anchorId="2043B674" wp14:editId="7CB72312">
                <wp:simplePos x="0" y="0"/>
                <wp:positionH relativeFrom="column">
                  <wp:posOffset>0</wp:posOffset>
                </wp:positionH>
                <wp:positionV relativeFrom="paragraph">
                  <wp:posOffset>2760287</wp:posOffset>
                </wp:positionV>
                <wp:extent cx="1828800" cy="1828800"/>
                <wp:effectExtent l="0" t="0" r="0" b="0"/>
                <wp:wrapSquare wrapText="bothSides"/>
                <wp:docPr id="17130225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F13E220" w14:textId="77777777" w:rsidR="0027575C" w:rsidRDefault="0027575C">
                            <w:pPr>
                              <w:pStyle w:val="FigureTitle"/>
                            </w:pPr>
                            <w:r>
                              <w:t>Figure 8</w:t>
                            </w:r>
                          </w:p>
                          <w:p w14:paraId="48D6C515" w14:textId="77777777" w:rsidR="0027575C" w:rsidRDefault="0027575C" w:rsidP="0027575C">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7253A033" w14:textId="77777777" w:rsidR="0027575C" w:rsidRPr="000E44FA" w:rsidRDefault="0027575C" w:rsidP="000E44FA">
                            <w:pPr>
                              <w:pStyle w:val="FigureWithoutNote"/>
                              <w:rPr>
                                <w:noProof/>
                              </w:rPr>
                            </w:pPr>
                            <w:r>
                              <w:rPr>
                                <w:noProof/>
                              </w:rPr>
                              <w:drawing>
                                <wp:inline distT="0" distB="0" distL="0" distR="0" wp14:anchorId="62647021" wp14:editId="422E9886">
                                  <wp:extent cx="5943600" cy="3657600"/>
                                  <wp:effectExtent l="0" t="0" r="0" b="0"/>
                                  <wp:docPr id="758494327" name="Picture"/>
                                  <wp:cNvGraphicFramePr/>
                                  <a:graphic xmlns:a="http://schemas.openxmlformats.org/drawingml/2006/main">
                                    <a:graphicData uri="http://schemas.openxmlformats.org/drawingml/2006/picture">
                                      <pic:pic xmlns:pic="http://schemas.openxmlformats.org/drawingml/2006/picture">
                                        <pic:nvPicPr>
                                          <pic:cNvPr id="98" name="Picture" descr="../figures/tutorial3_param_estimates.pdf"/>
                                          <pic:cNvPicPr>
                                            <a:picLocks noChangeAspect="1" noChangeArrowheads="1"/>
                                          </pic:cNvPicPr>
                                        </pic:nvPicPr>
                                        <pic:blipFill>
                                          <a:blip r:embed="rId19"/>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43B674" id="_x0000_s1033" type="#_x0000_t202" style="position:absolute;left:0;text-align:left;margin-left:0;margin-top:217.3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xfKwIAAFoEAAAOAAAAZHJzL2Uyb0RvYy54bWysVN9v2jAQfp+0/8Hy+0hgtGU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" filled="f" strokeweight=".5pt">
                <v:fill o:detectmouseclick="t"/>
                <v:textbox style="mso-fit-shape-to-text:t">
                  <w:txbxContent>
                    <w:p w14:paraId="4F13E220" w14:textId="77777777" w:rsidR="0027575C" w:rsidRDefault="0027575C">
                      <w:pPr>
                        <w:pStyle w:val="FigureTitle"/>
                      </w:pPr>
                      <w:r>
                        <w:t>Figure 8</w:t>
                      </w:r>
                    </w:p>
                    <w:p w14:paraId="48D6C515" w14:textId="77777777" w:rsidR="0027575C" w:rsidRDefault="0027575C" w:rsidP="0027575C">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7253A033" w14:textId="77777777" w:rsidR="0027575C" w:rsidRPr="000E44FA" w:rsidRDefault="0027575C" w:rsidP="000E44FA">
                      <w:pPr>
                        <w:pStyle w:val="FigureWithoutNote"/>
                        <w:rPr>
                          <w:noProof/>
                        </w:rPr>
                      </w:pPr>
                      <w:r>
                        <w:rPr>
                          <w:noProof/>
                        </w:rPr>
                        <w:drawing>
                          <wp:inline distT="0" distB="0" distL="0" distR="0" wp14:anchorId="62647021" wp14:editId="422E9886">
                            <wp:extent cx="5943600" cy="3657600"/>
                            <wp:effectExtent l="0" t="0" r="0" b="0"/>
                            <wp:docPr id="758494327" name="Picture"/>
                            <wp:cNvGraphicFramePr/>
                            <a:graphic xmlns:a="http://schemas.openxmlformats.org/drawingml/2006/main">
                              <a:graphicData uri="http://schemas.openxmlformats.org/drawingml/2006/picture">
                                <pic:pic xmlns:pic="http://schemas.openxmlformats.org/drawingml/2006/picture">
                                  <pic:nvPicPr>
                                    <pic:cNvPr id="98" name="Picture" descr="../figures/tutorial3_param_estimates.pdf"/>
                                    <pic:cNvPicPr>
                                      <a:picLocks noChangeAspect="1" noChangeArrowheads="1"/>
                                    </pic:cNvPicPr>
                                  </pic:nvPicPr>
                                  <pic:blipFill>
                                    <a:blip r:embed="rId19"/>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hyperlink w:anchor="fig-t3-param-estimates">
        <w:r w:rsidR="00000000">
          <w:rPr>
            <w:rStyle w:val="Hyperlink"/>
          </w:rPr>
          <w:t>Figure 8</w:t>
        </w:r>
      </w:hyperlink>
      <w:r w:rsidR="00000000">
        <w:t xml:space="preserve"> shows the posterior estimates. Item memory (</w:t>
      </w:r>
      <m:oMath>
        <m:r>
          <w:rPr>
            <w:rFonts w:ascii="Cambria Math" w:hAnsi="Cambria Math"/>
          </w:rPr>
          <m:t>a</m:t>
        </m:r>
      </m:oMath>
      <w:r w:rsidR="00000000">
        <w:t>) and context binding (</w:t>
      </w:r>
      <m:oMath>
        <m:r>
          <w:rPr>
            <w:rFonts w:ascii="Cambria Math" w:hAnsi="Cambria Math"/>
          </w:rPr>
          <m:t>c</m:t>
        </m:r>
      </m:oMath>
      <w:r w:rsidR="00000000">
        <w:t xml:space="preserve">) are similar to the </w:t>
      </w:r>
      <w:r w:rsidR="00000000">
        <w:rPr>
          <w:rStyle w:val="VerbatimChar"/>
        </w:rPr>
        <w:t>cs</w:t>
      </w:r>
      <w:r w:rsidR="00000000">
        <w:t xml:space="preserve"> estimates from Tutorial 2. The ratio parameters reveal an asymmetry: on the probability scale,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is high in both conditions (pre-cue: </w:t>
      </w:r>
      <m:oMath>
        <m:r>
          <w:rPr>
            <w:rFonts w:ascii="Cambria Math" w:hAnsi="Cambria Math"/>
          </w:rPr>
          <m:t>M</m:t>
        </m:r>
      </m:oMath>
      <w:r w:rsidR="00000000">
        <w:t xml:space="preserve"> = 0.84, 95% HDI [0.78, 0.89]; retro-cue: </w:t>
      </w:r>
      <m:oMath>
        <m:r>
          <w:rPr>
            <w:rFonts w:ascii="Cambria Math" w:hAnsi="Cambria Math"/>
          </w:rPr>
          <m:t>M</m:t>
        </m:r>
      </m:oMath>
      <w:r w:rsidR="00000000">
        <w:t xml:space="preserve"> = 0.81, 95% HDI [0.74, 0.87]), meaning item memory transfers almost fully to distractors.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is substantially lower (pre-cue: </w:t>
      </w:r>
      <m:oMath>
        <m:r>
          <w:rPr>
            <w:rFonts w:ascii="Cambria Math" w:hAnsi="Cambria Math"/>
          </w:rPr>
          <m:t>M</m:t>
        </m:r>
      </m:oMath>
      <w:r w:rsidR="00000000">
        <w:t xml:space="preserve"> = 0.35, 95% HDI [0.26, 0.45]; retro-cue: </w:t>
      </w:r>
      <m:oMath>
        <m:r>
          <w:rPr>
            <w:rFonts w:ascii="Cambria Math" w:hAnsi="Cambria Math"/>
          </w:rPr>
          <m:t>M</m:t>
        </m:r>
      </m:oMath>
      <w:r w:rsidR="00000000">
        <w:t xml:space="preserve"> = 0.32, 95% HDI [0.22, 0.42]), meaning context binding is more attenuated for distractors. This pattern matches the published findings of Li et al. (</w:t>
      </w:r>
      <w:hyperlink w:anchor="ref-li2026filtering">
        <w:r w:rsidR="00000000">
          <w:rPr>
            <w:rStyle w:val="Hyperlink"/>
          </w:rPr>
          <w:t>2026</w:t>
        </w:r>
      </w:hyperlink>
      <w:r w:rsidR="00000000">
        <w:t>).</w:t>
      </w:r>
    </w:p>
    <w:p w14:paraId="579DED39" w14:textId="58A4D241" w:rsidR="00F70B7A" w:rsidRDefault="00000000">
      <w:pPr>
        <w:pStyle w:val="Heading2"/>
      </w:pPr>
      <w:bookmarkStart w:id="33" w:name="hypothesis-tests-1"/>
      <w:bookmarkEnd w:id="32"/>
      <w:r>
        <w:lastRenderedPageBreak/>
        <w:t>Hypothesis tests</w:t>
      </w:r>
    </w:p>
    <w:p w14:paraId="60A281F7" w14:textId="77777777" w:rsidR="00F70B7A" w:rsidRDefault="00000000">
      <w:pPr>
        <w:pStyle w:val="FirstParagraph"/>
      </w:pPr>
      <w:r>
        <w:t>As in Tutorial 2, we can test parameter differences formally. Within both the pre-cue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and retro-cue condition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there is strong evidence that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Across conditions,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does not differ between pre-cue and retro-cue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6.27), and the same holds for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6.95). Item memory transfers to distractors regardless of cue timing, while context binding is selectively attenuated, consistent with the view that filtering operates on binding rather than item activation.</w:t>
      </w:r>
    </w:p>
    <w:p w14:paraId="5BC9169D" w14:textId="77777777" w:rsidR="0027575C" w:rsidRPr="0027575C" w:rsidRDefault="0027575C" w:rsidP="0027575C">
      <w:pPr>
        <w:pStyle w:val="BodyText"/>
      </w:pPr>
    </w:p>
    <w:p w14:paraId="78698B4B" w14:textId="77777777" w:rsidR="00F70B7A" w:rsidRDefault="00000000">
      <w:pPr>
        <w:pStyle w:val="Heading1"/>
      </w:pPr>
      <w:bookmarkStart w:id="34" w:name="tutorial-4-parameter-recovery"/>
      <w:bookmarkEnd w:id="27"/>
      <w:bookmarkEnd w:id="33"/>
      <w:r>
        <w:t>Tutorial 4: Parameter Recovery</w:t>
      </w:r>
    </w:p>
    <w:p w14:paraId="0411C4D8" w14:textId="77777777" w:rsidR="00F70B7A" w:rsidRDefault="00000000">
      <w:pPr>
        <w:pStyle w:val="FirstParagraph"/>
      </w:pPr>
      <w:r>
        <w:t xml:space="preserve">Before applying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empirical data, it is worth checking whether the planned design provides enough information to recover the parameters of interest. If recovery fails when the generating values are known and the model is correctly specified, the problem lies with the design or the specification, not the data. This tutorial demonstrates the recovery workflow using the custom filtering version from Tutorial 3. The companion script is </w:t>
      </w:r>
      <w:r>
        <w:rPr>
          <w:rStyle w:val="VerbatimChar"/>
        </w:rPr>
        <w:t>scripts/tutorial4_parameter_recovery.R</w:t>
      </w:r>
      <w:r>
        <w:t>.</w:t>
      </w:r>
    </w:p>
    <w:p w14:paraId="38B94B0A" w14:textId="77777777" w:rsidR="00F70B7A" w:rsidRDefault="00000000">
      <w:pPr>
        <w:pStyle w:val="Heading2"/>
      </w:pPr>
      <w:bookmarkStart w:id="35" w:name="when-to-assess-parameter-recovery"/>
      <w:r>
        <w:t>When to assess parameter recovery</w:t>
      </w:r>
    </w:p>
    <w:p w14:paraId="37809DCB" w14:textId="77777777" w:rsidR="00F70B7A" w:rsidRDefault="00000000">
      <w:pPr>
        <w:pStyle w:val="FirstParagraph"/>
      </w:pPr>
      <w:r>
        <w:t>Parameter recovery is not mandatory for every analysis, but it is informative as part of a principled Bayesian workflow (</w:t>
      </w:r>
      <w:hyperlink w:anchor="ref-schad2021toward">
        <w:r>
          <w:rPr>
            <w:rStyle w:val="Hyperlink"/>
          </w:rPr>
          <w:t>Schad et al., 2021</w:t>
        </w:r>
      </w:hyperlink>
      <w:r>
        <w:t xml:space="preserve">; </w:t>
      </w:r>
      <w:hyperlink w:anchor="ref-wilson2019ten">
        <w:r>
          <w:rPr>
            <w:rStyle w:val="Hyperlink"/>
          </w:rPr>
          <w:t>Wilson &amp; Collins, 2019</w:t>
        </w:r>
      </w:hyperlink>
      <w:r>
        <w:t xml:space="preserve">) — particularly when using a custom specification for the first time, when the design has unusual trial counts, or when individual-level estimates will be used for correlations. Even a single recovery run is practically feasible (one to two hours of computation) and reveals how well the design can distinguish the parameters of interest (for a systematic treatment, see </w:t>
      </w:r>
      <w:hyperlink w:anchor="ref-goettmann2025recovery">
        <w:r>
          <w:rPr>
            <w:rStyle w:val="Hyperlink"/>
          </w:rPr>
          <w:t>Göttmann et al., 2025</w:t>
        </w:r>
      </w:hyperlink>
      <w:r>
        <w:t>).</w:t>
      </w:r>
    </w:p>
    <w:p w14:paraId="5C324272" w14:textId="77777777" w:rsidR="00F70B7A" w:rsidRDefault="00000000">
      <w:pPr>
        <w:pStyle w:val="Heading2"/>
      </w:pPr>
      <w:bookmarkStart w:id="36" w:name="simulation-workflow"/>
      <w:bookmarkEnd w:id="35"/>
      <w:r>
        <w:lastRenderedPageBreak/>
        <w:t>Simulation workflow</w:t>
      </w:r>
    </w:p>
    <w:p w14:paraId="0F2BF71E" w14:textId="77777777" w:rsidR="00F70B7A" w:rsidRDefault="00000000">
      <w:pPr>
        <w:pStyle w:val="FirstParagraph"/>
      </w:pPr>
      <w:r>
        <w:t>We simulate data from the custom filtering version (Tutorial 3) with known parameter values and then fit the same specification to the simulated data. For each of the four parameters (</w:t>
      </w:r>
      <m:oMath>
        <m:r>
          <w:rPr>
            <w:rFonts w:ascii="Cambria Math" w:hAnsi="Cambria Math"/>
          </w:rPr>
          <m:t>a</m:t>
        </m:r>
      </m:oMath>
      <w:r>
        <w:t xml:space="preserve">,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we specify group-level means and between-person standard deviations on the link scale. </w:t>
      </w:r>
      <w:hyperlink w:anchor="tbl-gen-pars">
        <w:r>
          <w:rPr>
            <w:rStyle w:val="Hyperlink"/>
          </w:rPr>
          <w:t>Table 1</w:t>
        </w:r>
      </w:hyperlink>
      <w:r>
        <w:t xml:space="preserve"> lists the generating values, chosen to approximate the empirical estimates from Li et al. (</w:t>
      </w:r>
      <w:hyperlink w:anchor="ref-li2026filtering">
        <w:r>
          <w:rPr>
            <w:rStyle w:val="Hyperlink"/>
          </w:rPr>
          <w:t>2026</w:t>
        </w:r>
      </w:hyperlink>
      <w:r>
        <w:t>).</w:t>
      </w:r>
    </w:p>
    <w:p w14:paraId="24B3FC5D" w14:textId="77777777" w:rsidR="00F70B7A" w:rsidRDefault="00000000">
      <w:pPr>
        <w:pStyle w:val="FigureTitle"/>
      </w:pPr>
      <w:bookmarkStart w:id="37" w:name="tbl-gen-pars"/>
      <w:r>
        <w:t>Table 1</w:t>
      </w:r>
    </w:p>
    <w:p w14:paraId="27E533AF" w14:textId="77777777" w:rsidR="00F70B7A" w:rsidRDefault="00000000">
      <w:pPr>
        <w:pStyle w:val="Caption"/>
      </w:pPr>
      <w:r>
        <w:t>Generating parameter values for the recovery simulation. All values are on the link scale.</w:t>
      </w:r>
    </w:p>
    <w:tbl>
      <w:tblPr>
        <w:tblStyle w:val="Table"/>
        <w:tblW w:w="5000" w:type="pct"/>
        <w:tblLayout w:type="fixed"/>
        <w:tblLook w:val="0020" w:firstRow="1" w:lastRow="0" w:firstColumn="0" w:lastColumn="0" w:noHBand="0" w:noVBand="0"/>
      </w:tblPr>
      <w:tblGrid>
        <w:gridCol w:w="1514"/>
        <w:gridCol w:w="825"/>
        <w:gridCol w:w="1790"/>
        <w:gridCol w:w="1514"/>
        <w:gridCol w:w="3717"/>
      </w:tblGrid>
      <w:tr w:rsidR="00F70B7A" w14:paraId="17325EE8" w14:textId="77777777" w:rsidTr="00F70B7A">
        <w:trPr>
          <w:cnfStyle w:val="100000000000" w:firstRow="1" w:lastRow="0" w:firstColumn="0" w:lastColumn="0" w:oddVBand="0" w:evenVBand="0" w:oddHBand="0" w:evenHBand="0" w:firstRowFirstColumn="0" w:firstRowLastColumn="0" w:lastRowFirstColumn="0" w:lastRowLastColumn="0"/>
          <w:tblHeader/>
        </w:trPr>
        <w:tc>
          <w:tcPr>
            <w:tcW w:w="1281" w:type="dxa"/>
          </w:tcPr>
          <w:p w14:paraId="1EFC8762" w14:textId="77777777" w:rsidR="00F70B7A" w:rsidRDefault="00000000">
            <w:pPr>
              <w:pStyle w:val="Compact"/>
            </w:pPr>
            <w:bookmarkStart w:id="38" w:name="tbl-gen"/>
            <w:r>
              <w:t>Parameter</w:t>
            </w:r>
          </w:p>
        </w:tc>
        <w:tc>
          <w:tcPr>
            <w:tcW w:w="698" w:type="dxa"/>
          </w:tcPr>
          <w:p w14:paraId="58E28707" w14:textId="77777777" w:rsidR="00F70B7A" w:rsidRDefault="00000000">
            <w:pPr>
              <w:pStyle w:val="Compact"/>
            </w:pPr>
            <w:r>
              <w:t>Link</w:t>
            </w:r>
          </w:p>
        </w:tc>
        <w:tc>
          <w:tcPr>
            <w:tcW w:w="1514" w:type="dxa"/>
          </w:tcPr>
          <w:p w14:paraId="0562FBE0" w14:textId="77777777" w:rsidR="00F70B7A" w:rsidRDefault="00000000">
            <w:pPr>
              <w:pStyle w:val="Compact"/>
            </w:pPr>
            <w:r>
              <w:t>Mean (link)</w:t>
            </w:r>
          </w:p>
        </w:tc>
        <w:tc>
          <w:tcPr>
            <w:tcW w:w="1281" w:type="dxa"/>
          </w:tcPr>
          <w:p w14:paraId="41657C2B" w14:textId="77777777" w:rsidR="00F70B7A" w:rsidRDefault="00000000">
            <w:pPr>
              <w:pStyle w:val="Compact"/>
            </w:pPr>
            <w:r>
              <w:t>SD (link)</w:t>
            </w:r>
          </w:p>
        </w:tc>
        <w:tc>
          <w:tcPr>
            <w:tcW w:w="3144" w:type="dxa"/>
          </w:tcPr>
          <w:p w14:paraId="6D595582" w14:textId="77777777" w:rsidR="00F70B7A" w:rsidRDefault="00000000">
            <w:pPr>
              <w:pStyle w:val="Compact"/>
            </w:pPr>
            <w:r>
              <w:t>Native range (</w:t>
            </w:r>
            <m:oMath>
              <m:r>
                <m:rPr>
                  <m:sty m:val="p"/>
                </m:rPr>
                <w:rPr>
                  <w:rFonts w:ascii="Cambria Math" w:hAnsi="Cambria Math"/>
                </w:rPr>
                <m:t>±</m:t>
              </m:r>
              <m:r>
                <w:rPr>
                  <w:rFonts w:ascii="Cambria Math" w:hAnsi="Cambria Math"/>
                </w:rPr>
                <m:t>2</m:t>
              </m:r>
            </m:oMath>
            <w:r>
              <w:t xml:space="preserve"> SD)</w:t>
            </w:r>
          </w:p>
        </w:tc>
      </w:tr>
      <w:tr w:rsidR="00F70B7A" w14:paraId="241B3085" w14:textId="77777777">
        <w:tc>
          <w:tcPr>
            <w:tcW w:w="1281" w:type="dxa"/>
          </w:tcPr>
          <w:p w14:paraId="026F955E" w14:textId="77777777" w:rsidR="00F70B7A" w:rsidRDefault="00000000">
            <w:pPr>
              <w:pStyle w:val="Compact"/>
            </w:pPr>
            <m:oMathPara>
              <m:oMath>
                <m:r>
                  <w:rPr>
                    <w:rFonts w:ascii="Cambria Math" w:hAnsi="Cambria Math"/>
                  </w:rPr>
                  <m:t>a</m:t>
                </m:r>
              </m:oMath>
            </m:oMathPara>
          </w:p>
        </w:tc>
        <w:tc>
          <w:tcPr>
            <w:tcW w:w="698" w:type="dxa"/>
          </w:tcPr>
          <w:p w14:paraId="0DC1FBA3" w14:textId="77777777" w:rsidR="00F70B7A" w:rsidRDefault="00000000">
            <w:pPr>
              <w:pStyle w:val="Compact"/>
            </w:pPr>
            <w:r>
              <w:t>identity</w:t>
            </w:r>
          </w:p>
        </w:tc>
        <w:tc>
          <w:tcPr>
            <w:tcW w:w="1514" w:type="dxa"/>
          </w:tcPr>
          <w:p w14:paraId="65DF5071" w14:textId="77777777" w:rsidR="00F70B7A" w:rsidRDefault="00000000">
            <w:pPr>
              <w:pStyle w:val="Compact"/>
            </w:pPr>
            <w:r>
              <w:t>1.5</w:t>
            </w:r>
          </w:p>
        </w:tc>
        <w:tc>
          <w:tcPr>
            <w:tcW w:w="1281" w:type="dxa"/>
          </w:tcPr>
          <w:p w14:paraId="431DE0AF" w14:textId="77777777" w:rsidR="00F70B7A" w:rsidRDefault="00000000">
            <w:pPr>
              <w:pStyle w:val="Compact"/>
            </w:pPr>
            <w:r>
              <w:t>0.50</w:t>
            </w:r>
          </w:p>
        </w:tc>
        <w:tc>
          <w:tcPr>
            <w:tcW w:w="3144" w:type="dxa"/>
          </w:tcPr>
          <w:p w14:paraId="6C41670C" w14:textId="77777777" w:rsidR="00F70B7A" w:rsidRDefault="00000000">
            <w:pPr>
              <w:pStyle w:val="Compact"/>
            </w:pPr>
            <w:r>
              <w:t>0.50 – 2.50</w:t>
            </w:r>
          </w:p>
        </w:tc>
      </w:tr>
      <w:tr w:rsidR="00F70B7A" w14:paraId="043829B3" w14:textId="77777777">
        <w:tc>
          <w:tcPr>
            <w:tcW w:w="1281" w:type="dxa"/>
          </w:tcPr>
          <w:p w14:paraId="42212D37" w14:textId="77777777" w:rsidR="00F70B7A" w:rsidRDefault="00000000">
            <w:pPr>
              <w:pStyle w:val="Compact"/>
            </w:pPr>
            <m:oMathPara>
              <m:oMath>
                <m:r>
                  <w:rPr>
                    <w:rFonts w:ascii="Cambria Math" w:hAnsi="Cambria Math"/>
                  </w:rPr>
                  <m:t>c</m:t>
                </m:r>
              </m:oMath>
            </m:oMathPara>
          </w:p>
        </w:tc>
        <w:tc>
          <w:tcPr>
            <w:tcW w:w="698" w:type="dxa"/>
          </w:tcPr>
          <w:p w14:paraId="0DD07B17" w14:textId="77777777" w:rsidR="00F70B7A" w:rsidRDefault="00000000">
            <w:pPr>
              <w:pStyle w:val="Compact"/>
            </w:pPr>
            <w:r>
              <w:t>identity</w:t>
            </w:r>
          </w:p>
        </w:tc>
        <w:tc>
          <w:tcPr>
            <w:tcW w:w="1514" w:type="dxa"/>
          </w:tcPr>
          <w:p w14:paraId="120EC83F" w14:textId="77777777" w:rsidR="00F70B7A" w:rsidRDefault="00000000">
            <w:pPr>
              <w:pStyle w:val="Compact"/>
            </w:pPr>
            <w:r>
              <w:t>2.0</w:t>
            </w:r>
          </w:p>
        </w:tc>
        <w:tc>
          <w:tcPr>
            <w:tcW w:w="1281" w:type="dxa"/>
          </w:tcPr>
          <w:p w14:paraId="5C24D6C7" w14:textId="77777777" w:rsidR="00F70B7A" w:rsidRDefault="00000000">
            <w:pPr>
              <w:pStyle w:val="Compact"/>
            </w:pPr>
            <w:r>
              <w:t>0.50</w:t>
            </w:r>
          </w:p>
        </w:tc>
        <w:tc>
          <w:tcPr>
            <w:tcW w:w="3144" w:type="dxa"/>
          </w:tcPr>
          <w:p w14:paraId="0C506B7C" w14:textId="77777777" w:rsidR="00F70B7A" w:rsidRDefault="00000000">
            <w:pPr>
              <w:pStyle w:val="Compact"/>
            </w:pPr>
            <w:r>
              <w:t>1.00 – 3.00</w:t>
            </w:r>
          </w:p>
        </w:tc>
      </w:tr>
      <w:tr w:rsidR="00F70B7A" w14:paraId="776388CF" w14:textId="77777777">
        <w:tc>
          <w:tcPr>
            <w:tcW w:w="1281" w:type="dxa"/>
          </w:tcPr>
          <w:p w14:paraId="79A46D99" w14:textId="77777777" w:rsidR="00F70B7A"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698" w:type="dxa"/>
          </w:tcPr>
          <w:p w14:paraId="340D81EA" w14:textId="77777777" w:rsidR="00F70B7A" w:rsidRDefault="00000000">
            <w:pPr>
              <w:pStyle w:val="Compact"/>
            </w:pPr>
            <w:r>
              <w:t>logit</w:t>
            </w:r>
          </w:p>
        </w:tc>
        <w:tc>
          <w:tcPr>
            <w:tcW w:w="1514" w:type="dxa"/>
          </w:tcPr>
          <w:p w14:paraId="053DC71A" w14:textId="77777777" w:rsidR="00F70B7A" w:rsidRDefault="00000000">
            <w:pPr>
              <w:pStyle w:val="Compact"/>
            </w:pPr>
            <w:r>
              <w:t>0.85</w:t>
            </w:r>
          </w:p>
        </w:tc>
        <w:tc>
          <w:tcPr>
            <w:tcW w:w="1281" w:type="dxa"/>
          </w:tcPr>
          <w:p w14:paraId="2E0BE2CC" w14:textId="77777777" w:rsidR="00F70B7A" w:rsidRDefault="00000000">
            <w:pPr>
              <w:pStyle w:val="Compact"/>
            </w:pPr>
            <w:r>
              <w:t>0.40</w:t>
            </w:r>
          </w:p>
        </w:tc>
        <w:tc>
          <w:tcPr>
            <w:tcW w:w="3144" w:type="dxa"/>
          </w:tcPr>
          <w:p w14:paraId="19088859" w14:textId="77777777" w:rsidR="00F70B7A" w:rsidRDefault="00000000">
            <w:pPr>
              <w:pStyle w:val="Compact"/>
            </w:pPr>
            <w:r>
              <w:t>0.51 – 0.84</w:t>
            </w:r>
          </w:p>
        </w:tc>
      </w:tr>
      <w:tr w:rsidR="00F70B7A" w14:paraId="560F9C3F" w14:textId="77777777">
        <w:tc>
          <w:tcPr>
            <w:tcW w:w="1281" w:type="dxa"/>
          </w:tcPr>
          <w:p w14:paraId="40845C2B" w14:textId="77777777" w:rsidR="00F70B7A"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698" w:type="dxa"/>
          </w:tcPr>
          <w:p w14:paraId="30D0B7E9" w14:textId="77777777" w:rsidR="00F70B7A" w:rsidRDefault="00000000">
            <w:pPr>
              <w:pStyle w:val="Compact"/>
            </w:pPr>
            <w:r>
              <w:t>logit</w:t>
            </w:r>
          </w:p>
        </w:tc>
        <w:tc>
          <w:tcPr>
            <w:tcW w:w="1514" w:type="dxa"/>
          </w:tcPr>
          <w:p w14:paraId="522C3AC3" w14:textId="77777777" w:rsidR="00F70B7A" w:rsidRDefault="00000000">
            <w:pPr>
              <w:pStyle w:val="Compact"/>
            </w:pPr>
            <w:r>
              <w:t>0.25</w:t>
            </w:r>
          </w:p>
        </w:tc>
        <w:tc>
          <w:tcPr>
            <w:tcW w:w="1281" w:type="dxa"/>
          </w:tcPr>
          <w:p w14:paraId="05D731DF" w14:textId="77777777" w:rsidR="00F70B7A" w:rsidRDefault="00000000">
            <w:pPr>
              <w:pStyle w:val="Compact"/>
            </w:pPr>
            <w:r>
              <w:t>0.40</w:t>
            </w:r>
          </w:p>
        </w:tc>
        <w:tc>
          <w:tcPr>
            <w:tcW w:w="3144" w:type="dxa"/>
          </w:tcPr>
          <w:p w14:paraId="2BA0E21F" w14:textId="77777777" w:rsidR="00F70B7A" w:rsidRDefault="00000000">
            <w:pPr>
              <w:pStyle w:val="Compact"/>
            </w:pPr>
            <w:r>
              <w:t>0.37 – 0.74</w:t>
            </w:r>
          </w:p>
        </w:tc>
      </w:tr>
    </w:tbl>
    <w:bookmarkEnd w:id="37"/>
    <w:bookmarkEnd w:id="38"/>
    <w:p w14:paraId="2FEA06B0" w14:textId="77777777" w:rsidR="00F70B7A" w:rsidRDefault="00000000">
      <w:pPr>
        <w:pStyle w:val="AfterWithoutNote"/>
      </w:pPr>
      <w:r>
        <w:t xml:space="preserve">Individual parameters are drawn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link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link</m:t>
                </m:r>
              </m:sub>
            </m:sSub>
          </m:e>
        </m:d>
      </m:oMath>
      <w:r>
        <w:t xml:space="preserve"> independently for each person and parameter. We simulated </w:t>
      </w:r>
      <m:oMath>
        <m:r>
          <w:rPr>
            <w:rFonts w:ascii="Cambria Math" w:hAnsi="Cambria Math"/>
          </w:rPr>
          <m:t>N</m:t>
        </m:r>
        <m:r>
          <m:rPr>
            <m:sty m:val="p"/>
          </m:rPr>
          <w:rPr>
            <w:rFonts w:ascii="Cambria Math" w:hAnsi="Cambria Math"/>
          </w:rPr>
          <m:t>=</m:t>
        </m:r>
        <m:r>
          <w:rPr>
            <w:rFonts w:ascii="Cambria Math" w:hAnsi="Cambria Math"/>
          </w:rPr>
          <m:t>50</m:t>
        </m:r>
      </m:oMath>
      <w:r>
        <w:t xml:space="preserve"> participants with 60 trials per participant. The </w:t>
      </w:r>
      <w:r>
        <w:rPr>
          <w:rStyle w:val="VerbatimChar"/>
        </w:rPr>
        <w:t>bmm</w:t>
      </w:r>
      <w:r>
        <w:t xml:space="preserve"> package provides </w:t>
      </w:r>
      <w:r>
        <w:rPr>
          <w:rStyle w:val="VerbatimChar"/>
        </w:rPr>
        <w:t>rm3()</w:t>
      </w:r>
      <w:r>
        <w:t xml:space="preserve"> as the data-generating counterpart to the fitting workflow:</w:t>
      </w:r>
    </w:p>
    <w:p w14:paraId="400F53B2" w14:textId="77777777" w:rsidR="00F70B7A" w:rsidRDefault="00000000">
      <w:pPr>
        <w:pStyle w:val="SourceCode"/>
      </w:pPr>
      <w:r>
        <w:rPr>
          <w:rStyle w:val="NormalTok"/>
        </w:rPr>
        <w:t xml:space="preserve">demo_data </w:t>
      </w:r>
      <w:r>
        <w:rPr>
          <w:rStyle w:val="OtherTok"/>
        </w:rPr>
        <w:t>&lt;-</w:t>
      </w:r>
      <w:r>
        <w:rPr>
          <w:rStyle w:val="NormalTok"/>
        </w:rPr>
        <w:t xml:space="preserve"> </w:t>
      </w:r>
      <w:r>
        <w:rPr>
          <w:rStyle w:val="FunctionTok"/>
        </w:rPr>
        <w:t>rm3</w:t>
      </w:r>
      <w:r>
        <w:rPr>
          <w:rStyle w:val="NormalTok"/>
        </w:rPr>
        <w:t>(</w:t>
      </w:r>
      <w:r>
        <w:br/>
      </w:r>
      <w:r>
        <w:rPr>
          <w:rStyle w:val="NormalTok"/>
        </w:rPr>
        <w:t xml:space="preserve">  </w:t>
      </w:r>
      <w:r>
        <w:rPr>
          <w:rStyle w:val="AttributeTok"/>
        </w:rPr>
        <w:t>n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60</w:t>
      </w:r>
      <w:r>
        <w:rPr>
          <w:rStyle w:val="NormalTok"/>
        </w:rPr>
        <w:t>,</w:t>
      </w:r>
      <w:r>
        <w:br/>
      </w:r>
      <w:r>
        <w:rPr>
          <w:rStyle w:val="NormalTok"/>
        </w:rPr>
        <w:t xml:space="preserve">  </w:t>
      </w:r>
      <w:r>
        <w:rPr>
          <w:rStyle w:val="AttributeTok"/>
        </w:rPr>
        <w:t>pars =</w:t>
      </w:r>
      <w:r>
        <w:rPr>
          <w:rStyle w:val="NormalTok"/>
        </w:rPr>
        <w:t xml:space="preserve"> </w:t>
      </w:r>
      <w:r>
        <w:rPr>
          <w:rStyle w:val="FunctionTok"/>
        </w:rPr>
        <w:t>c</w:t>
      </w:r>
      <w:r>
        <w:rPr>
          <w:rStyle w:val="NormalTok"/>
        </w:rPr>
        <w:t>(</w:t>
      </w:r>
      <w:r>
        <w:rPr>
          <w:rStyle w:val="AttributeTok"/>
        </w:rPr>
        <w:t>a =</w:t>
      </w:r>
      <w:r>
        <w:rPr>
          <w:rStyle w:val="NormalTok"/>
        </w:rPr>
        <w:t xml:space="preserve"> </w:t>
      </w:r>
      <w:r>
        <w:rPr>
          <w:rStyle w:val="FloatTok"/>
        </w:rPr>
        <w:t>1.5</w:t>
      </w:r>
      <w:r>
        <w:rPr>
          <w:rStyle w:val="NormalTok"/>
        </w:rPr>
        <w:t xml:space="preserve">, </w:t>
      </w:r>
      <w:r>
        <w:rPr>
          <w:rStyle w:val="AttributeTok"/>
        </w:rPr>
        <w:t>c =</w:t>
      </w:r>
      <w:r>
        <w:rPr>
          <w:rStyle w:val="NormalTok"/>
        </w:rPr>
        <w:t xml:space="preserve"> </w:t>
      </w:r>
      <w:r>
        <w:rPr>
          <w:rStyle w:val="FloatTok"/>
        </w:rPr>
        <w:t>2.0</w:t>
      </w:r>
      <w:r>
        <w:rPr>
          <w:rStyle w:val="NormalTok"/>
        </w:rPr>
        <w:t xml:space="preserve">, </w:t>
      </w:r>
      <w:r>
        <w:rPr>
          <w:rStyle w:val="AttributeTok"/>
        </w:rPr>
        <w:t>ra =</w:t>
      </w:r>
      <w:r>
        <w:rPr>
          <w:rStyle w:val="NormalTok"/>
        </w:rPr>
        <w:t xml:space="preserve"> </w:t>
      </w:r>
      <w:r>
        <w:rPr>
          <w:rStyle w:val="FloatTok"/>
        </w:rPr>
        <w:t>0.70</w:t>
      </w:r>
      <w:r>
        <w:rPr>
          <w:rStyle w:val="NormalTok"/>
        </w:rPr>
        <w:t xml:space="preserve">, </w:t>
      </w:r>
      <w:r>
        <w:rPr>
          <w:rStyle w:val="AttributeTok"/>
        </w:rPr>
        <w:t>rc =</w:t>
      </w:r>
      <w:r>
        <w:rPr>
          <w:rStyle w:val="NormalTok"/>
        </w:rPr>
        <w:t xml:space="preserve"> </w:t>
      </w:r>
      <w:r>
        <w:rPr>
          <w:rStyle w:val="FloatTok"/>
        </w:rPr>
        <w:t>0.56</w:t>
      </w:r>
      <w:r>
        <w:rPr>
          <w:rStyle w:val="NormalTok"/>
        </w:rPr>
        <w:t>),</w:t>
      </w:r>
      <w:r>
        <w:br/>
      </w:r>
      <w:r>
        <w:rPr>
          <w:rStyle w:val="NormalTok"/>
        </w:rPr>
        <w:t xml:space="preserve">  </w:t>
      </w:r>
      <w:r>
        <w:rPr>
          <w:rStyle w:val="AttributeTok"/>
        </w:rPr>
        <w:t>m3_model =</w:t>
      </w:r>
      <w:r>
        <w:rPr>
          <w:rStyle w:val="NormalTok"/>
        </w:rPr>
        <w:t xml:space="preserve"> m3_model_custom,</w:t>
      </w:r>
      <w:r>
        <w:br/>
      </w:r>
      <w:r>
        <w:rPr>
          <w:rStyle w:val="NormalTok"/>
        </w:rPr>
        <w:t xml:space="preserve">  </w:t>
      </w:r>
      <w:r>
        <w:rPr>
          <w:rStyle w:val="AttributeTok"/>
        </w:rPr>
        <w:t>act_funs =</w:t>
      </w:r>
      <w:r>
        <w:rPr>
          <w:rStyle w:val="NormalTok"/>
        </w:rPr>
        <w:t xml:space="preserve"> m3_act_funs</w:t>
      </w:r>
      <w:r>
        <w:br/>
      </w:r>
      <w:r>
        <w:rPr>
          <w:rStyle w:val="NormalTok"/>
        </w:rPr>
        <w:t>)</w:t>
      </w:r>
    </w:p>
    <w:p w14:paraId="270AB1A0" w14:textId="77777777" w:rsidR="00F70B7A" w:rsidRDefault="00000000">
      <w:pPr>
        <w:pStyle w:val="FirstParagraph"/>
      </w:pPr>
      <w:r>
        <w:lastRenderedPageBreak/>
        <w:t xml:space="preserve">This returns a one-row data frame with response counts across the five categories. To simulate a full dataset, we apply </w:t>
      </w:r>
      <w:r>
        <w:rPr>
          <w:rStyle w:val="VerbatimChar"/>
        </w:rPr>
        <w:t>rm3()</w:t>
      </w:r>
      <w:r>
        <w:t xml:space="preserve"> over all 50 participants, producing 50 rows. The companion script contains the complete generation and fitting code.</w:t>
      </w:r>
    </w:p>
    <w:p w14:paraId="604D186C" w14:textId="77777777" w:rsidR="00F70B7A" w:rsidRDefault="00000000">
      <w:pPr>
        <w:pStyle w:val="Heading2"/>
      </w:pPr>
      <w:bookmarkStart w:id="39" w:name="recovery-evaluation"/>
      <w:bookmarkEnd w:id="36"/>
      <w:r>
        <w:t>Recovery evaluation</w:t>
      </w:r>
    </w:p>
    <w:p w14:paraId="08AEC426" w14:textId="77777777" w:rsidR="00F70B7A" w:rsidRDefault="00000000">
      <w:pPr>
        <w:pStyle w:val="Heading3"/>
      </w:pPr>
      <w:bookmarkStart w:id="40" w:name="group-level-recovery"/>
      <w:r>
        <w:t>Group-level recovery</w:t>
      </w:r>
    </w:p>
    <w:p w14:paraId="33A7A246" w14:textId="12910E36" w:rsidR="00F70B7A" w:rsidRDefault="0027575C">
      <w:pPr>
        <w:pStyle w:val="FirstParagraph"/>
      </w:pPr>
      <w:r>
        <w:rPr>
          <w:noProof/>
        </w:rPr>
        <mc:AlternateContent>
          <mc:Choice Requires="wps">
            <w:drawing>
              <wp:anchor distT="0" distB="0" distL="114300" distR="114300" simplePos="0" relativeHeight="251675648" behindDoc="0" locked="0" layoutInCell="1" allowOverlap="1" wp14:anchorId="7865BFEC" wp14:editId="57ED780E">
                <wp:simplePos x="0" y="0"/>
                <wp:positionH relativeFrom="column">
                  <wp:posOffset>0</wp:posOffset>
                </wp:positionH>
                <wp:positionV relativeFrom="paragraph">
                  <wp:posOffset>628207</wp:posOffset>
                </wp:positionV>
                <wp:extent cx="1828800" cy="1828800"/>
                <wp:effectExtent l="0" t="0" r="0" b="0"/>
                <wp:wrapSquare wrapText="bothSides"/>
                <wp:docPr id="80404781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E35DBAD" w14:textId="77777777" w:rsidR="0027575C" w:rsidRDefault="0027575C">
                            <w:pPr>
                              <w:pStyle w:val="FigureTitle"/>
                            </w:pPr>
                            <w:r>
                              <w:t>Figure 9</w:t>
                            </w:r>
                          </w:p>
                          <w:p w14:paraId="33393E3C" w14:textId="77777777" w:rsidR="0027575C" w:rsidRDefault="0027575C" w:rsidP="0027575C">
                            <w:pPr>
                              <w:pStyle w:val="Caption"/>
                              <w:spacing w:line="240" w:lineRule="auto"/>
                            </w:pPr>
                            <w:r>
                              <w:t>Group-level parameter recovery. Points show recovered posterior medians; error bars show 95% credible intervals. The dashed line indicates perfect recovery.</w:t>
                            </w:r>
                          </w:p>
                          <w:p w14:paraId="36155B17" w14:textId="77777777" w:rsidR="0027575C" w:rsidRPr="001D011D" w:rsidRDefault="0027575C" w:rsidP="0027575C">
                            <w:pPr>
                              <w:pStyle w:val="FigureWithoutNote"/>
                              <w:jc w:val="center"/>
                              <w:rPr>
                                <w:noProof/>
                              </w:rPr>
                            </w:pPr>
                            <w:r>
                              <w:rPr>
                                <w:noProof/>
                              </w:rPr>
                              <w:drawing>
                                <wp:inline distT="0" distB="0" distL="0" distR="0" wp14:anchorId="78FF5892" wp14:editId="76F5C0F6">
                                  <wp:extent cx="4572000" cy="4572000"/>
                                  <wp:effectExtent l="0" t="0" r="0" b="0"/>
                                  <wp:docPr id="1851785147" name="Picture"/>
                                  <wp:cNvGraphicFramePr/>
                                  <a:graphic xmlns:a="http://schemas.openxmlformats.org/drawingml/2006/main">
                                    <a:graphicData uri="http://schemas.openxmlformats.org/drawingml/2006/picture">
                                      <pic:pic xmlns:pic="http://schemas.openxmlformats.org/drawingml/2006/picture">
                                        <pic:nvPicPr>
                                          <pic:cNvPr id="110" name="Picture" descr="../figures/tutorial4_group_recovery.pdf"/>
                                          <pic:cNvPicPr>
                                            <a:picLocks noChangeAspect="1" noChangeArrowheads="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65BFEC" id="_x0000_s1034" type="#_x0000_t202" style="position:absolute;left:0;text-align:left;margin-left:0;margin-top:49.45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HLM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" filled="f" strokeweight=".5pt">
                <v:fill o:detectmouseclick="t"/>
                <v:textbox style="mso-fit-shape-to-text:t">
                  <w:txbxContent>
                    <w:p w14:paraId="3E35DBAD" w14:textId="77777777" w:rsidR="0027575C" w:rsidRDefault="0027575C">
                      <w:pPr>
                        <w:pStyle w:val="FigureTitle"/>
                      </w:pPr>
                      <w:r>
                        <w:t>Figure 9</w:t>
                      </w:r>
                    </w:p>
                    <w:p w14:paraId="33393E3C" w14:textId="77777777" w:rsidR="0027575C" w:rsidRDefault="0027575C" w:rsidP="0027575C">
                      <w:pPr>
                        <w:pStyle w:val="Caption"/>
                        <w:spacing w:line="240" w:lineRule="auto"/>
                      </w:pPr>
                      <w:r>
                        <w:t>Group-level parameter recovery. Points show recovered posterior medians; error bars show 95% credible intervals. The dashed line indicates perfect recovery.</w:t>
                      </w:r>
                    </w:p>
                    <w:p w14:paraId="36155B17" w14:textId="77777777" w:rsidR="0027575C" w:rsidRPr="001D011D" w:rsidRDefault="0027575C" w:rsidP="0027575C">
                      <w:pPr>
                        <w:pStyle w:val="FigureWithoutNote"/>
                        <w:jc w:val="center"/>
                        <w:rPr>
                          <w:noProof/>
                        </w:rPr>
                      </w:pPr>
                      <w:r>
                        <w:rPr>
                          <w:noProof/>
                        </w:rPr>
                        <w:drawing>
                          <wp:inline distT="0" distB="0" distL="0" distR="0" wp14:anchorId="78FF5892" wp14:editId="76F5C0F6">
                            <wp:extent cx="4572000" cy="4572000"/>
                            <wp:effectExtent l="0" t="0" r="0" b="0"/>
                            <wp:docPr id="1851785147" name="Picture"/>
                            <wp:cNvGraphicFramePr/>
                            <a:graphic xmlns:a="http://schemas.openxmlformats.org/drawingml/2006/main">
                              <a:graphicData uri="http://schemas.openxmlformats.org/drawingml/2006/picture">
                                <pic:pic xmlns:pic="http://schemas.openxmlformats.org/drawingml/2006/picture">
                                  <pic:nvPicPr>
                                    <pic:cNvPr id="110" name="Picture" descr="../figures/tutorial4_group_recovery.pdf"/>
                                    <pic:cNvPicPr>
                                      <a:picLocks noChangeAspect="1" noChangeArrowheads="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txbxContent>
                </v:textbox>
                <w10:wrap type="square"/>
              </v:shape>
            </w:pict>
          </mc:Fallback>
        </mc:AlternateContent>
      </w:r>
      <w:hyperlink w:anchor="fig-t4-group-recovery">
        <w:r w:rsidR="00000000">
          <w:rPr>
            <w:rStyle w:val="Hyperlink"/>
          </w:rPr>
          <w:t>Figure 9</w:t>
        </w:r>
      </w:hyperlink>
      <w:r w:rsidR="00000000">
        <w:t xml:space="preserve"> shows the group-level results. All 4 of 4 population means fell within their 95% credible intervals, and 4 of 4 between-person SDs were recovered accurately. Bias was </w:t>
      </w:r>
      <w:r w:rsidR="00000000">
        <w:lastRenderedPageBreak/>
        <w:t xml:space="preserve">negligible for all parameters. The companion script extracts these values from </w:t>
      </w:r>
      <w:r w:rsidR="00000000">
        <w:rPr>
          <w:rStyle w:val="VerbatimChar"/>
        </w:rPr>
        <w:t>fixef()</w:t>
      </w:r>
      <w:r w:rsidR="00000000">
        <w:t xml:space="preserve"> and </w:t>
      </w:r>
      <w:r w:rsidR="00000000">
        <w:rPr>
          <w:rStyle w:val="VerbatimChar"/>
        </w:rPr>
        <w:t>brms::VarCorr()</w:t>
      </w:r>
      <w:r w:rsidR="00000000">
        <w:t>.</w:t>
      </w:r>
    </w:p>
    <w:p w14:paraId="63395EC2" w14:textId="08F3F880" w:rsidR="00F70B7A" w:rsidRDefault="00000000">
      <w:pPr>
        <w:pStyle w:val="Heading3"/>
      </w:pPr>
      <w:bookmarkStart w:id="41" w:name="individual-level-recovery"/>
      <w:bookmarkEnd w:id="40"/>
      <w:r>
        <w:t>Individual-level recovery</w:t>
      </w:r>
    </w:p>
    <w:p w14:paraId="2AF5196F" w14:textId="2DBFE8BF" w:rsidR="00F70B7A" w:rsidRDefault="0027575C">
      <w:pPr>
        <w:pStyle w:val="FirstParagraph"/>
      </w:pPr>
      <w:r>
        <w:rPr>
          <w:noProof/>
        </w:rPr>
        <mc:AlternateContent>
          <mc:Choice Requires="wps">
            <w:drawing>
              <wp:anchor distT="0" distB="0" distL="114300" distR="114300" simplePos="0" relativeHeight="251677696" behindDoc="0" locked="0" layoutInCell="1" allowOverlap="1" wp14:anchorId="010A5890" wp14:editId="45874F47">
                <wp:simplePos x="0" y="0"/>
                <wp:positionH relativeFrom="column">
                  <wp:posOffset>0</wp:posOffset>
                </wp:positionH>
                <wp:positionV relativeFrom="paragraph">
                  <wp:posOffset>1147755</wp:posOffset>
                </wp:positionV>
                <wp:extent cx="1828800" cy="1828800"/>
                <wp:effectExtent l="0" t="0" r="0" b="0"/>
                <wp:wrapSquare wrapText="bothSides"/>
                <wp:docPr id="209312661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99A86BF" w14:textId="77777777" w:rsidR="0027575C" w:rsidRDefault="0027575C">
                            <w:pPr>
                              <w:pStyle w:val="FigureTitle"/>
                            </w:pPr>
                            <w:r>
                              <w:t>Figure 10</w:t>
                            </w:r>
                          </w:p>
                          <w:p w14:paraId="483034A3" w14:textId="77777777" w:rsidR="0027575C" w:rsidRDefault="0027575C" w:rsidP="0027575C">
                            <w:pPr>
                              <w:pStyle w:val="Caption"/>
                              <w:spacing w:line="240" w:lineRule="auto"/>
                            </w:pPr>
                            <w:r>
                              <w:t>Individual-level parameter recovery (</w:t>
                            </w:r>
                            <m:oMath>
                              <m:r>
                                <w:rPr>
                                  <w:rFonts w:ascii="Cambria Math" w:hAnsi="Cambria Math"/>
                                </w:rPr>
                                <m:t>N=50</m:t>
                              </m:r>
                            </m:oMath>
                            <w:r>
                              <w:t>, 60 trials per participant). Each point is one participant; the dashed line indicates perfect recovery. Pearson correlations are shown per parameter.</w:t>
                            </w:r>
                          </w:p>
                          <w:p w14:paraId="7C603697" w14:textId="77777777" w:rsidR="0027575C" w:rsidRPr="0021041A" w:rsidRDefault="0027575C" w:rsidP="0021041A">
                            <w:pPr>
                              <w:pStyle w:val="FigureWithoutNote"/>
                              <w:rPr>
                                <w:noProof/>
                              </w:rPr>
                            </w:pPr>
                            <w:r>
                              <w:rPr>
                                <w:noProof/>
                              </w:rPr>
                              <w:drawing>
                                <wp:inline distT="0" distB="0" distL="0" distR="0" wp14:anchorId="38ED6407" wp14:editId="0623421A">
                                  <wp:extent cx="5943600" cy="4572000"/>
                                  <wp:effectExtent l="0" t="0" r="0" b="0"/>
                                  <wp:docPr id="991663771" name="Picture"/>
                                  <wp:cNvGraphicFramePr/>
                                  <a:graphic xmlns:a="http://schemas.openxmlformats.org/drawingml/2006/main">
                                    <a:graphicData uri="http://schemas.openxmlformats.org/drawingml/2006/picture">
                                      <pic:pic xmlns:pic="http://schemas.openxmlformats.org/drawingml/2006/picture">
                                        <pic:nvPicPr>
                                          <pic:cNvPr id="115" name="Picture" descr="../figures/tutorial4_indiv_scatter.pdf"/>
                                          <pic:cNvPicPr>
                                            <a:picLocks noChangeAspect="1" noChangeArrowheads="1"/>
                                          </pic:cNvPicPr>
                                        </pic:nvPicPr>
                                        <pic:blipFill>
                                          <a:blip r:embed="rId21"/>
                                          <a:stretch>
                                            <a:fillRect/>
                                          </a:stretch>
                                        </pic:blipFill>
                                        <pic:spPr bwMode="auto">
                                          <a:xfrm>
                                            <a:off x="0" y="0"/>
                                            <a:ext cx="5943600" cy="45720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10A5890" id="_x0000_s1035" type="#_x0000_t202" style="position:absolute;left:0;text-align:left;margin-left:0;margin-top:90.3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VSf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" filled="f" strokeweight=".5pt">
                <v:fill o:detectmouseclick="t"/>
                <v:textbox style="mso-fit-shape-to-text:t">
                  <w:txbxContent>
                    <w:p w14:paraId="499A86BF" w14:textId="77777777" w:rsidR="0027575C" w:rsidRDefault="0027575C">
                      <w:pPr>
                        <w:pStyle w:val="FigureTitle"/>
                      </w:pPr>
                      <w:r>
                        <w:t>Figure 10</w:t>
                      </w:r>
                    </w:p>
                    <w:p w14:paraId="483034A3" w14:textId="77777777" w:rsidR="0027575C" w:rsidRDefault="0027575C" w:rsidP="0027575C">
                      <w:pPr>
                        <w:pStyle w:val="Caption"/>
                        <w:spacing w:line="240" w:lineRule="auto"/>
                      </w:pPr>
                      <w:r>
                        <w:t>Individual-level parameter recovery (</w:t>
                      </w:r>
                      <m:oMath>
                        <m:r>
                          <w:rPr>
                            <w:rFonts w:ascii="Cambria Math" w:hAnsi="Cambria Math"/>
                          </w:rPr>
                          <m:t>N=50</m:t>
                        </m:r>
                      </m:oMath>
                      <w:r>
                        <w:t>, 60 trials per participant). Each point is one participant; the dashed line indicates perfect recovery. Pearson correlations are shown per parameter.</w:t>
                      </w:r>
                    </w:p>
                    <w:p w14:paraId="7C603697" w14:textId="77777777" w:rsidR="0027575C" w:rsidRPr="0021041A" w:rsidRDefault="0027575C" w:rsidP="0021041A">
                      <w:pPr>
                        <w:pStyle w:val="FigureWithoutNote"/>
                        <w:rPr>
                          <w:noProof/>
                        </w:rPr>
                      </w:pPr>
                      <w:r>
                        <w:rPr>
                          <w:noProof/>
                        </w:rPr>
                        <w:drawing>
                          <wp:inline distT="0" distB="0" distL="0" distR="0" wp14:anchorId="38ED6407" wp14:editId="0623421A">
                            <wp:extent cx="5943600" cy="4572000"/>
                            <wp:effectExtent l="0" t="0" r="0" b="0"/>
                            <wp:docPr id="991663771" name="Picture"/>
                            <wp:cNvGraphicFramePr/>
                            <a:graphic xmlns:a="http://schemas.openxmlformats.org/drawingml/2006/main">
                              <a:graphicData uri="http://schemas.openxmlformats.org/drawingml/2006/picture">
                                <pic:pic xmlns:pic="http://schemas.openxmlformats.org/drawingml/2006/picture">
                                  <pic:nvPicPr>
                                    <pic:cNvPr id="115" name="Picture" descr="../figures/tutorial4_indiv_scatter.pdf"/>
                                    <pic:cNvPicPr>
                                      <a:picLocks noChangeAspect="1" noChangeArrowheads="1"/>
                                    </pic:cNvPicPr>
                                  </pic:nvPicPr>
                                  <pic:blipFill>
                                    <a:blip r:embed="rId21"/>
                                    <a:stretch>
                                      <a:fillRect/>
                                    </a:stretch>
                                  </pic:blipFill>
                                  <pic:spPr bwMode="auto">
                                    <a:xfrm>
                                      <a:off x="0" y="0"/>
                                      <a:ext cx="5943600" cy="4572000"/>
                                    </a:xfrm>
                                    <a:prstGeom prst="rect">
                                      <a:avLst/>
                                    </a:prstGeom>
                                    <a:noFill/>
                                    <a:ln w="9525">
                                      <a:noFill/>
                                      <a:headEnd/>
                                      <a:tailEnd/>
                                    </a:ln>
                                  </pic:spPr>
                                </pic:pic>
                              </a:graphicData>
                            </a:graphic>
                          </wp:inline>
                        </w:drawing>
                      </w:r>
                    </w:p>
                  </w:txbxContent>
                </v:textbox>
                <w10:wrap type="square"/>
              </v:shape>
            </w:pict>
          </mc:Fallback>
        </mc:AlternateContent>
      </w:r>
      <w:hyperlink w:anchor="fig-t4-indiv-scatter">
        <w:r w:rsidR="00000000">
          <w:rPr>
            <w:rStyle w:val="Hyperlink"/>
          </w:rPr>
          <w:t>Figure 10</w:t>
        </w:r>
      </w:hyperlink>
      <w:r w:rsidR="00000000">
        <w:t xml:space="preserve"> shows scatter plots of true versus recovered individual parameters (</w:t>
      </w:r>
      <m:oMath>
        <m:r>
          <w:rPr>
            <w:rFonts w:ascii="Cambria Math" w:hAnsi="Cambria Math"/>
          </w:rPr>
          <m:t>N</m:t>
        </m:r>
        <m:r>
          <m:rPr>
            <m:sty m:val="p"/>
          </m:rPr>
          <w:rPr>
            <w:rFonts w:ascii="Cambria Math" w:hAnsi="Cambria Math"/>
          </w:rPr>
          <m:t>=</m:t>
        </m:r>
        <m:r>
          <w:rPr>
            <w:rFonts w:ascii="Cambria Math" w:hAnsi="Cambria Math"/>
          </w:rPr>
          <m:t>50</m:t>
        </m:r>
      </m:oMath>
      <w:r w:rsidR="00000000">
        <w:t>, 60 trials per participant). Context binding (</w:t>
      </w:r>
      <m:oMath>
        <m:r>
          <w:rPr>
            <w:rFonts w:ascii="Cambria Math" w:hAnsi="Cambria Math"/>
          </w:rPr>
          <m:t>c</m:t>
        </m:r>
      </m:oMath>
      <w:r w:rsidR="00000000">
        <w:t>) was recovered well (</w:t>
      </w:r>
      <m:oMath>
        <m:r>
          <w:rPr>
            <w:rFonts w:ascii="Cambria Math" w:hAnsi="Cambria Math"/>
          </w:rPr>
          <m:t>r</m:t>
        </m:r>
      </m:oMath>
      <w:r w:rsidR="00000000">
        <w:t xml:space="preserve"> = 0.92), and item memory (</w:t>
      </w:r>
      <m:oMath>
        <m:r>
          <w:rPr>
            <w:rFonts w:ascii="Cambria Math" w:hAnsi="Cambria Math"/>
          </w:rPr>
          <m:t>a</m:t>
        </m:r>
      </m:oMath>
      <w:r w:rsidR="00000000">
        <w:t>) showed adequate recovery (</w:t>
      </w:r>
      <m:oMath>
        <m:r>
          <w:rPr>
            <w:rFonts w:ascii="Cambria Math" w:hAnsi="Cambria Math"/>
          </w:rPr>
          <m:t>r</m:t>
        </m:r>
      </m:oMath>
      <w:r w:rsidR="00000000">
        <w:t xml:space="preserve"> = 0.72). The ratio parameters were harder to recover individually </w:t>
      </w:r>
      <w:r w:rsidR="00000000">
        <w:lastRenderedPageBreak/>
        <w:t>(</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w:t>
      </w:r>
      <m:oMath>
        <m:r>
          <w:rPr>
            <w:rFonts w:ascii="Cambria Math" w:hAnsi="Cambria Math"/>
          </w:rPr>
          <m:t>r</m:t>
        </m:r>
      </m:oMath>
      <w:r w:rsidR="00000000">
        <w:t xml:space="preserve"> = 0.35;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w:t>
      </w:r>
      <m:oMath>
        <m:r>
          <w:rPr>
            <w:rFonts w:ascii="Cambria Math" w:hAnsi="Cambria Math"/>
          </w:rPr>
          <m:t>r</m:t>
        </m:r>
      </m:oMath>
      <w:r w:rsidR="00000000">
        <w:t xml:space="preserve"> = 0.20). This is expected: ratio parameters appear only in distractor categories, which have lower base rates and therefore carry less information per trial.</w:t>
      </w:r>
    </w:p>
    <w:p w14:paraId="4D16C5E1" w14:textId="362B148B" w:rsidR="00F70B7A" w:rsidRDefault="00000000">
      <w:pPr>
        <w:pStyle w:val="Heading2"/>
      </w:pPr>
      <w:bookmarkStart w:id="42" w:name="practical-guidance"/>
      <w:bookmarkEnd w:id="39"/>
      <w:bookmarkEnd w:id="41"/>
      <w:r>
        <w:t>Practical guidance</w:t>
      </w:r>
    </w:p>
    <w:p w14:paraId="7DB23A1A" w14:textId="489EE68A" w:rsidR="00F70B7A" w:rsidRDefault="00000000">
      <w:pPr>
        <w:pStyle w:val="FirstParagraph"/>
      </w:pPr>
      <w:r>
        <w:t>As a rule of thumb, if individual-level correlations fall below .7 for a parameter, the design likely needs more trials or a larger sample before that parameter can support individual-differences analyses. The present simulation uses a single replication; a full simulation study should vary sample size and trial count systematically Talts et al. (</w:t>
      </w:r>
      <w:hyperlink w:anchor="ref-talts2018validating">
        <w:r>
          <w:rPr>
            <w:rStyle w:val="Hyperlink"/>
          </w:rPr>
          <w:t>2018</w:t>
        </w:r>
      </w:hyperlink>
      <w:r>
        <w:t>).</w:t>
      </w:r>
    </w:p>
    <w:p w14:paraId="6EBD8575" w14:textId="77777777" w:rsidR="0027575C" w:rsidRDefault="0027575C" w:rsidP="0027575C">
      <w:pPr>
        <w:pStyle w:val="Heading2"/>
      </w:pPr>
      <w:bookmarkStart w:id="43" w:name="X075ad64b0db91a3cd0eec1300001e99e712de29"/>
      <w:r>
        <w:t>Going further: more complex custom versions</w:t>
      </w:r>
    </w:p>
    <w:p w14:paraId="77B5D129" w14:textId="23ADD664" w:rsidR="0027575C" w:rsidRDefault="0027575C" w:rsidP="0027575C">
      <w:pPr>
        <w:pStyle w:val="FirstParagraph"/>
      </w:pPr>
      <w:r>
        <w:t xml:space="preserve">The filtering example modifies only the distractor categories, keeping the same five-category structure as the </w:t>
      </w:r>
      <w:r>
        <w:rPr>
          <w:rStyle w:val="VerbatimChar"/>
        </w:rPr>
        <w:t>cs</w:t>
      </w:r>
      <w:r>
        <w:t xml:space="preserve"> version. Custom specifications can go much further: entirely new response categories, nonlinear activation formulas with design variables, and additional parameters with different link functions. The Appendix presents a more complex example</w:t>
      </w:r>
      <w:r>
        <w:t>,</w:t>
      </w:r>
      <w:r>
        <w:t xml:space="preserve"> a memory updating task from </w:t>
      </w:r>
      <w:proofErr w:type="spellStart"/>
      <w:r>
        <w:t>Oberauer</w:t>
      </w:r>
      <w:proofErr w:type="spellEnd"/>
      <w:r>
        <w:t xml:space="preserve"> and Lewandowsky (</w:t>
      </w:r>
      <w:hyperlink w:anchor="ref-oberauer2019simple">
        <w:r>
          <w:rPr>
            <w:rStyle w:val="Hyperlink"/>
          </w:rPr>
          <w:t>2019</w:t>
        </w:r>
      </w:hyperlink>
      <w:r>
        <w:t>) with five estimated parameters and experimentally manipulated timing variables</w:t>
      </w:r>
      <w:r>
        <w:t>,</w:t>
      </w:r>
      <w:r>
        <w:t xml:space="preserve"> to illustrate the full range of custom specifications. The accompanying scripts (</w:t>
      </w:r>
      <w:r>
        <w:rPr>
          <w:rStyle w:val="VerbatimChar"/>
        </w:rPr>
        <w:t>scripts/tutorial3_parameter_recovery_</w:t>
      </w:r>
      <w:proofErr w:type="gramStart"/>
      <w:r>
        <w:rPr>
          <w:rStyle w:val="VerbatimChar"/>
        </w:rPr>
        <w:t>simple.R</w:t>
      </w:r>
      <w:proofErr w:type="gramEnd"/>
      <w:r>
        <w:t xml:space="preserve"> and </w:t>
      </w:r>
      <w:r>
        <w:rPr>
          <w:rStyle w:val="VerbatimChar"/>
        </w:rPr>
        <w:t>scripts/tutorial3_parameter_</w:t>
      </w:r>
      <w:proofErr w:type="gramStart"/>
      <w:r>
        <w:rPr>
          <w:rStyle w:val="VerbatimChar"/>
        </w:rPr>
        <w:t>recovery.R</w:t>
      </w:r>
      <w:proofErr w:type="gramEnd"/>
      <w:r>
        <w:t>) provide the complete code for this advanced example.</w:t>
      </w:r>
    </w:p>
    <w:bookmarkEnd w:id="43"/>
    <w:p w14:paraId="5029CD80" w14:textId="77777777" w:rsidR="0027575C" w:rsidRPr="0027575C" w:rsidRDefault="0027575C" w:rsidP="0027575C">
      <w:pPr>
        <w:pStyle w:val="BodyText"/>
      </w:pPr>
    </w:p>
    <w:p w14:paraId="396BF0D4" w14:textId="77777777" w:rsidR="00F70B7A" w:rsidRDefault="00000000">
      <w:pPr>
        <w:pStyle w:val="Heading1"/>
      </w:pPr>
      <w:bookmarkStart w:id="44" w:name="summary-and-additional-resources"/>
      <w:bookmarkEnd w:id="34"/>
      <w:bookmarkEnd w:id="42"/>
      <w:r>
        <w:t>Summary and Additional Resources</w:t>
      </w:r>
    </w:p>
    <w:p w14:paraId="7D02D8BE" w14:textId="075C9F2B" w:rsidR="00F70B7A" w:rsidRDefault="00000000">
      <w:pPr>
        <w:pStyle w:val="FirstParagraph"/>
      </w:pPr>
      <w:r>
        <w:t xml:space="preserve">This tutorial covered four progressively complex applications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using the </w:t>
      </w:r>
      <w:r>
        <w:rPr>
          <w:rStyle w:val="VerbatimChar"/>
        </w:rPr>
        <w:t>bmm</w:t>
      </w:r>
      <w:r>
        <w:t xml:space="preserve"> R package. The simple span example (Tutorial 1) introduced the full workflow</w:t>
      </w:r>
      <w:r w:rsidR="0027575C">
        <w:t>,</w:t>
      </w:r>
      <w:r>
        <w:t xml:space="preserve"> specification, fitting, evaluation, and hypothesis testing</w:t>
      </w:r>
      <w:r w:rsidR="0027575C">
        <w:t>,</w:t>
      </w:r>
      <w:r>
        <w:t xml:space="preserve"> and compared the two choice rules. The </w:t>
      </w:r>
      <w:r>
        <w:lastRenderedPageBreak/>
        <w:t xml:space="preserve">complex span example (Tutorial 2) added distractor categories, the filtering parameter </w:t>
      </w:r>
      <m:oMath>
        <m:r>
          <w:rPr>
            <w:rFonts w:ascii="Cambria Math" w:hAnsi="Cambria Math"/>
          </w:rPr>
          <m:t>f</m:t>
        </m:r>
      </m:oMath>
      <w:r>
        <w:t xml:space="preserve">, and the handling of non-identified parameters. The custom specification example (Tutorial 3) showed how to relax assumptions of a pre-built version by defining separate ratio parameters for item memory and context binding, and compared the custom version against the standard </w:t>
      </w:r>
      <w:r>
        <w:rPr>
          <w:rStyle w:val="VerbatimChar"/>
        </w:rPr>
        <w:t>cs</w:t>
      </w:r>
      <w:r>
        <w:t xml:space="preserve"> version. The parameter recovery tutorial (Tutorial 4) demonstrated how to validate a custom specification through simulation before applying it to empirical data.</w:t>
      </w:r>
    </w:p>
    <w:p w14:paraId="7141E828" w14:textId="77777777" w:rsidR="00F70B7A" w:rsidRDefault="00000000">
      <w:pPr>
        <w:pStyle w:val="BodyText"/>
      </w:pPr>
      <w:r>
        <w:t>A few practical recommendations. If the task produces three response categories (correct, other-list intrusion, NPL), the simple span version (</w:t>
      </w:r>
      <w:r>
        <w:rPr>
          <w:rStyle w:val="VerbatimChar"/>
        </w:rPr>
        <w:t>ss</w:t>
      </w:r>
      <w:r>
        <w:t>) is the natural starting point. Tasks with distractors that are the same material type as memoranda can fit the complex span version (</w:t>
      </w:r>
      <w:r>
        <w:rPr>
          <w:rStyle w:val="VerbatimChar"/>
        </w:rPr>
        <w:t>cs</w:t>
      </w:r>
      <w:r>
        <w:t>). For other designs, the custom version gives full control over activation formulas, parameters, and link functions. In all cases, the softmax choice rule is the recommended default based on current evidence. When defining a custom specification, running a parameter recovery simulation before data collection is good practice: it reveals whether the planned design can distinguish the parameters of interest and whether the specification is identified.</w:t>
      </w:r>
    </w:p>
    <w:p w14:paraId="08743F65" w14:textId="77777777" w:rsidR="00F70B7A" w:rsidRDefault="00000000">
      <w:pPr>
        <w:pStyle w:val="BodyText"/>
      </w:pPr>
      <w:r>
        <w:t xml:space="preserve">We hope that the implementation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 the </w:t>
      </w:r>
      <w:r>
        <w:rPr>
          <w:rStyle w:val="VerbatimChar"/>
        </w:rPr>
        <w:t>bmm</w:t>
      </w:r>
      <w:r>
        <w:t xml:space="preserve"> package and the accompanying tutorials will make this modeling approach accessible to a wide range of researchers. As noted before,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is not limited to memory tasks but can be applied to any decision paradigm yielding a multinomial response distribution (</w:t>
      </w:r>
      <w:hyperlink w:anchor="ref-busemeyer1993decision">
        <w:r>
          <w:rPr>
            <w:rStyle w:val="Hyperlink"/>
          </w:rPr>
          <w:t>Busemeyer &amp; Townsend, 1993</w:t>
        </w:r>
      </w:hyperlink>
      <w:r>
        <w:t xml:space="preserve">; </w:t>
      </w:r>
      <w:hyperlink w:anchor="ref-mcfadden1974conditional">
        <w:r>
          <w:rPr>
            <w:rStyle w:val="Hyperlink"/>
          </w:rPr>
          <w:t>McFadden, 1974</w:t>
        </w:r>
      </w:hyperlink>
      <w:r>
        <w:t xml:space="preserve">; </w:t>
      </w:r>
      <w:hyperlink w:anchor="ref-roe2001multialternative">
        <w:r>
          <w:rPr>
            <w:rStyle w:val="Hyperlink"/>
          </w:rPr>
          <w:t>Roe et al., 2001</w:t>
        </w:r>
      </w:hyperlink>
      <w:r>
        <w:t>). We encourage users to explore the package documentation, experiment with different model specifications, and contribute to the ongoing development of this tool.</w:t>
      </w:r>
    </w:p>
    <w:p w14:paraId="6EB0B8B7" w14:textId="77777777" w:rsidR="00F70B7A" w:rsidRDefault="00000000">
      <w:pPr>
        <w:pStyle w:val="Heading2"/>
      </w:pPr>
      <w:bookmarkStart w:id="45" w:name="additional-resources"/>
      <w:r>
        <w:lastRenderedPageBreak/>
        <w:t>Additional resources</w:t>
      </w:r>
    </w:p>
    <w:p w14:paraId="0CAB3913" w14:textId="77777777" w:rsidR="00F70B7A" w:rsidRDefault="00000000" w:rsidP="00BB6CCB">
      <w:pPr>
        <w:pStyle w:val="Compact"/>
        <w:numPr>
          <w:ilvl w:val="0"/>
          <w:numId w:val="25"/>
        </w:numPr>
        <w:spacing w:line="480" w:lineRule="auto"/>
      </w:pPr>
      <w:r>
        <w:rPr>
          <w:rStyle w:val="VerbatimChar"/>
        </w:rPr>
        <w:t>bmm</w:t>
      </w:r>
      <w:r>
        <w:t xml:space="preserve"> package documentation and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vignette: </w:t>
      </w:r>
      <w:hyperlink r:id="rId22">
        <w:r>
          <w:rPr>
            <w:rStyle w:val="Hyperlink"/>
          </w:rPr>
          <w:t>https://venpopov.github.io/bmm/articles/bmm_m3.html</w:t>
        </w:r>
      </w:hyperlink>
    </w:p>
    <w:p w14:paraId="1FB9334B" w14:textId="77777777" w:rsidR="00F70B7A" w:rsidRDefault="00000000" w:rsidP="00BB6CCB">
      <w:pPr>
        <w:pStyle w:val="Compact"/>
        <w:numPr>
          <w:ilvl w:val="0"/>
          <w:numId w:val="25"/>
        </w:numPr>
        <w:spacing w:line="480" w:lineRule="auto"/>
      </w:pPr>
      <w:r>
        <w:t>Full companion scripts for all four tutorials: [repository link]</w:t>
      </w:r>
    </w:p>
    <w:p w14:paraId="1EF1903A" w14:textId="77777777" w:rsidR="00F70B7A" w:rsidRDefault="00000000" w:rsidP="00BB6CCB">
      <w:pPr>
        <w:pStyle w:val="Compact"/>
        <w:numPr>
          <w:ilvl w:val="0"/>
          <w:numId w:val="25"/>
        </w:numPr>
        <w:spacing w:line="480" w:lineRule="auto"/>
      </w:pP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paper: Oberauer and Lewandowsky (</w:t>
      </w:r>
      <w:hyperlink w:anchor="ref-oberauer2019simple">
        <w:r>
          <w:rPr>
            <w:rStyle w:val="Hyperlink"/>
          </w:rPr>
          <w:t>2019</w:t>
        </w:r>
      </w:hyperlink>
      <w:r>
        <w:t>)</w:t>
      </w:r>
    </w:p>
    <w:p w14:paraId="3436BB97" w14:textId="77777777" w:rsidR="00F70B7A" w:rsidRDefault="00000000" w:rsidP="00BB6CCB">
      <w:pPr>
        <w:pStyle w:val="Compact"/>
        <w:numPr>
          <w:ilvl w:val="0"/>
          <w:numId w:val="25"/>
        </w:numPr>
        <w:spacing w:line="480" w:lineRule="auto"/>
      </w:pPr>
      <w:r>
        <w:t xml:space="preserve">Systematic parameter recovery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Göttmann et al. (</w:t>
      </w:r>
      <w:hyperlink w:anchor="ref-goettmann2025recovery">
        <w:r>
          <w:rPr>
            <w:rStyle w:val="Hyperlink"/>
          </w:rPr>
          <w:t>2025</w:t>
        </w:r>
      </w:hyperlink>
      <w:r>
        <w:t>)</w:t>
      </w:r>
    </w:p>
    <w:p w14:paraId="32C76460" w14:textId="77777777" w:rsidR="00F70B7A" w:rsidRDefault="00000000" w:rsidP="00BB6CCB">
      <w:pPr>
        <w:pStyle w:val="Compact"/>
        <w:numPr>
          <w:ilvl w:val="0"/>
          <w:numId w:val="25"/>
        </w:numPr>
        <w:spacing w:line="480" w:lineRule="auto"/>
      </w:pPr>
      <w:r>
        <w:t xml:space="preserve">Companion </w:t>
      </w:r>
      <w:r>
        <w:rPr>
          <w:rStyle w:val="VerbatimChar"/>
        </w:rPr>
        <w:t>bmm</w:t>
      </w:r>
      <w:r>
        <w:t xml:space="preserve"> tutorial for continuous-response mixture models: Frischkorn and Popov (</w:t>
      </w:r>
      <w:hyperlink w:anchor="ref-frischkorn2025tutorial">
        <w:r>
          <w:rPr>
            <w:rStyle w:val="Hyperlink"/>
          </w:rPr>
          <w:t>2025</w:t>
        </w:r>
      </w:hyperlink>
      <w:r>
        <w:t>)</w:t>
      </w:r>
    </w:p>
    <w:p w14:paraId="11C74275" w14:textId="77777777" w:rsidR="0027575C" w:rsidRDefault="0027575C">
      <w:pPr>
        <w:spacing w:after="200" w:line="240" w:lineRule="auto"/>
        <w:rPr>
          <w:rFonts w:asciiTheme="majorHAnsi" w:eastAsiaTheme="majorEastAsia" w:hAnsiTheme="majorHAnsi" w:cstheme="majorBidi"/>
          <w:b/>
          <w:bCs/>
          <w:szCs w:val="32"/>
        </w:rPr>
      </w:pPr>
      <w:bookmarkStart w:id="46" w:name="Xea2674722472200de450cfebb7bfa916d1f1ed7"/>
      <w:bookmarkEnd w:id="44"/>
      <w:bookmarkEnd w:id="45"/>
      <w:r>
        <w:br w:type="page"/>
      </w:r>
    </w:p>
    <w:p w14:paraId="1A33EB69" w14:textId="77777777" w:rsidR="00F70B7A" w:rsidRDefault="00000000">
      <w:pPr>
        <w:pStyle w:val="Heading1"/>
      </w:pPr>
      <w:bookmarkStart w:id="47" w:name="references"/>
      <w:bookmarkEnd w:id="46"/>
      <w:r>
        <w:lastRenderedPageBreak/>
        <w:t>References</w:t>
      </w:r>
    </w:p>
    <w:p w14:paraId="54DAE28D" w14:textId="77777777" w:rsidR="00F70B7A" w:rsidRDefault="00000000">
      <w:pPr>
        <w:pStyle w:val="Bibliography"/>
      </w:pPr>
      <w:bookmarkStart w:id="48" w:name="ref-batchelder1999theoretical"/>
      <w:bookmarkStart w:id="49" w:name="refs"/>
      <w:r>
        <w:t xml:space="preserve">Batchelder, W. H., &amp; Riefer, D. M. (1999). Theoretical and empirical review of multinomial process tree modeling. </w:t>
      </w:r>
      <w:r>
        <w:rPr>
          <w:i/>
          <w:iCs/>
        </w:rPr>
        <w:t>Psychonomic Bulletin &amp; Review</w:t>
      </w:r>
      <w:r>
        <w:t xml:space="preserve">, </w:t>
      </w:r>
      <w:r>
        <w:rPr>
          <w:i/>
          <w:iCs/>
        </w:rPr>
        <w:t>6</w:t>
      </w:r>
      <w:r>
        <w:t xml:space="preserve">(1), 57–86. </w:t>
      </w:r>
      <w:hyperlink r:id="rId23">
        <w:r>
          <w:rPr>
            <w:rStyle w:val="Hyperlink"/>
          </w:rPr>
          <w:t>https://doi.org/10.3758/BF03210812</w:t>
        </w:r>
      </w:hyperlink>
    </w:p>
    <w:p w14:paraId="6C321908" w14:textId="77777777" w:rsidR="00F70B7A" w:rsidRDefault="00000000">
      <w:pPr>
        <w:pStyle w:val="Bibliography"/>
      </w:pPr>
      <w:bookmarkStart w:id="50" w:name="ref-burkner2017brms"/>
      <w:bookmarkEnd w:id="48"/>
      <w:r>
        <w:t xml:space="preserve">Bürkner, P.-C. (2017). brms: An R package for Bayesian multilevel models using Stan. </w:t>
      </w:r>
      <w:r>
        <w:rPr>
          <w:i/>
          <w:iCs/>
        </w:rPr>
        <w:t>Journal of Statistical Software</w:t>
      </w:r>
      <w:r>
        <w:t xml:space="preserve">, </w:t>
      </w:r>
      <w:r>
        <w:rPr>
          <w:i/>
          <w:iCs/>
        </w:rPr>
        <w:t>80</w:t>
      </w:r>
      <w:r>
        <w:t xml:space="preserve">(1), 1–28. </w:t>
      </w:r>
      <w:hyperlink r:id="rId24">
        <w:r>
          <w:rPr>
            <w:rStyle w:val="Hyperlink"/>
          </w:rPr>
          <w:t>https://doi.org/10.18637/jss.v080.i01</w:t>
        </w:r>
      </w:hyperlink>
    </w:p>
    <w:p w14:paraId="58F731A1" w14:textId="77777777" w:rsidR="00F70B7A" w:rsidRDefault="00000000">
      <w:pPr>
        <w:pStyle w:val="Bibliography"/>
      </w:pPr>
      <w:bookmarkStart w:id="51" w:name="ref-busemeyer1993decision"/>
      <w:bookmarkEnd w:id="50"/>
      <w:r>
        <w:t xml:space="preserve">Busemeyer, J. R., &amp; Townsend, J. T. (1993). Decision field theory: A dynamic-cognitive approach to decision making in an uncertain environment. </w:t>
      </w:r>
      <w:r>
        <w:rPr>
          <w:i/>
          <w:iCs/>
        </w:rPr>
        <w:t>Psychological Review</w:t>
      </w:r>
      <w:r>
        <w:t xml:space="preserve">, </w:t>
      </w:r>
      <w:r>
        <w:rPr>
          <w:i/>
          <w:iCs/>
        </w:rPr>
        <w:t>100</w:t>
      </w:r>
      <w:r>
        <w:t xml:space="preserve">(3), 432–459. </w:t>
      </w:r>
      <w:hyperlink r:id="rId25">
        <w:r>
          <w:rPr>
            <w:rStyle w:val="Hyperlink"/>
          </w:rPr>
          <w:t>https://doi.org/10.1037/0033-295X.100.3.432</w:t>
        </w:r>
      </w:hyperlink>
    </w:p>
    <w:p w14:paraId="1E37D2B8" w14:textId="77777777" w:rsidR="00F70B7A" w:rsidRDefault="00000000">
      <w:pPr>
        <w:pStyle w:val="Bibliography"/>
      </w:pPr>
      <w:bookmarkStart w:id="52" w:name="ref-carpenter2017stan"/>
      <w:bookmarkEnd w:id="51"/>
      <w:r>
        <w:t xml:space="preserve">Carpenter, B., Gelman, A., Hoffman, M. D., Lee, D., Goodrich, B., Betancourt, M., Brauer, M., Guo, J., Li, P., &amp; Riddell, A. (2017). Stan: A probabilistic programming language. </w:t>
      </w:r>
      <w:r>
        <w:rPr>
          <w:i/>
          <w:iCs/>
        </w:rPr>
        <w:t>Journal of Statistical Software</w:t>
      </w:r>
      <w:r>
        <w:t xml:space="preserve">, </w:t>
      </w:r>
      <w:r>
        <w:rPr>
          <w:i/>
          <w:iCs/>
        </w:rPr>
        <w:t>76</w:t>
      </w:r>
      <w:r>
        <w:t xml:space="preserve">(1), 1–32. </w:t>
      </w:r>
      <w:hyperlink r:id="rId26">
        <w:r>
          <w:rPr>
            <w:rStyle w:val="Hyperlink"/>
          </w:rPr>
          <w:t>https://doi.org/10.18637/jss.v076.i01</w:t>
        </w:r>
      </w:hyperlink>
    </w:p>
    <w:p w14:paraId="5E9B9F87" w14:textId="77777777" w:rsidR="00F70B7A" w:rsidRDefault="00000000">
      <w:pPr>
        <w:pStyle w:val="Bibliography"/>
      </w:pPr>
      <w:bookmarkStart w:id="53" w:name="ref-chalmers2020simdesign"/>
      <w:bookmarkEnd w:id="52"/>
      <w:r>
        <w:t xml:space="preserve">Chalmers, R. P., &amp; Adkins, M. C. (2020). Writing effective and reliable Monte Carlo simulations with the SimDesign package. </w:t>
      </w:r>
      <w:r>
        <w:rPr>
          <w:i/>
          <w:iCs/>
        </w:rPr>
        <w:t>The Quantitative Methods for Psychology</w:t>
      </w:r>
      <w:r>
        <w:t xml:space="preserve">, </w:t>
      </w:r>
      <w:r>
        <w:rPr>
          <w:i/>
          <w:iCs/>
        </w:rPr>
        <w:t>16</w:t>
      </w:r>
      <w:r>
        <w:t xml:space="preserve">(4), 248–280. </w:t>
      </w:r>
      <w:hyperlink r:id="rId27">
        <w:r>
          <w:rPr>
            <w:rStyle w:val="Hyperlink"/>
          </w:rPr>
          <w:t>https://doi.org/10.20982/tqmp.16.4.p248</w:t>
        </w:r>
      </w:hyperlink>
    </w:p>
    <w:p w14:paraId="1343F136" w14:textId="77777777" w:rsidR="00F70B7A" w:rsidRDefault="00000000">
      <w:pPr>
        <w:pStyle w:val="Bibliography"/>
      </w:pPr>
      <w:bookmarkStart w:id="54" w:name="ref-erdfelder2009multinomial"/>
      <w:bookmarkEnd w:id="53"/>
      <w:r>
        <w:t xml:space="preserve">Erdfelder, E., Auer, T.-S., Hilbig, B. E., Aßfalg, A., Moshagen, M., &amp; Nadarevic, L. (2009). Multinomial processing tree models: A review of the literature. </w:t>
      </w:r>
      <w:r>
        <w:rPr>
          <w:i/>
          <w:iCs/>
        </w:rPr>
        <w:t>Zeitschrift für Psychologie / Journal of Psychology</w:t>
      </w:r>
      <w:r>
        <w:t xml:space="preserve">, </w:t>
      </w:r>
      <w:r>
        <w:rPr>
          <w:i/>
          <w:iCs/>
        </w:rPr>
        <w:t>217</w:t>
      </w:r>
      <w:r>
        <w:t xml:space="preserve">(3), 108–124. </w:t>
      </w:r>
      <w:hyperlink r:id="rId28">
        <w:r>
          <w:rPr>
            <w:rStyle w:val="Hyperlink"/>
          </w:rPr>
          <w:t>https://doi.org/10.1027/0044-3409.217.3.108</w:t>
        </w:r>
      </w:hyperlink>
    </w:p>
    <w:p w14:paraId="30895F10" w14:textId="77777777" w:rsidR="00F70B7A" w:rsidRDefault="00000000">
      <w:pPr>
        <w:pStyle w:val="Bibliography"/>
      </w:pPr>
      <w:bookmarkStart w:id="55" w:name="ref-frischkorn2025tutorial"/>
      <w:bookmarkEnd w:id="54"/>
      <w:r>
        <w:t xml:space="preserve">Frischkorn, G. T., &amp; Popov, V. (2025). A tutorial for estimating Bayesian hierarchical mixture models for visual working memory tasks: Introducing the Bayesian Measurement Modeling (bmm) package for R. </w:t>
      </w:r>
      <w:r>
        <w:rPr>
          <w:i/>
          <w:iCs/>
        </w:rPr>
        <w:t>Behavior Research Methods</w:t>
      </w:r>
      <w:r>
        <w:t xml:space="preserve">, </w:t>
      </w:r>
      <w:r>
        <w:rPr>
          <w:i/>
          <w:iCs/>
        </w:rPr>
        <w:t>57</w:t>
      </w:r>
      <w:r>
        <w:t xml:space="preserve">(5), 144. </w:t>
      </w:r>
      <w:hyperlink r:id="rId29">
        <w:r>
          <w:rPr>
            <w:rStyle w:val="Hyperlink"/>
          </w:rPr>
          <w:t>https://doi.org/10.3758/s13428-025-02643-0</w:t>
        </w:r>
      </w:hyperlink>
    </w:p>
    <w:p w14:paraId="2110B65E" w14:textId="77777777" w:rsidR="00F70B7A" w:rsidRDefault="00000000">
      <w:pPr>
        <w:pStyle w:val="Bibliography"/>
      </w:pPr>
      <w:bookmarkStart w:id="56" w:name="ref-gabry2019visualization"/>
      <w:bookmarkEnd w:id="55"/>
      <w:r>
        <w:lastRenderedPageBreak/>
        <w:t xml:space="preserve">Gabry, J., Simpson, D., Vehtari, A., Betancourt, M., &amp; Gelman, A. (2019). Visualization in Bayesian workflow. </w:t>
      </w:r>
      <w:r>
        <w:rPr>
          <w:i/>
          <w:iCs/>
        </w:rPr>
        <w:t>Journal of the Royal Statistical Society: Series A (Statistics in Society)</w:t>
      </w:r>
      <w:r>
        <w:t xml:space="preserve">, </w:t>
      </w:r>
      <w:r>
        <w:rPr>
          <w:i/>
          <w:iCs/>
        </w:rPr>
        <w:t>182</w:t>
      </w:r>
      <w:r>
        <w:t xml:space="preserve">(2), 389–402. </w:t>
      </w:r>
      <w:hyperlink r:id="rId30">
        <w:r>
          <w:rPr>
            <w:rStyle w:val="Hyperlink"/>
          </w:rPr>
          <w:t>https://doi.org/10.1111/rssa.12378</w:t>
        </w:r>
      </w:hyperlink>
    </w:p>
    <w:p w14:paraId="1930E78D" w14:textId="77777777" w:rsidR="00F70B7A" w:rsidRPr="006915B9" w:rsidRDefault="00000000">
      <w:pPr>
        <w:pStyle w:val="Bibliography"/>
        <w:rPr>
          <w:lang w:val="de-CH"/>
        </w:rPr>
      </w:pPr>
      <w:bookmarkStart w:id="57" w:name="ref-gelman1992inference"/>
      <w:bookmarkEnd w:id="56"/>
      <w:r>
        <w:t xml:space="preserve">Gelman, A., &amp; Rubin, D. B. (1992). Inference from iterative simulation using multiple sequences. </w:t>
      </w:r>
      <w:r w:rsidRPr="006915B9">
        <w:rPr>
          <w:i/>
          <w:iCs/>
          <w:lang w:val="de-CH"/>
        </w:rPr>
        <w:t>Statistical Science</w:t>
      </w:r>
      <w:r w:rsidRPr="006915B9">
        <w:rPr>
          <w:lang w:val="de-CH"/>
        </w:rPr>
        <w:t xml:space="preserve">, </w:t>
      </w:r>
      <w:r w:rsidRPr="006915B9">
        <w:rPr>
          <w:i/>
          <w:iCs/>
          <w:lang w:val="de-CH"/>
        </w:rPr>
        <w:t>7</w:t>
      </w:r>
      <w:r w:rsidRPr="006915B9">
        <w:rPr>
          <w:lang w:val="de-CH"/>
        </w:rPr>
        <w:t xml:space="preserve">(4), 457–472. </w:t>
      </w:r>
      <w:hyperlink r:id="rId31">
        <w:r w:rsidRPr="006915B9">
          <w:rPr>
            <w:rStyle w:val="Hyperlink"/>
            <w:lang w:val="de-CH"/>
          </w:rPr>
          <w:t>https://doi.org/10.1214/ss/1177011136</w:t>
        </w:r>
      </w:hyperlink>
    </w:p>
    <w:p w14:paraId="042FD6EE" w14:textId="77777777" w:rsidR="00F70B7A" w:rsidRPr="006915B9" w:rsidRDefault="00000000">
      <w:pPr>
        <w:pStyle w:val="Bibliography"/>
        <w:rPr>
          <w:lang w:val="de-CH"/>
        </w:rPr>
      </w:pPr>
      <w:bookmarkStart w:id="58" w:name="ref-goettmann2025recovery"/>
      <w:bookmarkEnd w:id="57"/>
      <w:proofErr w:type="spellStart"/>
      <w:r w:rsidRPr="006915B9">
        <w:rPr>
          <w:lang w:val="de-CH"/>
        </w:rPr>
        <w:t>Göttmann</w:t>
      </w:r>
      <w:proofErr w:type="spellEnd"/>
      <w:r w:rsidRPr="006915B9">
        <w:rPr>
          <w:lang w:val="de-CH"/>
        </w:rPr>
        <w:t xml:space="preserve">, J., Frischkorn, G. T., Oberauer, K., Schaefer, S. B., &amp; Schubert, A.-L. (2025). </w:t>
      </w:r>
      <w:r>
        <w:rPr>
          <w:i/>
          <w:iCs/>
        </w:rPr>
        <w:t>Modeling individual differences in working memory: Subject-level parameter recovery within the Memory Measurement Model framework (M3)</w:t>
      </w:r>
      <w:r>
        <w:t xml:space="preserve">. </w:t>
      </w:r>
      <w:hyperlink r:id="rId32">
        <w:r w:rsidRPr="006915B9">
          <w:rPr>
            <w:rStyle w:val="Hyperlink"/>
            <w:lang w:val="de-CH"/>
          </w:rPr>
          <w:t>https://doi.org/10.31234/osf.io/945d2</w:t>
        </w:r>
      </w:hyperlink>
    </w:p>
    <w:p w14:paraId="3A551F9C" w14:textId="77777777" w:rsidR="00F70B7A" w:rsidRDefault="00000000">
      <w:pPr>
        <w:pStyle w:val="Bibliography"/>
      </w:pPr>
      <w:bookmarkStart w:id="59" w:name="ref-gronau2017bridge"/>
      <w:bookmarkEnd w:id="58"/>
      <w:r w:rsidRPr="006915B9">
        <w:rPr>
          <w:lang w:val="de-CH"/>
        </w:rPr>
        <w:t xml:space="preserve">Gronau, Q. F., </w:t>
      </w:r>
      <w:proofErr w:type="spellStart"/>
      <w:r w:rsidRPr="006915B9">
        <w:rPr>
          <w:lang w:val="de-CH"/>
        </w:rPr>
        <w:t>Sarafoglou</w:t>
      </w:r>
      <w:proofErr w:type="spellEnd"/>
      <w:r w:rsidRPr="006915B9">
        <w:rPr>
          <w:lang w:val="de-CH"/>
        </w:rPr>
        <w:t xml:space="preserve">, A., Matzke, D., Ly, A., Boehm, U., </w:t>
      </w:r>
      <w:proofErr w:type="spellStart"/>
      <w:r w:rsidRPr="006915B9">
        <w:rPr>
          <w:lang w:val="de-CH"/>
        </w:rPr>
        <w:t>Marsman</w:t>
      </w:r>
      <w:proofErr w:type="spellEnd"/>
      <w:r w:rsidRPr="006915B9">
        <w:rPr>
          <w:lang w:val="de-CH"/>
        </w:rPr>
        <w:t xml:space="preserve">, M., Leslie, D. S., Forster, J. J., </w:t>
      </w:r>
      <w:proofErr w:type="spellStart"/>
      <w:r w:rsidRPr="006915B9">
        <w:rPr>
          <w:lang w:val="de-CH"/>
        </w:rPr>
        <w:t>Wagenmakers</w:t>
      </w:r>
      <w:proofErr w:type="spellEnd"/>
      <w:r w:rsidRPr="006915B9">
        <w:rPr>
          <w:lang w:val="de-CH"/>
        </w:rPr>
        <w:t xml:space="preserve">, E.-J., &amp; </w:t>
      </w:r>
      <w:proofErr w:type="spellStart"/>
      <w:r w:rsidRPr="006915B9">
        <w:rPr>
          <w:lang w:val="de-CH"/>
        </w:rPr>
        <w:t>Steingroever</w:t>
      </w:r>
      <w:proofErr w:type="spellEnd"/>
      <w:r w:rsidRPr="006915B9">
        <w:rPr>
          <w:lang w:val="de-CH"/>
        </w:rPr>
        <w:t xml:space="preserve">, H. (2017). </w:t>
      </w:r>
      <w:r>
        <w:t xml:space="preserve">A tutorial on bridge sampling. </w:t>
      </w:r>
      <w:r>
        <w:rPr>
          <w:i/>
          <w:iCs/>
        </w:rPr>
        <w:t>Journal of Mathematical Psychology</w:t>
      </w:r>
      <w:r>
        <w:t xml:space="preserve">, </w:t>
      </w:r>
      <w:r>
        <w:rPr>
          <w:i/>
          <w:iCs/>
        </w:rPr>
        <w:t>81</w:t>
      </w:r>
      <w:r>
        <w:t xml:space="preserve">, 80–97. </w:t>
      </w:r>
      <w:hyperlink r:id="rId33">
        <w:r>
          <w:rPr>
            <w:rStyle w:val="Hyperlink"/>
          </w:rPr>
          <w:t>https://doi.org/10.1016/j.jmp.2017.09.005</w:t>
        </w:r>
      </w:hyperlink>
    </w:p>
    <w:p w14:paraId="6EAA7185" w14:textId="77777777" w:rsidR="00F70B7A" w:rsidRDefault="00000000">
      <w:pPr>
        <w:pStyle w:val="Bibliography"/>
      </w:pPr>
      <w:bookmarkStart w:id="60" w:name="ref-heck2018treebugs"/>
      <w:bookmarkEnd w:id="59"/>
      <w:r>
        <w:t xml:space="preserve">Heck, D. W., Arnold, N. R., &amp; Arnold, D. (2018). TreeBUGS: An R package for hierarchical multinomial-processing-tree modeling. </w:t>
      </w:r>
      <w:r>
        <w:rPr>
          <w:i/>
          <w:iCs/>
        </w:rPr>
        <w:t>Behavior Research Methods</w:t>
      </w:r>
      <w:r>
        <w:t xml:space="preserve">, </w:t>
      </w:r>
      <w:r>
        <w:rPr>
          <w:i/>
          <w:iCs/>
        </w:rPr>
        <w:t>50</w:t>
      </w:r>
      <w:r>
        <w:t xml:space="preserve">(1), 264–284. </w:t>
      </w:r>
      <w:hyperlink r:id="rId34">
        <w:r>
          <w:rPr>
            <w:rStyle w:val="Hyperlink"/>
          </w:rPr>
          <w:t>https://doi.org/10.3758/s13428-017-0869-7</w:t>
        </w:r>
      </w:hyperlink>
    </w:p>
    <w:p w14:paraId="1BD1F0F5" w14:textId="77777777" w:rsidR="00F70B7A" w:rsidRDefault="00000000">
      <w:pPr>
        <w:pStyle w:val="Bibliography"/>
      </w:pPr>
      <w:bookmarkStart w:id="61" w:name="ref-jacoby1991process"/>
      <w:bookmarkEnd w:id="60"/>
      <w:r>
        <w:t xml:space="preserve">Jacoby, L. L. (1991). A process dissociation framework: Separating automatic from intentional uses of memory. </w:t>
      </w:r>
      <w:r>
        <w:rPr>
          <w:i/>
          <w:iCs/>
        </w:rPr>
        <w:t>Journal of Memory and Language</w:t>
      </w:r>
      <w:r>
        <w:t xml:space="preserve">, </w:t>
      </w:r>
      <w:r>
        <w:rPr>
          <w:i/>
          <w:iCs/>
        </w:rPr>
        <w:t>30</w:t>
      </w:r>
      <w:r>
        <w:t xml:space="preserve">(5), 513–541. </w:t>
      </w:r>
      <w:hyperlink r:id="rId35">
        <w:r>
          <w:rPr>
            <w:rStyle w:val="Hyperlink"/>
          </w:rPr>
          <w:t>https://doi.org/10.1016/0749-596X(91)90025-F</w:t>
        </w:r>
      </w:hyperlink>
    </w:p>
    <w:p w14:paraId="6015A139" w14:textId="77777777" w:rsidR="00F70B7A" w:rsidRDefault="00000000">
      <w:pPr>
        <w:pStyle w:val="Bibliography"/>
      </w:pPr>
      <w:bookmarkStart w:id="62" w:name="ref-li2026filtering"/>
      <w:bookmarkEnd w:id="61"/>
      <w:r>
        <w:t xml:space="preserve">Li, C., Frischkorn, G. T., &amp; Oberauer, K. (2026). Can we process information without encoding it into working memory? </w:t>
      </w:r>
      <w:r>
        <w:rPr>
          <w:i/>
          <w:iCs/>
        </w:rPr>
        <w:t>Journal of Experimental Psychology: Learning, Memory, and Cognition</w:t>
      </w:r>
      <w:r>
        <w:t xml:space="preserve">. </w:t>
      </w:r>
      <w:hyperlink r:id="rId36">
        <w:r>
          <w:rPr>
            <w:rStyle w:val="Hyperlink"/>
          </w:rPr>
          <w:t>https://doi.org/10.1037/xlm0001585</w:t>
        </w:r>
      </w:hyperlink>
    </w:p>
    <w:p w14:paraId="38D6E6B8" w14:textId="77777777" w:rsidR="00F70B7A" w:rsidRDefault="00000000">
      <w:pPr>
        <w:pStyle w:val="Bibliography"/>
      </w:pPr>
      <w:bookmarkStart w:id="63" w:name="ref-luce1959individual"/>
      <w:bookmarkEnd w:id="62"/>
      <w:r>
        <w:t xml:space="preserve">Luce, R. D. (1959). </w:t>
      </w:r>
      <w:r>
        <w:rPr>
          <w:i/>
          <w:iCs/>
        </w:rPr>
        <w:t>Individual choice behavior: A theoretical analysis</w:t>
      </w:r>
      <w:r>
        <w:t>. John Wiley &amp; Sons.</w:t>
      </w:r>
    </w:p>
    <w:p w14:paraId="275DE09C" w14:textId="77777777" w:rsidR="00F70B7A" w:rsidRDefault="00000000">
      <w:pPr>
        <w:pStyle w:val="Bibliography"/>
      </w:pPr>
      <w:bookmarkStart w:id="64" w:name="ref-mcelreath2020statistical"/>
      <w:bookmarkEnd w:id="63"/>
      <w:r>
        <w:lastRenderedPageBreak/>
        <w:t xml:space="preserve">McElreath, R. (2020). </w:t>
      </w:r>
      <w:r>
        <w:rPr>
          <w:i/>
          <w:iCs/>
        </w:rPr>
        <w:t>Statistical rethinking: A Bayesian course with examples in R and Stan</w:t>
      </w:r>
      <w:r>
        <w:t xml:space="preserve"> (2nd ed.). Chapman; Hall/CRC. </w:t>
      </w:r>
      <w:hyperlink r:id="rId37">
        <w:r>
          <w:rPr>
            <w:rStyle w:val="Hyperlink"/>
          </w:rPr>
          <w:t>https://doi.org/10.1201/9780429029608</w:t>
        </w:r>
      </w:hyperlink>
    </w:p>
    <w:p w14:paraId="577E8A40" w14:textId="77777777" w:rsidR="00F70B7A" w:rsidRDefault="00000000">
      <w:pPr>
        <w:pStyle w:val="Bibliography"/>
      </w:pPr>
      <w:bookmarkStart w:id="65" w:name="ref-mcfadden1974conditional"/>
      <w:bookmarkEnd w:id="64"/>
      <w:r>
        <w:t xml:space="preserve">McFadden, D. (1974). Conditional logit analysis of qualitative choice behavior. In P. Zarembka (Ed.), </w:t>
      </w:r>
      <w:r>
        <w:rPr>
          <w:i/>
          <w:iCs/>
        </w:rPr>
        <w:t>Frontiers in econometrics</w:t>
      </w:r>
      <w:r>
        <w:t xml:space="preserve"> (pp. 105–142). Academic Press.</w:t>
      </w:r>
    </w:p>
    <w:p w14:paraId="2C8AA154" w14:textId="77777777" w:rsidR="00F70B7A" w:rsidRDefault="00000000">
      <w:pPr>
        <w:pStyle w:val="Bibliography"/>
      </w:pPr>
      <w:bookmarkStart w:id="66" w:name="ref-oberauer2019bindings"/>
      <w:bookmarkEnd w:id="65"/>
      <w:r>
        <w:t xml:space="preserve">Oberauer, K. (2019). Working memory capacity limits memory for bindings. </w:t>
      </w:r>
      <w:r>
        <w:rPr>
          <w:i/>
          <w:iCs/>
        </w:rPr>
        <w:t>Journal of Cognition</w:t>
      </w:r>
      <w:r>
        <w:t xml:space="preserve">, </w:t>
      </w:r>
      <w:r>
        <w:rPr>
          <w:i/>
          <w:iCs/>
        </w:rPr>
        <w:t>2</w:t>
      </w:r>
      <w:r>
        <w:t xml:space="preserve">(1), 40. </w:t>
      </w:r>
      <w:hyperlink r:id="rId38">
        <w:r>
          <w:rPr>
            <w:rStyle w:val="Hyperlink"/>
          </w:rPr>
          <w:t>https://doi.org/10.5334/joc.86</w:t>
        </w:r>
      </w:hyperlink>
    </w:p>
    <w:p w14:paraId="5D5BD274" w14:textId="77777777" w:rsidR="00F70B7A" w:rsidRDefault="00000000">
      <w:pPr>
        <w:pStyle w:val="Bibliography"/>
      </w:pPr>
      <w:bookmarkStart w:id="67" w:name="ref-oberauer2023measurement"/>
      <w:bookmarkEnd w:id="66"/>
      <w:r>
        <w:t xml:space="preserve">Oberauer, K. (2023). Measurement models for visual working memory—A factorial model comparison. </w:t>
      </w:r>
      <w:r>
        <w:rPr>
          <w:i/>
          <w:iCs/>
        </w:rPr>
        <w:t>Psychological Review</w:t>
      </w:r>
      <w:r>
        <w:t xml:space="preserve">, </w:t>
      </w:r>
      <w:r>
        <w:rPr>
          <w:i/>
          <w:iCs/>
        </w:rPr>
        <w:t>130</w:t>
      </w:r>
      <w:r>
        <w:t xml:space="preserve">(3), 841–852. </w:t>
      </w:r>
      <w:hyperlink r:id="rId39">
        <w:r>
          <w:rPr>
            <w:rStyle w:val="Hyperlink"/>
          </w:rPr>
          <w:t>https://doi.org/10.1037/rev0000328</w:t>
        </w:r>
      </w:hyperlink>
    </w:p>
    <w:p w14:paraId="26A59C29" w14:textId="77777777" w:rsidR="00F70B7A" w:rsidRDefault="00000000">
      <w:pPr>
        <w:pStyle w:val="Bibliography"/>
      </w:pPr>
      <w:bookmarkStart w:id="68" w:name="ref-oberauer2019simple"/>
      <w:bookmarkEnd w:id="67"/>
      <w:r>
        <w:t xml:space="preserve">Oberauer, K., &amp; Lewandowsky, S. (2019). Simple measurement models for complex working-memory tasks. </w:t>
      </w:r>
      <w:r>
        <w:rPr>
          <w:i/>
          <w:iCs/>
        </w:rPr>
        <w:t>Psychological Review</w:t>
      </w:r>
      <w:r>
        <w:t xml:space="preserve">, </w:t>
      </w:r>
      <w:r>
        <w:rPr>
          <w:i/>
          <w:iCs/>
        </w:rPr>
        <w:t>126</w:t>
      </w:r>
      <w:r>
        <w:t xml:space="preserve">(6), 880–932. </w:t>
      </w:r>
      <w:hyperlink r:id="rId40">
        <w:r>
          <w:rPr>
            <w:rStyle w:val="Hyperlink"/>
          </w:rPr>
          <w:t>https://doi.org/10.1037/rev0000159</w:t>
        </w:r>
      </w:hyperlink>
    </w:p>
    <w:p w14:paraId="3A649993" w14:textId="77777777" w:rsidR="00F70B7A" w:rsidRPr="006915B9" w:rsidRDefault="00000000">
      <w:pPr>
        <w:pStyle w:val="Bibliography"/>
        <w:rPr>
          <w:lang w:val="de-CH"/>
        </w:rPr>
      </w:pPr>
      <w:bookmarkStart w:id="69" w:name="ref-oberauer2018benchmarks"/>
      <w:bookmarkEnd w:id="68"/>
      <w:r>
        <w:t xml:space="preserve">Oberauer, K., Lewandowsky, S., Awh, E., Brown, G. D. A., Conway, A., Cowan, N., Donkin, C., Farrell, S., Hitch, G. J., Hurlstone, M. J., Ma, W. J., Morey, C. C., Nee, D. E., Schweppe, J., Vergauwe, E., &amp; Ward, G. (2018). Benchmarks for models of short-term and working memory. </w:t>
      </w:r>
      <w:r>
        <w:rPr>
          <w:i/>
          <w:iCs/>
        </w:rPr>
        <w:t>Psychological Bulletin</w:t>
      </w:r>
      <w:r>
        <w:t xml:space="preserve">, </w:t>
      </w:r>
      <w:r>
        <w:rPr>
          <w:i/>
          <w:iCs/>
        </w:rPr>
        <w:t>144</w:t>
      </w:r>
      <w:r>
        <w:t xml:space="preserve">(9), 885–958. </w:t>
      </w:r>
      <w:hyperlink r:id="rId41">
        <w:r w:rsidRPr="006915B9">
          <w:rPr>
            <w:rStyle w:val="Hyperlink"/>
            <w:lang w:val="de-CH"/>
          </w:rPr>
          <w:t>https://doi.org/10.1037/bul0000153</w:t>
        </w:r>
      </w:hyperlink>
    </w:p>
    <w:p w14:paraId="40647D96" w14:textId="77777777" w:rsidR="00F70B7A" w:rsidRDefault="00000000">
      <w:pPr>
        <w:pStyle w:val="Bibliography"/>
      </w:pPr>
      <w:bookmarkStart w:id="70" w:name="ref-bmm2025"/>
      <w:bookmarkEnd w:id="69"/>
      <w:r w:rsidRPr="006915B9">
        <w:rPr>
          <w:lang w:val="de-CH"/>
        </w:rPr>
        <w:t xml:space="preserve">Popov, V., Frischkorn, G. T., Li, C., &amp; Bürkner, P.-C. (2025). </w:t>
      </w:r>
      <w:proofErr w:type="spellStart"/>
      <w:r>
        <w:rPr>
          <w:i/>
          <w:iCs/>
        </w:rPr>
        <w:t>Bmm</w:t>
      </w:r>
      <w:proofErr w:type="spellEnd"/>
      <w:r>
        <w:rPr>
          <w:i/>
          <w:iCs/>
        </w:rPr>
        <w:t>: Easy and accessible Bayesian measurement models using ’brms’</w:t>
      </w:r>
      <w:r>
        <w:t xml:space="preserve">. </w:t>
      </w:r>
      <w:hyperlink r:id="rId42">
        <w:r>
          <w:rPr>
            <w:rStyle w:val="Hyperlink"/>
          </w:rPr>
          <w:t>https://doi.org/10.32614/CRAN.package.bmm</w:t>
        </w:r>
      </w:hyperlink>
    </w:p>
    <w:p w14:paraId="6A32AD85" w14:textId="77777777" w:rsidR="00F70B7A" w:rsidRDefault="00000000">
      <w:pPr>
        <w:pStyle w:val="Bibliography"/>
      </w:pPr>
      <w:bookmarkStart w:id="71" w:name="ref-roe2001multialternative"/>
      <w:bookmarkEnd w:id="70"/>
      <w:r>
        <w:t xml:space="preserve">Roe, R. M., Busemeyer, J. R., &amp; Townsend, J. T. (2001). Multialternative decision field theory: A dynamic connectionist model of decision making. </w:t>
      </w:r>
      <w:r>
        <w:rPr>
          <w:i/>
          <w:iCs/>
        </w:rPr>
        <w:t>Psychological Review</w:t>
      </w:r>
      <w:r>
        <w:t xml:space="preserve">, </w:t>
      </w:r>
      <w:r>
        <w:rPr>
          <w:i/>
          <w:iCs/>
        </w:rPr>
        <w:t>108</w:t>
      </w:r>
      <w:r>
        <w:t xml:space="preserve">(2), 370–392. </w:t>
      </w:r>
      <w:hyperlink r:id="rId43">
        <w:r>
          <w:rPr>
            <w:rStyle w:val="Hyperlink"/>
          </w:rPr>
          <w:t>https://doi.org/10.1037/0033-295X.108.2.370</w:t>
        </w:r>
      </w:hyperlink>
    </w:p>
    <w:p w14:paraId="3537B2D7" w14:textId="77777777" w:rsidR="00F70B7A" w:rsidRDefault="00000000">
      <w:pPr>
        <w:pStyle w:val="Bibliography"/>
      </w:pPr>
      <w:bookmarkStart w:id="72" w:name="ref-schad2021toward"/>
      <w:bookmarkEnd w:id="71"/>
      <w:r>
        <w:lastRenderedPageBreak/>
        <w:t xml:space="preserve">Schad, D. J., Betancourt, M., &amp; Vasishth, S. (2021). Toward a principled Bayesian workflow in cognitive science. </w:t>
      </w:r>
      <w:r>
        <w:rPr>
          <w:i/>
          <w:iCs/>
        </w:rPr>
        <w:t>Psychological Methods</w:t>
      </w:r>
      <w:r>
        <w:t xml:space="preserve">, </w:t>
      </w:r>
      <w:r>
        <w:rPr>
          <w:i/>
          <w:iCs/>
        </w:rPr>
        <w:t>26</w:t>
      </w:r>
      <w:r>
        <w:t xml:space="preserve">(1), 103–126. </w:t>
      </w:r>
      <w:hyperlink r:id="rId44">
        <w:r>
          <w:rPr>
            <w:rStyle w:val="Hyperlink"/>
          </w:rPr>
          <w:t>https://doi.org/10.1037/met0000275</w:t>
        </w:r>
      </w:hyperlink>
    </w:p>
    <w:p w14:paraId="34D4AEAF" w14:textId="77777777" w:rsidR="00F70B7A" w:rsidRDefault="00000000">
      <w:pPr>
        <w:pStyle w:val="Bibliography"/>
      </w:pPr>
      <w:bookmarkStart w:id="73" w:name="ref-talts2018validating"/>
      <w:bookmarkEnd w:id="72"/>
      <w:r>
        <w:t xml:space="preserve">Talts, S., Betancourt, M., Simpson, D., Vehtari, A., &amp; Gelman, A. (2018). </w:t>
      </w:r>
      <w:r>
        <w:rPr>
          <w:i/>
          <w:iCs/>
        </w:rPr>
        <w:t>Validating Bayesian inference algorithms with simulation-based calibration</w:t>
      </w:r>
      <w:r>
        <w:t xml:space="preserve">. </w:t>
      </w:r>
      <w:hyperlink r:id="rId45">
        <w:r>
          <w:rPr>
            <w:rStyle w:val="Hyperlink"/>
          </w:rPr>
          <w:t>https://arxiv.org/abs/1804.06788</w:t>
        </w:r>
      </w:hyperlink>
    </w:p>
    <w:p w14:paraId="5E3E3B7A" w14:textId="77777777" w:rsidR="00F70B7A" w:rsidRDefault="00000000">
      <w:pPr>
        <w:pStyle w:val="Bibliography"/>
      </w:pPr>
      <w:bookmarkStart w:id="74" w:name="ref-thurstone1927law"/>
      <w:bookmarkEnd w:id="73"/>
      <w:r>
        <w:t xml:space="preserve">Thurstone, L. L. (1927). A law of comparative judgment. </w:t>
      </w:r>
      <w:r>
        <w:rPr>
          <w:i/>
          <w:iCs/>
        </w:rPr>
        <w:t>Psychological Review</w:t>
      </w:r>
      <w:r>
        <w:t xml:space="preserve">, </w:t>
      </w:r>
      <w:r>
        <w:rPr>
          <w:i/>
          <w:iCs/>
        </w:rPr>
        <w:t>34</w:t>
      </w:r>
      <w:r>
        <w:t xml:space="preserve">(4), 273–286. </w:t>
      </w:r>
      <w:hyperlink r:id="rId46">
        <w:r>
          <w:rPr>
            <w:rStyle w:val="Hyperlink"/>
          </w:rPr>
          <w:t>https://doi.org/10.1037/h0070288</w:t>
        </w:r>
      </w:hyperlink>
    </w:p>
    <w:p w14:paraId="147C913D" w14:textId="77777777" w:rsidR="00F70B7A" w:rsidRDefault="00000000">
      <w:pPr>
        <w:pStyle w:val="Bibliography"/>
      </w:pPr>
      <w:bookmarkStart w:id="75" w:name="ref-wilson2019ten"/>
      <w:bookmarkEnd w:id="74"/>
      <w:r>
        <w:t xml:space="preserve">Wilson, R. C., &amp; Collins, A. G. E. (2019). Ten simple rules for the computational modeling of behavioral data. </w:t>
      </w:r>
      <w:r>
        <w:rPr>
          <w:i/>
          <w:iCs/>
        </w:rPr>
        <w:t>eLife</w:t>
      </w:r>
      <w:r>
        <w:t xml:space="preserve">, </w:t>
      </w:r>
      <w:r>
        <w:rPr>
          <w:i/>
          <w:iCs/>
        </w:rPr>
        <w:t>8</w:t>
      </w:r>
      <w:r>
        <w:t xml:space="preserve">, e49547. </w:t>
      </w:r>
      <w:hyperlink r:id="rId47">
        <w:r>
          <w:rPr>
            <w:rStyle w:val="Hyperlink"/>
          </w:rPr>
          <w:t>https://doi.org/10.7554/eLife.49547</w:t>
        </w:r>
      </w:hyperlink>
    </w:p>
    <w:p w14:paraId="09DC8371" w14:textId="77777777" w:rsidR="00F70B7A" w:rsidRDefault="00000000">
      <w:pPr>
        <w:pStyle w:val="Bibliography"/>
      </w:pPr>
      <w:bookmarkStart w:id="76" w:name="ref-yellott1977relationship"/>
      <w:bookmarkEnd w:id="75"/>
      <w:r>
        <w:t xml:space="preserve">Yellott, Jr., John I. (1977). The relationship between Luce’s choice axiom, Thurstone’s theory of comparative judgment, and the double exponential distribution. </w:t>
      </w:r>
      <w:r>
        <w:rPr>
          <w:i/>
          <w:iCs/>
        </w:rPr>
        <w:t>Journal of Mathematical Psychology</w:t>
      </w:r>
      <w:r>
        <w:t xml:space="preserve">, </w:t>
      </w:r>
      <w:r>
        <w:rPr>
          <w:i/>
          <w:iCs/>
        </w:rPr>
        <w:t>15</w:t>
      </w:r>
      <w:r>
        <w:t xml:space="preserve">(2), 109–144. </w:t>
      </w:r>
      <w:hyperlink r:id="rId48">
        <w:r>
          <w:rPr>
            <w:rStyle w:val="Hyperlink"/>
          </w:rPr>
          <w:t>https://doi.org/10.1016/0022-2496(77)90026-8</w:t>
        </w:r>
      </w:hyperlink>
    </w:p>
    <w:p w14:paraId="6BAB34F4" w14:textId="52245D48" w:rsidR="0027575C" w:rsidRDefault="00000000">
      <w:pPr>
        <w:pStyle w:val="Bibliography"/>
      </w:pPr>
      <w:bookmarkStart w:id="77" w:name="ref-yonelinas2012process"/>
      <w:bookmarkEnd w:id="76"/>
      <w:r>
        <w:t xml:space="preserve">Yonelinas, A. P., &amp; Jacoby, L. L. (2012). The process-dissociation approach two decades later: Convergence, boundary conditions, and new directions. </w:t>
      </w:r>
      <w:r>
        <w:rPr>
          <w:i/>
          <w:iCs/>
        </w:rPr>
        <w:t>Memory &amp; Cognition</w:t>
      </w:r>
      <w:r>
        <w:t xml:space="preserve">, </w:t>
      </w:r>
      <w:r>
        <w:rPr>
          <w:i/>
          <w:iCs/>
        </w:rPr>
        <w:t>40</w:t>
      </w:r>
      <w:r>
        <w:t xml:space="preserve">(5), 663–680. </w:t>
      </w:r>
      <w:hyperlink r:id="rId49">
        <w:r>
          <w:rPr>
            <w:rStyle w:val="Hyperlink"/>
          </w:rPr>
          <w:t>https://doi.org/10.3758/s13421-012-0205-5</w:t>
        </w:r>
      </w:hyperlink>
    </w:p>
    <w:p w14:paraId="581B6520" w14:textId="77777777" w:rsidR="0027575C" w:rsidRDefault="0027575C">
      <w:pPr>
        <w:spacing w:after="200" w:line="240" w:lineRule="auto"/>
      </w:pPr>
      <w:r>
        <w:br w:type="page"/>
      </w:r>
    </w:p>
    <w:p w14:paraId="42CE3806" w14:textId="4729BC83" w:rsidR="0027575C" w:rsidRDefault="0027575C" w:rsidP="0027575C">
      <w:pPr>
        <w:pStyle w:val="Heading1"/>
      </w:pPr>
      <w:r>
        <w:lastRenderedPageBreak/>
        <w:t>Appendix: Memory Updating</w:t>
      </w:r>
      <w:r w:rsidR="00BB6CCB">
        <w:t>:</w:t>
      </w:r>
      <w:r>
        <w:t xml:space="preserve"> A More Complex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7C481744" w14:textId="77777777" w:rsidR="0027575C" w:rsidRDefault="0027575C" w:rsidP="0027575C">
      <w:pPr>
        <w:pStyle w:val="FirstParagraph"/>
      </w:pPr>
      <w:r>
        <w:t xml:space="preserve">To illustrate how custom specifications can accommodate more complex task designs, we present a memory updating example based on </w:t>
      </w:r>
      <w:proofErr w:type="spellStart"/>
      <w:r>
        <w:t>Oberauer</w:t>
      </w:r>
      <w:proofErr w:type="spellEnd"/>
      <w:r>
        <w:t xml:space="preserve"> and Lewandowsky (</w:t>
      </w:r>
      <w:hyperlink w:anchor="ref-oberauer2019simple">
        <w:r>
          <w:rPr>
            <w:rStyle w:val="Hyperlink"/>
          </w:rPr>
          <w:t>2019</w:t>
        </w:r>
      </w:hyperlink>
      <w:r>
        <w:t xml:space="preserve">). Unlike the filtering example in Tutorial 3 (which modifies only the distractor categories of the </w:t>
      </w:r>
      <w:r>
        <w:rPr>
          <w:rStyle w:val="VerbatimChar"/>
        </w:rPr>
        <w:t>cs</w:t>
      </w:r>
      <w:r>
        <w:t xml:space="preserve"> version), this example introduces entirely new response categories, nonlinear activation formulas with design variables, and three additional parameters beyond </w:t>
      </w:r>
      <m:oMath>
        <m:r>
          <w:rPr>
            <w:rFonts w:ascii="Cambria Math" w:hAnsi="Cambria Math"/>
          </w:rPr>
          <m:t>a</m:t>
        </m:r>
      </m:oMath>
      <w:r>
        <w:t xml:space="preserve"> and </w:t>
      </w:r>
      <m:oMath>
        <m:r>
          <w:rPr>
            <w:rFonts w:ascii="Cambria Math" w:hAnsi="Cambria Math"/>
          </w:rPr>
          <m:t>c</m:t>
        </m:r>
      </m:oMath>
      <w:r>
        <w:t>.</w:t>
      </w:r>
    </w:p>
    <w:p w14:paraId="74B18AC7" w14:textId="77777777" w:rsidR="0027575C" w:rsidRDefault="0027575C" w:rsidP="0027575C">
      <w:pPr>
        <w:pStyle w:val="BodyText"/>
      </w:pPr>
      <w:r>
        <w:t>In this task, participants memorize items at five positions, then each position is updated once. At test, participants identify the current target from a recognition set containing: the current target (1 option), other current items (4), the replaced item from the tested position (1), replaced items from other positions (4), and not-presented lures (5). This produces five response categories with the following activation formulas:</w:t>
      </w:r>
    </w:p>
    <w:p w14:paraId="5A25F6E4" w14:textId="77777777" w:rsidR="0027575C" w:rsidRDefault="0027575C" w:rsidP="0027575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w:proofErr w:type="spellStart"/>
                    <m:r>
                      <m:rPr>
                        <m:nor/>
                      </m:rPr>
                      <m:t>oldinpos</m:t>
                    </m:r>
                    <w:proofErr w:type="spellEnd"/>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w:proofErr w:type="spellStart"/>
                    <m:r>
                      <m:rPr>
                        <m:nor/>
                      </m:rPr>
                      <m:t>otherold</m:t>
                    </m:r>
                    <w:proofErr w:type="spellEnd"/>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7D7D79BE" w14:textId="77777777" w:rsidR="0027575C" w:rsidRDefault="0027575C" w:rsidP="0027575C">
      <w:pPr>
        <w:pStyle w:val="FirstParagraph"/>
      </w:pPr>
      <w:r>
        <w:t xml:space="preserve">Three new parameters appear: </w:t>
      </w:r>
      <m:oMath>
        <m:r>
          <w:rPr>
            <w:rFonts w:ascii="Cambria Math" w:hAnsi="Cambria Math"/>
          </w:rPr>
          <m:t>d</m:t>
        </m:r>
      </m:oMath>
      <w:r>
        <w:t xml:space="preserve"> captures the residual activation of replaced items (logit link, bounded 0–1), </w:t>
      </w:r>
      <m:oMath>
        <m:r>
          <w:rPr>
            <w:rFonts w:ascii="Cambria Math" w:hAnsi="Cambria Math"/>
          </w:rPr>
          <m:t>e</m:t>
        </m:r>
      </m:oMath>
      <w:r>
        <w:t xml:space="preserve"> scales the benefit of extended encoding time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(log link, positive), and </w:t>
      </w:r>
      <m:oMath>
        <m:r>
          <w:rPr>
            <w:rFonts w:ascii="Cambria Math" w:hAnsi="Cambria Math"/>
          </w:rPr>
          <m:t>r</m:t>
        </m:r>
      </m:oMath>
      <w:r>
        <w:t xml:space="preserve"> governs how quickly old-item activation decays with removal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(log link, positive). The terms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are experimentally manipulated design variables (each at 0.25, 0.5, and 1.0 s), producing a </w:t>
      </w:r>
      <m:oMath>
        <m:r>
          <w:rPr>
            <w:rFonts w:ascii="Cambria Math" w:hAnsi="Cambria Math"/>
          </w:rPr>
          <m:t>3</m:t>
        </m:r>
        <m:r>
          <m:rPr>
            <m:sty m:val="p"/>
          </m:rPr>
          <w:rPr>
            <w:rFonts w:ascii="Cambria Math" w:hAnsi="Cambria Math"/>
          </w:rPr>
          <m:t>×</m:t>
        </m:r>
        <m:r>
          <w:rPr>
            <w:rFonts w:ascii="Cambria Math" w:hAnsi="Cambria Math"/>
          </w:rPr>
          <m:t>3</m:t>
        </m:r>
      </m:oMath>
      <w:r>
        <w:t xml:space="preserve"> within-subjects design with 9 conditions.</w:t>
      </w:r>
    </w:p>
    <w:p w14:paraId="51B463F6" w14:textId="77777777" w:rsidR="0027575C" w:rsidRDefault="0027575C" w:rsidP="0027575C">
      <w:pPr>
        <w:pStyle w:val="BodyText"/>
      </w:pPr>
      <w:r>
        <w:t xml:space="preserve">The model definition in </w:t>
      </w:r>
      <w:proofErr w:type="spellStart"/>
      <w:r>
        <w:rPr>
          <w:rStyle w:val="VerbatimChar"/>
        </w:rPr>
        <w:t>bmm</w:t>
      </w:r>
      <w:proofErr w:type="spellEnd"/>
      <w:r>
        <w:t>:</w:t>
      </w:r>
    </w:p>
    <w:p w14:paraId="106BAA77" w14:textId="77777777" w:rsidR="0027575C" w:rsidRDefault="0027575C" w:rsidP="0027575C">
      <w:pPr>
        <w:pStyle w:val="SourceCode"/>
        <w:spacing w:line="240" w:lineRule="auto"/>
      </w:pPr>
      <w:r>
        <w:rPr>
          <w:rStyle w:val="NormalTok"/>
        </w:rPr>
        <w:t xml:space="preserve">m3_model_updating </w:t>
      </w:r>
      <w:r>
        <w:rPr>
          <w:rStyle w:val="OtherTok"/>
        </w:rPr>
        <w:t>&lt;-</w:t>
      </w:r>
      <w:r>
        <w:rPr>
          <w:rStyle w:val="NormalTok"/>
        </w:rPr>
        <w:t xml:space="preserve"> </w:t>
      </w:r>
      <w:r>
        <w:rPr>
          <w:rStyle w:val="FunctionTok"/>
        </w:rPr>
        <w:t>m3</w:t>
      </w:r>
      <w:r>
        <w:rPr>
          <w:rStyle w:val="NormalTok"/>
        </w:rPr>
        <w:t>(</w:t>
      </w:r>
      <w:r>
        <w:br/>
      </w:r>
      <w:r>
        <w:rPr>
          <w:rStyle w:val="NormalTok"/>
        </w:rPr>
        <w:t xml:space="preserve">  </w:t>
      </w:r>
      <w:proofErr w:type="spellStart"/>
      <w:r>
        <w:rPr>
          <w:rStyle w:val="AttributeTok"/>
        </w:rPr>
        <w:t>resp_cats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"correct"</w:t>
      </w:r>
      <w:r>
        <w:rPr>
          <w:rStyle w:val="NormalTok"/>
        </w:rPr>
        <w:t xml:space="preserve">, </w:t>
      </w:r>
      <w:r>
        <w:rPr>
          <w:rStyle w:val="StringTok"/>
        </w:rPr>
        <w:t>"other"</w:t>
      </w:r>
      <w:r>
        <w:rPr>
          <w:rStyle w:val="NormalTok"/>
        </w:rPr>
        <w:t xml:space="preserve">, </w:t>
      </w:r>
      <w:r>
        <w:rPr>
          <w:rStyle w:val="StringTok"/>
        </w:rPr>
        <w:t>"</w:t>
      </w:r>
      <w:proofErr w:type="spellStart"/>
      <w:r>
        <w:rPr>
          <w:rStyle w:val="StringTok"/>
        </w:rPr>
        <w:t>oldinpos</w:t>
      </w:r>
      <w:proofErr w:type="spellEnd"/>
      <w:r>
        <w:rPr>
          <w:rStyle w:val="StringTok"/>
        </w:rPr>
        <w:t>"</w:t>
      </w:r>
      <w:r>
        <w:rPr>
          <w:rStyle w:val="NormalTok"/>
        </w:rPr>
        <w:t xml:space="preserve">, </w:t>
      </w:r>
      <w:r>
        <w:rPr>
          <w:rStyle w:val="StringTok"/>
        </w:rPr>
        <w:t>"</w:t>
      </w:r>
      <w:proofErr w:type="spellStart"/>
      <w:r>
        <w:rPr>
          <w:rStyle w:val="StringTok"/>
        </w:rPr>
        <w:t>otherold</w:t>
      </w:r>
      <w:proofErr w:type="spellEnd"/>
      <w:r>
        <w:rPr>
          <w:rStyle w:val="StringTok"/>
        </w:rPr>
        <w:t>"</w:t>
      </w:r>
      <w:r>
        <w:rPr>
          <w:rStyle w:val="NormalTok"/>
        </w:rPr>
        <w:t xml:space="preserve">, </w:t>
      </w:r>
      <w:r>
        <w:rPr>
          <w:rStyle w:val="StringTok"/>
        </w:rPr>
        <w:t>"</w:t>
      </w:r>
      <w:proofErr w:type="spellStart"/>
      <w:r>
        <w:rPr>
          <w:rStyle w:val="StringTok"/>
        </w:rPr>
        <w:t>npl</w:t>
      </w:r>
      <w:proofErr w:type="spellEnd"/>
      <w:r>
        <w:rPr>
          <w:rStyle w:val="StringTok"/>
        </w:rPr>
        <w:t>"</w:t>
      </w:r>
      <w:r>
        <w:rPr>
          <w:rStyle w:val="NormalTok"/>
        </w:rPr>
        <w:t>),</w:t>
      </w:r>
      <w:r>
        <w:br/>
      </w:r>
      <w:r>
        <w:rPr>
          <w:rStyle w:val="NormalTok"/>
        </w:rPr>
        <w:t xml:space="preserve">  </w:t>
      </w:r>
      <w:proofErr w:type="spellStart"/>
      <w:r>
        <w:rPr>
          <w:rStyle w:val="AttributeTok"/>
        </w:rPr>
        <w:t>num_options</w:t>
      </w:r>
      <w:proofErr w:type="spellEnd"/>
      <w:r>
        <w:rPr>
          <w:rStyle w:val="AttributeTok"/>
        </w:rPr>
        <w:t xml:space="preserve"> =</w:t>
      </w:r>
      <w:r>
        <w:rPr>
          <w:rStyle w:val="NormalTok"/>
        </w:rPr>
        <w:t xml:space="preserve"> </w:t>
      </w:r>
      <w:r>
        <w:rPr>
          <w:rStyle w:val="FunctionTok"/>
        </w:rPr>
        <w:t>c</w:t>
      </w:r>
      <w:r>
        <w:rPr>
          <w:rStyle w:val="NormalTok"/>
        </w:rPr>
        <w:t>(</w:t>
      </w:r>
      <w:r>
        <w:br/>
      </w:r>
      <w:r>
        <w:rPr>
          <w:rStyle w:val="NormalTok"/>
        </w:rPr>
        <w:t xml:space="preserve">    </w:t>
      </w:r>
      <w:r>
        <w:rPr>
          <w:rStyle w:val="StringTok"/>
        </w:rPr>
        <w:t>"</w:t>
      </w:r>
      <w:proofErr w:type="spellStart"/>
      <w:r>
        <w:rPr>
          <w:rStyle w:val="StringTok"/>
        </w:rPr>
        <w:t>n_correct</w:t>
      </w:r>
      <w:proofErr w:type="spellEnd"/>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 xml:space="preserve">, </w:t>
      </w:r>
      <w:r>
        <w:rPr>
          <w:rStyle w:val="StringTok"/>
        </w:rPr>
        <w:t>"</w:t>
      </w:r>
      <w:proofErr w:type="spellStart"/>
      <w:r>
        <w:rPr>
          <w:rStyle w:val="StringTok"/>
        </w:rPr>
        <w:t>n_other</w:t>
      </w:r>
      <w:proofErr w:type="spellEnd"/>
      <w:r>
        <w:rPr>
          <w:rStyle w:val="StringTok"/>
        </w:rPr>
        <w:t>"</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w:t>
      </w:r>
      <w:proofErr w:type="spellStart"/>
      <w:r>
        <w:rPr>
          <w:rStyle w:val="StringTok"/>
        </w:rPr>
        <w:t>n_oldinpos</w:t>
      </w:r>
      <w:proofErr w:type="spellEnd"/>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proofErr w:type="spellStart"/>
      <w:r>
        <w:rPr>
          <w:rStyle w:val="StringTok"/>
        </w:rPr>
        <w:t>n_otherold</w:t>
      </w:r>
      <w:proofErr w:type="spellEnd"/>
      <w:r>
        <w:rPr>
          <w:rStyle w:val="StringTok"/>
        </w:rPr>
        <w:t>"</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w:t>
      </w:r>
      <w:proofErr w:type="spellStart"/>
      <w:r>
        <w:rPr>
          <w:rStyle w:val="StringTok"/>
        </w:rPr>
        <w:t>n_npl</w:t>
      </w:r>
      <w:proofErr w:type="spellEnd"/>
      <w:r>
        <w:rPr>
          <w:rStyle w:val="StringTok"/>
        </w:rPr>
        <w:t>"</w:t>
      </w:r>
      <w:r>
        <w:rPr>
          <w:rStyle w:val="NormalTok"/>
        </w:rPr>
        <w:t xml:space="preserve"> </w:t>
      </w:r>
      <w:r>
        <w:rPr>
          <w:rStyle w:val="OtherTok"/>
        </w:rPr>
        <w:t>=</w:t>
      </w:r>
      <w:r>
        <w:rPr>
          <w:rStyle w:val="NormalTok"/>
        </w:rPr>
        <w:t xml:space="preserve"> </w:t>
      </w:r>
      <w:r>
        <w:rPr>
          <w:rStyle w:val="DecValTok"/>
        </w:rPr>
        <w:t>5</w:t>
      </w:r>
      <w:r>
        <w:br/>
      </w:r>
      <w:r>
        <w:rPr>
          <w:rStyle w:val="NormalTok"/>
        </w:rPr>
        <w:lastRenderedPageBreak/>
        <w:t xml:space="preserve">  ),</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proofErr w:type="spellStart"/>
      <w:r>
        <w:rPr>
          <w:rStyle w:val="AttributeTok"/>
        </w:rPr>
        <w:t>choice_rule</w:t>
      </w:r>
      <w:proofErr w:type="spellEnd"/>
      <w:r>
        <w:rPr>
          <w:rStyle w:val="AttributeTok"/>
        </w:rPr>
        <w:t xml:space="preserve"> =</w:t>
      </w:r>
      <w:r>
        <w:rPr>
          <w:rStyle w:val="NormalTok"/>
        </w:rPr>
        <w:t xml:space="preserve"> </w:t>
      </w:r>
      <w:r>
        <w:rPr>
          <w:rStyle w:val="StringTok"/>
        </w:rPr>
        <w:t>"</w:t>
      </w:r>
      <w:proofErr w:type="spellStart"/>
      <w:r>
        <w:rPr>
          <w:rStyle w:val="StringTok"/>
        </w:rPr>
        <w:t>softmax</w:t>
      </w:r>
      <w:proofErr w:type="spellEnd"/>
      <w:r>
        <w:rPr>
          <w:rStyle w:val="StringTok"/>
        </w:rPr>
        <w:t>"</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d =</w:t>
      </w:r>
      <w:r>
        <w:rPr>
          <w:rStyle w:val="NormalTok"/>
        </w:rPr>
        <w:t xml:space="preserve"> </w:t>
      </w:r>
      <w:r>
        <w:rPr>
          <w:rStyle w:val="StringTok"/>
        </w:rPr>
        <w:t>"logit"</w:t>
      </w:r>
      <w:r>
        <w:rPr>
          <w:rStyle w:val="NormalTok"/>
        </w:rPr>
        <w:t xml:space="preserve">, </w:t>
      </w:r>
      <w:r>
        <w:rPr>
          <w:rStyle w:val="AttributeTok"/>
        </w:rPr>
        <w:t>e =</w:t>
      </w:r>
      <w:r>
        <w:rPr>
          <w:rStyle w:val="NormalTok"/>
        </w:rPr>
        <w:t xml:space="preserve"> </w:t>
      </w:r>
      <w:r>
        <w:rPr>
          <w:rStyle w:val="StringTok"/>
        </w:rPr>
        <w:t>"log"</w:t>
      </w:r>
      <w:r>
        <w:rPr>
          <w:rStyle w:val="NormalTok"/>
        </w:rPr>
        <w:t xml:space="preserve">, </w:t>
      </w:r>
      <w:r>
        <w:rPr>
          <w:rStyle w:val="AttributeTok"/>
        </w:rPr>
        <w:t>r =</w:t>
      </w:r>
      <w:r>
        <w:rPr>
          <w:rStyle w:val="NormalTok"/>
        </w:rPr>
        <w:t xml:space="preserve"> </w:t>
      </w:r>
      <w:r>
        <w:rPr>
          <w:rStyle w:val="StringTok"/>
        </w:rPr>
        <w:t>"log"</w:t>
      </w:r>
      <w:r>
        <w:br/>
      </w:r>
      <w:r>
        <w:rPr>
          <w:rStyle w:val="NormalTok"/>
        </w:rPr>
        <w:t xml:space="preserve">  )</w:t>
      </w:r>
      <w:r>
        <w:br/>
      </w:r>
      <w:r>
        <w:rPr>
          <w:rStyle w:val="NormalTok"/>
        </w:rPr>
        <w:t>)</w:t>
      </w:r>
      <w:r>
        <w:br/>
      </w:r>
      <w:r>
        <w:br/>
      </w:r>
      <w:r>
        <w:rPr>
          <w:rStyle w:val="NormalTok"/>
        </w:rPr>
        <w:t xml:space="preserve">m3_act_funs_updating </w:t>
      </w:r>
      <w:r>
        <w:rPr>
          <w:rStyle w:val="OtherTok"/>
        </w:rPr>
        <w:t>&lt;-</w:t>
      </w:r>
      <w:r>
        <w:rPr>
          <w:rStyle w:val="NormalTok"/>
        </w:rPr>
        <w:t xml:space="preserve"> </w:t>
      </w:r>
      <w:proofErr w:type="spellStart"/>
      <w:r>
        <w:rPr>
          <w:rStyle w:val="FunctionTok"/>
        </w:rPr>
        <w:t>bmf</w:t>
      </w:r>
      <w:proofErr w:type="spellEnd"/>
      <w:r>
        <w:rPr>
          <w:rStyle w:val="NormalTok"/>
        </w:rPr>
        <w:t>(</w:t>
      </w:r>
      <w:r>
        <w:br/>
      </w:r>
      <w:r>
        <w:rPr>
          <w:rStyle w:val="NormalTok"/>
        </w:rPr>
        <w:t xml:space="preserve">  correct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oldinpos</w:t>
      </w:r>
      <w:proofErr w:type="spellEnd"/>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w:t>
      </w:r>
      <w:proofErr w:type="spellStart"/>
      <w:r>
        <w:rPr>
          <w:rStyle w:val="NormalTok"/>
        </w:rPr>
        <w:t>otherold</w:t>
      </w:r>
      <w:proofErr w:type="spellEnd"/>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npl</w:t>
      </w:r>
      <w:proofErr w:type="spellEnd"/>
      <w:r>
        <w:rPr>
          <w:rStyle w:val="NormalTok"/>
        </w:rPr>
        <w:t xml:space="preserve">      </w:t>
      </w:r>
      <w:r>
        <w:rPr>
          <w:rStyle w:val="SpecialCharTok"/>
        </w:rPr>
        <w:t>~</w:t>
      </w:r>
      <w:r>
        <w:rPr>
          <w:rStyle w:val="NormalTok"/>
        </w:rPr>
        <w:t xml:space="preserve"> b</w:t>
      </w:r>
      <w:r>
        <w:br/>
      </w:r>
      <w:r>
        <w:rPr>
          <w:rStyle w:val="NormalTok"/>
        </w:rPr>
        <w:t>)</w:t>
      </w:r>
    </w:p>
    <w:p w14:paraId="0D773F65" w14:textId="77777777" w:rsidR="0027575C" w:rsidRDefault="0027575C" w:rsidP="0027575C">
      <w:pPr>
        <w:pStyle w:val="FirstParagraph"/>
        <w:spacing w:before="240"/>
      </w:pPr>
      <w:r>
        <w:t xml:space="preserve">Note that </w:t>
      </w:r>
      <w:proofErr w:type="spellStart"/>
      <w:r>
        <w:rPr>
          <w:rStyle w:val="VerbatimChar"/>
        </w:rPr>
        <w:t>te</w:t>
      </w:r>
      <w:proofErr w:type="spellEnd"/>
      <w:r>
        <w:t xml:space="preserve"> and </w:t>
      </w:r>
      <w:r>
        <w:rPr>
          <w:rStyle w:val="VerbatimChar"/>
        </w:rPr>
        <w:t>tr</w:t>
      </w:r>
      <w:r>
        <w:t xml:space="preserve"> appear in the formulas but are not estimated parameters — they are data columns whose values vary across conditions. When </w:t>
      </w:r>
      <w:proofErr w:type="spellStart"/>
      <w:r>
        <w:rPr>
          <w:rStyle w:val="VerbatimChar"/>
        </w:rPr>
        <w:t>bmm</w:t>
      </w:r>
      <w:proofErr w:type="spellEnd"/>
      <w:r>
        <w:t xml:space="preserve"> encounters variables in activation formulas that are not listed as model parameters, it treats them as data columns. This allows custom specifications to incorporate experimentally manipulated design variables directly into the activation equations.</w:t>
      </w:r>
    </w:p>
    <w:p w14:paraId="32C7C6F5" w14:textId="5B0BC9A7" w:rsidR="0027575C" w:rsidRDefault="0027575C" w:rsidP="0027575C">
      <w:pPr>
        <w:pStyle w:val="BodyText"/>
      </w:pPr>
      <w:r>
        <w:t>Complete parameter recovery simulations for this model</w:t>
      </w:r>
      <w:r>
        <w:t>,</w:t>
      </w:r>
      <w:r>
        <w:t xml:space="preserve"> varying sample size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oMath>
      <w:r>
        <w:t>) and trials per condition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oMath>
      <w:r>
        <w:t>)</w:t>
      </w:r>
      <w:r>
        <w:t>,</w:t>
      </w:r>
      <w:r>
        <w:t xml:space="preserve"> are available in the companion scripts (</w:t>
      </w:r>
      <w:r>
        <w:rPr>
          <w:rStyle w:val="VerbatimChar"/>
        </w:rPr>
        <w:t>scripts/tutorial3_parameter_recovery_simple.R</w:t>
      </w:r>
      <w:r>
        <w:t xml:space="preserve"> for a single cell walkthrough, </w:t>
      </w:r>
      <w:r>
        <w:rPr>
          <w:rStyle w:val="VerbatimChar"/>
        </w:rPr>
        <w:t>scripts/tutorial3_parameter_recovery.R</w:t>
      </w:r>
      <w:r>
        <w:t xml:space="preserve"> for the full design grid). These scripts demonstrate how recovery quality depends on both the number of participants and the amount of data per </w:t>
      </w:r>
      <w:r>
        <w:t>participant and</w:t>
      </w:r>
      <w:r>
        <w:t xml:space="preserve"> can serve as templates for validating other custom specifications.</w:t>
      </w:r>
    </w:p>
    <w:bookmarkEnd w:id="47"/>
    <w:bookmarkEnd w:id="49"/>
    <w:bookmarkEnd w:id="77"/>
    <w:p w14:paraId="3BF21BE1" w14:textId="77777777" w:rsidR="00F70B7A" w:rsidRDefault="00F70B7A">
      <w:pPr>
        <w:pStyle w:val="Bibliography"/>
      </w:pPr>
    </w:p>
    <w:sectPr w:rsidR="00F70B7A">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4A122" w14:textId="77777777" w:rsidR="002B65C2" w:rsidRDefault="002B65C2">
      <w:pPr>
        <w:spacing w:line="240" w:lineRule="auto"/>
      </w:pPr>
      <w:r>
        <w:separator/>
      </w:r>
    </w:p>
  </w:endnote>
  <w:endnote w:type="continuationSeparator" w:id="0">
    <w:p w14:paraId="5B6F391C" w14:textId="77777777" w:rsidR="002B65C2" w:rsidRDefault="002B65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833AF"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61C7"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F0DD9"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C435" w14:textId="77777777" w:rsidR="002B65C2" w:rsidRDefault="002B65C2">
      <w:pPr>
        <w:spacing w:line="240" w:lineRule="auto"/>
      </w:pPr>
      <w:r>
        <w:separator/>
      </w:r>
    </w:p>
  </w:footnote>
  <w:footnote w:type="continuationSeparator" w:id="0">
    <w:p w14:paraId="479D6FCB" w14:textId="77777777" w:rsidR="002B65C2" w:rsidRDefault="002B65C2">
      <w:pPr>
        <w:spacing w:line="240" w:lineRule="auto"/>
      </w:pPr>
      <w:r>
        <w:continuationSeparator/>
      </w:r>
    </w:p>
  </w:footnote>
  <w:footnote w:id="1">
    <w:p w14:paraId="683F191E" w14:textId="77777777" w:rsidR="00F70B7A" w:rsidRDefault="00000000" w:rsidP="006915B9">
      <w:pPr>
        <w:pStyle w:val="FootnoteText"/>
        <w:spacing w:line="240" w:lineRule="auto"/>
      </w:pPr>
      <w:r>
        <w:rPr>
          <w:rStyle w:val="FootnoteReference"/>
        </w:rPr>
        <w:footnoteRef/>
      </w:r>
      <w:r>
        <w:t xml:space="preserve"> Readers familiar with multinomial processing tree (MPT) models will note similarities: both frameworks decompose categorical response distributions into latent process parameters. However, whereas MPT models use discrete processing trees with binary branching probabilities (</w:t>
      </w:r>
      <w:hyperlink w:anchor="ref-batchelder1999theoretical">
        <w:r>
          <w:rPr>
            <w:rStyle w:val="Hyperlink"/>
          </w:rPr>
          <w:t>Batchelder &amp; Riefer, 1999</w:t>
        </w:r>
      </w:hyperlink>
      <w:r>
        <w:t xml:space="preserve">; e.g., </w:t>
      </w:r>
      <w:hyperlink w:anchor="ref-heck2018treebugs">
        <w:r>
          <w:rPr>
            <w:rStyle w:val="Hyperlink"/>
          </w:rPr>
          <w:t>Heck et al., 2018</w:t>
        </w:r>
      </w:hyperlink>
      <w:r>
        <w:t xml:space="preserve"> for Bayesian hierarchical implementations),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continuous activation values with competitive selection, making it particularly suited for theories emphasizing graded memory strength (for a detailed comparison, see </w:t>
      </w:r>
      <w:hyperlink w:anchor="ref-oberauer2019simple">
        <w:r>
          <w:rPr>
            <w:rStyle w:val="Hyperlink"/>
          </w:rPr>
          <w:t>Oberauer &amp; Lewandowsky, 2019</w:t>
        </w:r>
      </w:hyperlink>
      <w:r>
        <w:t>).</w:t>
      </w:r>
    </w:p>
  </w:footnote>
  <w:footnote w:id="2">
    <w:p w14:paraId="57B392C0" w14:textId="77777777" w:rsidR="00F70B7A" w:rsidRDefault="00000000" w:rsidP="006915B9">
      <w:pPr>
        <w:pStyle w:val="FootnoteText"/>
        <w:spacing w:line="240" w:lineRule="auto"/>
      </w:pPr>
      <w:r>
        <w:rPr>
          <w:rStyle w:val="FootnoteReference"/>
        </w:rPr>
        <w:footnoteRef/>
      </w:r>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concieved as a measurement tool, it can thus be used to implement and test specific theoretical assumptions. For example, similarity between spatial positions could be implemented by other list items getting a partial boost from context binding dependent on their distance to the currently cued position. Thereby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sits at the intersection of measurement and process models, it can account for the interplay of different processes, but does not provide any implementation of the activation sources and why they might differ in strength.</w:t>
      </w:r>
    </w:p>
  </w:footnote>
  <w:footnote w:id="3">
    <w:p w14:paraId="1F11BD73" w14:textId="77777777" w:rsidR="00F70B7A" w:rsidRDefault="00000000" w:rsidP="006915B9">
      <w:pPr>
        <w:pStyle w:val="FootnoteText"/>
        <w:spacing w:line="240" w:lineRule="auto"/>
      </w:pPr>
      <w:r>
        <w:rPr>
          <w:rStyle w:val="FootnoteReference"/>
        </w:rPr>
        <w:footnoteRef/>
      </w:r>
      <w:r>
        <w:t xml:space="preserve"> For details on the </w:t>
      </w:r>
      <w:r>
        <w:rPr>
          <w:rStyle w:val="VerbatimChar"/>
        </w:rPr>
        <w:t>bmmformula</w:t>
      </w:r>
      <w:r>
        <w:t xml:space="preserve"> syntax, see </w:t>
      </w:r>
      <w:hyperlink r:id="rId1">
        <w:r>
          <w:rPr>
            <w:rStyle w:val="Hyperlink"/>
          </w:rPr>
          <w:t>https://venpopov.com/bmm/articles/bmm_bmmformula.html</w:t>
        </w:r>
      </w:hyperlink>
      <w:r>
        <w:t>.</w:t>
      </w:r>
    </w:p>
  </w:footnote>
  <w:footnote w:id="4">
    <w:p w14:paraId="069D9543" w14:textId="77777777" w:rsidR="00F70B7A" w:rsidRDefault="00000000" w:rsidP="006915B9">
      <w:pPr>
        <w:pStyle w:val="FootnoteText"/>
        <w:spacing w:line="240" w:lineRule="auto"/>
      </w:pPr>
      <w:r>
        <w:rPr>
          <w:rStyle w:val="FootnoteReference"/>
        </w:rPr>
        <w:footnoteRef/>
      </w:r>
      <w:r>
        <w:t xml:space="preserve"> We are continuously working on extending the post-processing functions to accommodate the specific requirements of the measurement models implemented in the </w:t>
      </w:r>
      <w:r>
        <w:rPr>
          <w:rStyle w:val="VerbatimChar"/>
        </w:rPr>
        <w:t>bmm</w:t>
      </w:r>
      <w:r>
        <w:t xml:space="preserve"> R package.</w:t>
      </w:r>
    </w:p>
  </w:footnote>
  <w:footnote w:id="5">
    <w:p w14:paraId="6673CC75" w14:textId="77777777" w:rsidR="00F70B7A" w:rsidRDefault="00000000" w:rsidP="006915B9">
      <w:pPr>
        <w:pStyle w:val="FootnoteText"/>
        <w:spacing w:line="240" w:lineRule="auto"/>
      </w:pPr>
      <w:r>
        <w:rPr>
          <w:rStyle w:val="FootnoteReference"/>
        </w:rPr>
        <w:footnoteRef/>
      </w:r>
      <w:r>
        <w:t xml:space="preserve"> For details on the specification of the </w:t>
      </w:r>
      <w:r>
        <w:rPr>
          <w:rStyle w:val="VerbatimChar"/>
        </w:rPr>
        <w:t>bmmformula</w:t>
      </w:r>
      <w:r>
        <w:t xml:space="preserve">, see the </w:t>
      </w:r>
      <w:r>
        <w:rPr>
          <w:rStyle w:val="VerbatimChar"/>
        </w:rPr>
        <w:t>bmm</w:t>
      </w:r>
      <w:r>
        <w:t xml:space="preserve"> package documentation and the documentation of the </w:t>
      </w:r>
      <w:r>
        <w:rPr>
          <w:rStyle w:val="VerbatimChar"/>
        </w:rPr>
        <w:t>brmsformula</w:t>
      </w:r>
      <w:r>
        <w:t xml:space="preserve"> function on which it builds.</w:t>
      </w:r>
    </w:p>
  </w:footnote>
  <w:footnote w:id="6">
    <w:p w14:paraId="03778949" w14:textId="77777777" w:rsidR="00F70B7A" w:rsidRDefault="00000000" w:rsidP="006915B9">
      <w:pPr>
        <w:pStyle w:val="FootnoteText"/>
        <w:spacing w:line="240" w:lineRule="auto"/>
      </w:pPr>
      <w:r>
        <w:rPr>
          <w:rStyle w:val="FootnoteReference"/>
        </w:rPr>
        <w:footnoteRef/>
      </w:r>
      <w:r>
        <w:t xml:space="preserve"> These are all additional options that are passed to </w:t>
      </w:r>
      <w:r>
        <w:rPr>
          <w:rStyle w:val="VerbatimChar"/>
        </w:rPr>
        <w:t>brms</w:t>
      </w:r>
      <w:r>
        <w:t xml:space="preserve"> and can be modified as needed. For details on these additional arguments, please refer to </w:t>
      </w:r>
      <w:r>
        <w:rPr>
          <w:rStyle w:val="VerbatimChar"/>
        </w:rPr>
        <w:t>brm()</w:t>
      </w:r>
      <w:r>
        <w:t xml:space="preserve"> documentation.</w:t>
      </w:r>
    </w:p>
  </w:footnote>
  <w:footnote w:id="7">
    <w:p w14:paraId="1BDA74C3" w14:textId="77777777" w:rsidR="00F70B7A" w:rsidRDefault="00000000" w:rsidP="006915B9">
      <w:pPr>
        <w:pStyle w:val="FootnoteText"/>
        <w:spacing w:line="240" w:lineRule="auto"/>
      </w:pPr>
      <w:r>
        <w:rPr>
          <w:rStyle w:val="FootnoteReference"/>
        </w:rPr>
        <w:footnoteRef/>
      </w:r>
      <w:r>
        <w:t xml:space="preserve"> In principle, the measurement models implemented in </w:t>
      </w:r>
      <w:r>
        <w:rPr>
          <w:rStyle w:val="VerbatimChar"/>
        </w:rPr>
        <w:t>bmm</w:t>
      </w:r>
      <w:r>
        <w:t xml:space="preserve"> are similar to all other Bayesian generalized linear models and thus similar criteria for convergence apply. For guidance on Bayesian convergence diagnostics, see Gabry et al. (</w:t>
      </w:r>
      <w:hyperlink w:anchor="ref-gabry2019visualization">
        <w:r>
          <w:rPr>
            <w:rStyle w:val="Hyperlink"/>
          </w:rPr>
          <w:t>2019</w:t>
        </w:r>
      </w:hyperlink>
      <w:r>
        <w:t xml:space="preserve">) and the </w:t>
      </w:r>
      <w:r>
        <w:rPr>
          <w:rStyle w:val="VerbatimChar"/>
        </w:rPr>
        <w:t>brms</w:t>
      </w:r>
      <w:r>
        <w:t xml:space="preserve">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1B8C"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4125"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6915B9">
          <w:t>FITTING THE M^3 WITH THE BMM R PACKAGE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2C961C22"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B6A3"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42E57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94CB3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774046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677738160">
    <w:abstractNumId w:val="10"/>
  </w:num>
  <w:num w:numId="23" w16cid:durableId="914322153">
    <w:abstractNumId w:val="11"/>
  </w:num>
  <w:num w:numId="24" w16cid:durableId="16638519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9662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2684D"/>
    <w:rsid w:val="00232B45"/>
    <w:rsid w:val="002432D4"/>
    <w:rsid w:val="00250BD5"/>
    <w:rsid w:val="00251EDB"/>
    <w:rsid w:val="0027048E"/>
    <w:rsid w:val="002723E0"/>
    <w:rsid w:val="0027518C"/>
    <w:rsid w:val="0027575C"/>
    <w:rsid w:val="002A768D"/>
    <w:rsid w:val="002B1D3B"/>
    <w:rsid w:val="002B65C2"/>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1740"/>
    <w:rsid w:val="005528BA"/>
    <w:rsid w:val="005566BA"/>
    <w:rsid w:val="00565B1E"/>
    <w:rsid w:val="005665F3"/>
    <w:rsid w:val="00586C23"/>
    <w:rsid w:val="00602337"/>
    <w:rsid w:val="006122FA"/>
    <w:rsid w:val="00633291"/>
    <w:rsid w:val="00661B64"/>
    <w:rsid w:val="006915B9"/>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B6CCB"/>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0B7A"/>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2B06B"/>
  <w15:docId w15:val="{E36C87E8-8302-9D42-8CF4-94BC0694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yperlink" Target="https://doi.org/10.18637/jss.v076.i01" TargetMode="External"/><Relationship Id="rId39" Type="http://schemas.openxmlformats.org/officeDocument/2006/relationships/hyperlink" Target="https://doi.org/10.1037/rev0000328" TargetMode="External"/><Relationship Id="rId21" Type="http://schemas.openxmlformats.org/officeDocument/2006/relationships/image" Target="media/image12.emf"/><Relationship Id="rId34" Type="http://schemas.openxmlformats.org/officeDocument/2006/relationships/hyperlink" Target="https://doi.org/10.3758/s13428-017-0869-7" TargetMode="External"/><Relationship Id="rId42" Type="http://schemas.openxmlformats.org/officeDocument/2006/relationships/hyperlink" Target="https://doi.org/10.32614/CRAN.package.bmm" TargetMode="External"/><Relationship Id="rId47" Type="http://schemas.openxmlformats.org/officeDocument/2006/relationships/hyperlink" Target="https://doi.org/10.7554/eLife.49547"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9" Type="http://schemas.openxmlformats.org/officeDocument/2006/relationships/hyperlink" Target="https://doi.org/10.3758/s13428-025-02643-0" TargetMode="External"/><Relationship Id="rId11" Type="http://schemas.openxmlformats.org/officeDocument/2006/relationships/hyperlink" Target="mailto:gidon.frischkorn@psychologie.uzh.ch" TargetMode="External"/><Relationship Id="rId24" Type="http://schemas.openxmlformats.org/officeDocument/2006/relationships/hyperlink" Target="https://doi.org/10.18637/jss.v080.i01" TargetMode="External"/><Relationship Id="rId32" Type="http://schemas.openxmlformats.org/officeDocument/2006/relationships/hyperlink" Target="https://doi.org/10.31234/osf.io/945d2" TargetMode="External"/><Relationship Id="rId37" Type="http://schemas.openxmlformats.org/officeDocument/2006/relationships/hyperlink" Target="https://doi.org/10.1201/9780429029608" TargetMode="External"/><Relationship Id="rId40" Type="http://schemas.openxmlformats.org/officeDocument/2006/relationships/hyperlink" Target="https://doi.org/10.1037/rev0000159" TargetMode="External"/><Relationship Id="rId45" Type="http://schemas.openxmlformats.org/officeDocument/2006/relationships/hyperlink" Target="https://arxiv.org/abs/1804.06788"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s://orcid.org/0000-0002-5055-9764" TargetMode="External"/><Relationship Id="rId14" Type="http://schemas.openxmlformats.org/officeDocument/2006/relationships/image" Target="media/image5.emf"/><Relationship Id="rId22" Type="http://schemas.openxmlformats.org/officeDocument/2006/relationships/hyperlink" Target="https://venpopov.github.io/bmm/articles/bmm_m3.html" TargetMode="External"/><Relationship Id="rId27" Type="http://schemas.openxmlformats.org/officeDocument/2006/relationships/hyperlink" Target="https://doi.org/10.20982/tqmp.16.4.p248" TargetMode="External"/><Relationship Id="rId30" Type="http://schemas.openxmlformats.org/officeDocument/2006/relationships/hyperlink" Target="https://doi.org/10.1111/rssa.12378" TargetMode="External"/><Relationship Id="rId35" Type="http://schemas.openxmlformats.org/officeDocument/2006/relationships/hyperlink" Target="https://doi.org/10.1016/0749-596X(91)90025-F" TargetMode="External"/><Relationship Id="rId43" Type="http://schemas.openxmlformats.org/officeDocument/2006/relationships/hyperlink" Target="https://doi.org/10.1037/0033-295X.108.2.370" TargetMode="External"/><Relationship Id="rId48" Type="http://schemas.openxmlformats.org/officeDocument/2006/relationships/hyperlink" Target="https://doi.org/10.1016/0022-2496(77)90026-8" TargetMode="External"/><Relationship Id="rId56" Type="http://schemas.openxmlformats.org/officeDocument/2006/relationships/fontTable" Target="fontTable.xml"/><Relationship Id="rId8" Type="http://schemas.openxmlformats.org/officeDocument/2006/relationships/image" Target="media/image2.sv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hyperlink" Target="https://doi.org/10.1037/0033-295X.100.3.432" TargetMode="External"/><Relationship Id="rId33" Type="http://schemas.openxmlformats.org/officeDocument/2006/relationships/hyperlink" Target="https://doi.org/10.1016/j.jmp.2017.09.005" TargetMode="External"/><Relationship Id="rId38" Type="http://schemas.openxmlformats.org/officeDocument/2006/relationships/hyperlink" Target="https://doi.org/10.5334/joc.86" TargetMode="External"/><Relationship Id="rId46" Type="http://schemas.openxmlformats.org/officeDocument/2006/relationships/hyperlink" Target="https://doi.org/10.1037/h0070288" TargetMode="External"/><Relationship Id="rId20" Type="http://schemas.openxmlformats.org/officeDocument/2006/relationships/image" Target="media/image11.emf"/><Relationship Id="rId41" Type="http://schemas.openxmlformats.org/officeDocument/2006/relationships/hyperlink" Target="https://doi.org/10.1037/bul0000153"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emf"/><Relationship Id="rId23" Type="http://schemas.openxmlformats.org/officeDocument/2006/relationships/hyperlink" Target="https://doi.org/10.3758/BF03210812" TargetMode="External"/><Relationship Id="rId28" Type="http://schemas.openxmlformats.org/officeDocument/2006/relationships/hyperlink" Target="https://doi.org/10.1027/0044-3409.217.3.108" TargetMode="External"/><Relationship Id="rId36" Type="http://schemas.openxmlformats.org/officeDocument/2006/relationships/hyperlink" Target="https://doi.org/10.1037/xlm0001585" TargetMode="External"/><Relationship Id="rId49" Type="http://schemas.openxmlformats.org/officeDocument/2006/relationships/hyperlink" Target="https://doi.org/10.3758/s13421-012-0205-5" TargetMode="External"/><Relationship Id="rId57" Type="http://schemas.openxmlformats.org/officeDocument/2006/relationships/theme" Target="theme/theme1.xml"/><Relationship Id="rId10" Type="http://schemas.openxmlformats.org/officeDocument/2006/relationships/hyperlink" Target="https://orcid.org/0000-0001-8815-6189" TargetMode="External"/><Relationship Id="rId31" Type="http://schemas.openxmlformats.org/officeDocument/2006/relationships/hyperlink" Target="https://doi.org/10.1214/ss/1177011136" TargetMode="External"/><Relationship Id="rId44" Type="http://schemas.openxmlformats.org/officeDocument/2006/relationships/hyperlink" Target="https://doi.org/10.1037/met0000275" TargetMode="External"/><Relationship Id="rId52"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venpopov.com/bmm/articles/bmm_bmmformu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9263</Words>
  <Characters>52803</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61943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Gidon Frischkorn-Bartsch</dc:creator>
  <cp:keywords>working memory, measurement model, multinomial model, Bayesian estimation, R package</cp:keywords>
  <dc:description>FITTING THE M^3 WITH THE BMM R PACKAGE</dc:description>
  <cp:lastModifiedBy>Gidon Frischkorn-Bartsch</cp:lastModifiedBy>
  <cp:revision>2</cp:revision>
  <dcterms:created xsi:type="dcterms:W3CDTF">2026-03-06T19:16:00Z</dcterms:created>
  <dcterms:modified xsi:type="dcterms:W3CDTF">2026-03-06T19:16:00Z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memory measurement model (M^3) decomposes categorical response data from memory tasks into latent activation parameters, separating item memory from context-specific binding via competitive retrieval. Fitting M^3 has so far required custom JAGS or Stan code for each task design. The bmm R package provides a standardized interface to specify, fit, and evaluate Bayesian hierarchical M^3 with minimal code. This tutorial demonstrates the bmm workflow through four worked examples: fitting a simple span M^3 to cued recall data, where Bayes factor model comparison favors the softmax over the simple choice rule; extending the workflow to a complex span task with distractor categories and a filtering parameter; defining a custom M^3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fit standard and custom M^3 to their own data and validate new model specifications through simulation.</vt:lpwstr>
  </property>
  <property fmtid="{D5CDD505-2E9C-101B-9397-08002B2CF9AE}" pid="5" name="apaauthor">
    <vt:lpwstr/>
  </property>
  <property fmtid="{D5CDD505-2E9C-101B-9397-08002B2CF9AE}" pid="6" name="apatitle">
    <vt:lpwstr>Fitting the Memory Measurement Model (M^3) with the bmm R Package: A Tutorial</vt:lpwstr>
  </property>
  <property fmtid="{D5CDD505-2E9C-101B-9397-08002B2CF9AE}" pid="7" name="apatitledisplay">
    <vt:lpwstr>Fitting the Memory Measurement Model (M^3) with the bmm R Package: A Tutorial</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output-dir">
    <vt:lpwstr>.</vt:lpwstr>
  </property>
  <property fmtid="{D5CDD505-2E9C-101B-9397-08002B2CF9AE}" pid="33" name="references">
    <vt:lpwstr/>
  </property>
  <property fmtid="{D5CDD505-2E9C-101B-9397-08002B2CF9AE}" pid="34" name="revealjs-plugins">
    <vt:lpwstr/>
  </property>
  <property fmtid="{D5CDD505-2E9C-101B-9397-08002B2CF9AE}" pid="35" name="shorttitle">
    <vt:lpwstr>FITTING THE M^3 WITH THE BMM R PACKAGE</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7945</vt:lpwstr>
  </property>
  <property fmtid="{D5CDD505-2E9C-101B-9397-08002B2CF9AE}" pid="63" name="zerocitations">
    <vt:lpwstr>False</vt:lpwstr>
  </property>
</Properties>
</file>