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right"/>
      </w:pPr>
      <w:r>
        <w:rPr>
          <w:b/>
          <w:rFonts w:ascii="Arial" w:hAnsi="Arial" w:cs="Arial"/>
          <w:sz w:val="28"/>
          <w:rtl/>
          <w:lang w:bidi="he-IL"/>
        </w:rPr>
        <w:t>בדיקת עברית: שלום עולם</w:t>
      </w:r>
      <w:r>
        <w:rPr>
          <w:i/>
          <w:rFonts w:ascii="Times New Roman" w:hAnsi="Times New Roman"/>
          <w:sz w:val="24"/>
        </w:rPr>
        <w:t xml:space="preserve"> — מסמך בעברית עם English 123</w:t>
      </w:r>
    </w:p>
    <w:p>
      <w:r>
        <w:rPr>
          <w:rFonts w:ascii="Helvetica" w:hAnsi="Helvetica"/>
          <w:sz w:val="22"/>
        </w:rPr>
        <w:t>This sample is intentionally mixed-direction: Hebrew + English + numbers.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