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pPr>
      <w:r>
        <w:rPr>
          <w:b/>
          <w:color w:val="5B3FE0"/>
          <w:sz w:val="18"/>
        </w:rPr>
        <w:t>VOXTRACE / KNOWLEDGE BRIEF</w:t>
      </w:r>
    </w:p>
    <w:p>
      <w:pPr>
        <w:pStyle w:val="Title"/>
      </w:pPr>
      <w:r>
        <w:t>Portofolio Pengetahuan Operasional</w:t>
      </w:r>
    </w:p>
    <w:p>
      <w:pPr>
        <w:pStyle w:val="Subtitle"/>
      </w:pPr>
      <w:r>
        <w:t>Peta enam dokumen domain hasil pematangan rekaman dan catatan pendukung</w:t>
      </w:r>
    </w:p>
    <w:tbl>
      <w:tblPr>
        <w:tblW w:type="auto" w:w="0"/>
        <w:tblLayout w:type="fixed"/>
        <w:tblLook w:firstColumn="1" w:firstRow="1" w:lastColumn="0" w:lastRow="0" w:noHBand="0" w:noVBand="1" w:val="04A0"/>
      </w:tblPr>
      <w:tblGrid>
        <w:gridCol w:w="2880"/>
        <w:gridCol w:w="6768"/>
      </w:tblGrid>
      <w:tr>
        <w:tc>
          <w:tcPr>
            <w:tcW w:type="dxa" w:w="4831"/>
            <w:vAlign w:val="center"/>
            <w:shd w:fill="5B3FE0"/>
          </w:tcPr>
          <w:p>
            <w:r/>
            <w:r>
              <w:rPr>
                <w:rFonts w:ascii="Aptos" w:hAnsi="Aptos"/>
                <w:b/>
                <w:color w:val="FFFFFF"/>
                <w:sz w:val="18"/>
              </w:rPr>
              <w:t>STATUS</w:t>
            </w:r>
          </w:p>
        </w:tc>
        <w:tc>
          <w:tcPr>
            <w:tcW w:type="dxa" w:w="4831"/>
            <w:vAlign w:val="center"/>
          </w:tcPr>
          <w:p>
            <w:r/>
            <w:r>
              <w:rPr>
                <w:rFonts w:ascii="Aptos" w:hAnsi="Aptos"/>
                <w:b w:val="0"/>
                <w:color w:val="1C1F24"/>
                <w:sz w:val="18"/>
              </w:rPr>
              <w:t>Dokumen matang • sumber terkorelasi • angka kritis terkontrol</w:t>
            </w:r>
          </w:p>
        </w:tc>
      </w:tr>
      <w:tr>
        <w:tc>
          <w:tcPr>
            <w:tcW w:type="dxa" w:w="4831"/>
            <w:vAlign w:val="center"/>
            <w:shd w:fill="22252B"/>
          </w:tcPr>
          <w:p>
            <w:r/>
            <w:r>
              <w:rPr>
                <w:rFonts w:ascii="Aptos" w:hAnsi="Aptos"/>
                <w:b/>
                <w:color w:val="FFFFFF"/>
                <w:sz w:val="18"/>
              </w:rPr>
              <w:t>POSISI DOKUMEN</w:t>
            </w:r>
          </w:p>
        </w:tc>
        <w:tc>
          <w:tcPr>
            <w:tcW w:type="dxa" w:w="4831"/>
            <w:vAlign w:val="center"/>
          </w:tcPr>
          <w:p>
            <w:r/>
            <w:r>
              <w:rPr>
                <w:rFonts w:ascii="Aptos" w:hAnsi="Aptos"/>
                <w:b w:val="0"/>
                <w:color w:val="1C1F24"/>
                <w:sz w:val="18"/>
              </w:rPr>
              <w:t>Panduan domain mandiri; bukan transkrip dan bukan pengganti SOP resmi</w:t>
            </w:r>
          </w:p>
        </w:tc>
      </w:tr>
    </w:tbl>
    <w:p>
      <w:pPr>
        <w:spacing w:before="600"/>
      </w:pPr>
      <w:r>
        <w:rPr>
          <w:b/>
          <w:color w:val="5B3FE0"/>
        </w:rPr>
        <w:t>TUJUAN</w:t>
        <w:br/>
      </w:r>
      <w:r>
        <w:t>Menyediakan pintu masuk ke enam dokumen yang berdiri sendiri, sekaligus memperlihatkan titik antarmuka tanpa mencampur isi atau kewenangan tiap domain.</w:t>
      </w:r>
    </w:p>
    <w:p>
      <w:pPr>
        <w:pStyle w:val="Heading2"/>
      </w:pPr>
      <w:r>
        <w:t>Ruang lingkup</w:t>
      </w:r>
    </w:p>
    <w:p>
      <w:pPr>
        <w:pStyle w:val="ListBullet"/>
      </w:pPr>
      <w:r>
        <w:t>Produksi dan maintenance</w:t>
      </w:r>
    </w:p>
    <w:p>
      <w:pPr>
        <w:pStyle w:val="ListBullet"/>
      </w:pPr>
      <w:r>
        <w:t>Observasi mesin dan suku cadang</w:t>
      </w:r>
    </w:p>
    <w:p>
      <w:pPr>
        <w:pStyle w:val="ListBullet"/>
      </w:pPr>
      <w:r>
        <w:t>Building maintenance dan project</w:t>
      </w:r>
    </w:p>
    <w:p>
      <w:pPr>
        <w:pStyle w:val="ListBullet"/>
      </w:pPr>
      <w:r>
        <w:t>IPAL dan limbah B3</w:t>
      </w:r>
    </w:p>
    <w:p>
      <w:pPr>
        <w:pStyle w:val="ListBullet"/>
      </w:pPr>
      <w:r>
        <w:t>Kelistrikan dan proteksi kebakaran</w:t>
      </w:r>
    </w:p>
    <w:p>
      <w:pPr>
        <w:pStyle w:val="ListBullet"/>
      </w:pPr>
      <w:r>
        <w:t>Evaluasi proses</w:t>
      </w:r>
    </w:p>
    <w:p>
      <w:pPr>
        <w:spacing w:before="360"/>
      </w:pPr>
      <w:r>
        <w:rPr>
          <w:b/>
          <w:color w:val="5B3FE0"/>
        </w:rPr>
        <w:t>Prinsip korelasi sumber</w:t>
        <w:br/>
      </w:r>
      <w:r>
        <w:t>Rekaman adalah sumber utama domain. Catatan scan dan foto hanya memperjelas konteks yang relevan. Informasi dari domain lain tidak digunakan untuk mengubah mandat, angka, atau keputusan dokumen ini.</w:t>
      </w:r>
    </w:p>
    <w:p>
      <w:r>
        <w:br w:type="page"/>
      </w:r>
    </w:p>
    <w:p>
      <w:pPr>
        <w:pStyle w:val="Heading1"/>
      </w:pPr>
      <w:r>
        <w:t>1. Struktur portofolio</w:t>
      </w:r>
    </w:p>
    <w:tbl>
      <w:tblPr>
        <w:tblStyle w:val="TableGrid"/>
        <w:tblW w:type="auto" w:w="0"/>
        <w:tblLook w:firstColumn="1" w:firstRow="1" w:lastColumn="0" w:lastRow="0" w:noHBand="0" w:noVBand="1" w:val="04A0"/>
      </w:tblPr>
      <w:tblGrid>
        <w:gridCol w:w="3221"/>
        <w:gridCol w:w="3221"/>
        <w:gridCol w:w="3221"/>
      </w:tblGrid>
      <w:tr>
        <w:tc>
          <w:tcPr>
            <w:tcW w:type="dxa" w:w="2448"/>
            <w:vAlign w:val="center"/>
            <w:shd w:fill="5B3FE0"/>
          </w:tcPr>
          <w:p>
            <w:r/>
            <w:r>
              <w:rPr>
                <w:rFonts w:ascii="Aptos" w:hAnsi="Aptos"/>
                <w:b/>
                <w:color w:val="FFFFFF"/>
                <w:sz w:val="18"/>
              </w:rPr>
              <w:t>Dokumen</w:t>
            </w:r>
          </w:p>
        </w:tc>
        <w:tc>
          <w:tcPr>
            <w:tcW w:type="dxa" w:w="4536"/>
            <w:vAlign w:val="center"/>
            <w:shd w:fill="5B3FE0"/>
          </w:tcPr>
          <w:p>
            <w:r/>
            <w:r>
              <w:rPr>
                <w:rFonts w:ascii="Aptos" w:hAnsi="Aptos"/>
                <w:b/>
                <w:color w:val="FFFFFF"/>
                <w:sz w:val="18"/>
              </w:rPr>
              <w:t>Mandat inti</w:t>
            </w:r>
          </w:p>
        </w:tc>
        <w:tc>
          <w:tcPr>
            <w:tcW w:type="dxa" w:w="2520"/>
            <w:vAlign w:val="center"/>
            <w:shd w:fill="5B3FE0"/>
          </w:tcPr>
          <w:p>
            <w:r/>
            <w:r>
              <w:rPr>
                <w:rFonts w:ascii="Aptos" w:hAnsi="Aptos"/>
                <w:b/>
                <w:color w:val="FFFFFF"/>
                <w:sz w:val="18"/>
              </w:rPr>
              <w:t>Berkas</w:t>
            </w:r>
          </w:p>
        </w:tc>
      </w:tr>
      <w:tr>
        <w:tc>
          <w:tcPr>
            <w:tcW w:type="dxa" w:w="2448"/>
            <w:vAlign w:val="center"/>
            <w:shd w:fill="F5F3FF"/>
          </w:tcPr>
          <w:p>
            <w:r/>
            <w:r>
              <w:rPr>
                <w:rFonts w:ascii="Aptos" w:hAnsi="Aptos"/>
                <w:b w:val="0"/>
                <w:color w:val="1C1F24"/>
                <w:sz w:val="18"/>
              </w:rPr>
              <w:t>Alur Produksi dan Strategi Maintenance</w:t>
            </w:r>
          </w:p>
        </w:tc>
        <w:tc>
          <w:tcPr>
            <w:tcW w:type="dxa" w:w="4536"/>
            <w:vAlign w:val="center"/>
            <w:shd w:fill="F5F3FF"/>
          </w:tcPr>
          <w:p>
            <w:r/>
            <w:r>
              <w:rPr>
                <w:rFonts w:ascii="Aptos" w:hAnsi="Aptos"/>
                <w:b w:val="0"/>
                <w:color w:val="1C1F24"/>
                <w:sz w:val="18"/>
              </w:rPr>
              <w:t>Memberikan gambaran utuh mengenai hubungan alur produksi dengan keandalan mesin, sehingga gangguan dapat dicegah, ditangani, dan dievaluasi berdasarkan dampaknya terhadap mutu serta kontinuitas produksi.</w:t>
            </w:r>
          </w:p>
        </w:tc>
        <w:tc>
          <w:tcPr>
            <w:tcW w:type="dxa" w:w="2520"/>
            <w:vAlign w:val="center"/>
            <w:shd w:fill="F5F3FF"/>
          </w:tcPr>
          <w:p>
            <w:r/>
            <w:r>
              <w:rPr>
                <w:rFonts w:ascii="Aptos" w:hAnsi="Aptos"/>
                <w:b w:val="0"/>
                <w:color w:val="1C1F24"/>
                <w:sz w:val="18"/>
              </w:rPr>
              <w:t>13-08-2026 10.36 - Panduan Alur Produksi dan Maintenance.docx</w:t>
            </w:r>
          </w:p>
        </w:tc>
      </w:tr>
      <w:tr>
        <w:tc>
          <w:tcPr>
            <w:tcW w:type="dxa" w:w="2448"/>
            <w:vAlign w:val="center"/>
            <w:shd w:fill="FFFFFF"/>
          </w:tcPr>
          <w:p>
            <w:r/>
            <w:r>
              <w:rPr>
                <w:rFonts w:ascii="Aptos" w:hAnsi="Aptos"/>
                <w:b w:val="0"/>
                <w:color w:val="1C1F24"/>
                <w:sz w:val="18"/>
              </w:rPr>
              <w:t>Observasi Mesin, Maintenance, dan Tata Kelola Suku Cadang</w:t>
            </w:r>
          </w:p>
        </w:tc>
        <w:tc>
          <w:tcPr>
            <w:tcW w:type="dxa" w:w="4536"/>
            <w:vAlign w:val="center"/>
            <w:shd w:fill="FFFFFF"/>
          </w:tcPr>
          <w:p>
            <w:r/>
            <w:r>
              <w:rPr>
                <w:rFonts w:ascii="Aptos" w:hAnsi="Aptos"/>
                <w:b w:val="0"/>
                <w:color w:val="1C1F24"/>
                <w:sz w:val="18"/>
              </w:rPr>
              <w:t>Menyatukan pola observasi mesin, penanganan gangguan, pembuktian perbaikan, serta permintaan dan pengeluaran suku cadang tanpa mengambil alih kewenangan purchasing atau pengelola inventori.</w:t>
            </w:r>
          </w:p>
        </w:tc>
        <w:tc>
          <w:tcPr>
            <w:tcW w:type="dxa" w:w="2520"/>
            <w:vAlign w:val="center"/>
            <w:shd w:fill="FFFFFF"/>
          </w:tcPr>
          <w:p>
            <w:r/>
            <w:r>
              <w:rPr>
                <w:rFonts w:ascii="Aptos" w:hAnsi="Aptos"/>
                <w:b w:val="0"/>
                <w:color w:val="1C1F24"/>
                <w:sz w:val="18"/>
              </w:rPr>
              <w:t>12-08-2026 09.05 - Panduan Observasi Mesin dan Suku Cadang.docx</w:t>
            </w:r>
          </w:p>
        </w:tc>
      </w:tr>
      <w:tr>
        <w:tc>
          <w:tcPr>
            <w:tcW w:type="dxa" w:w="2448"/>
            <w:vAlign w:val="center"/>
            <w:shd w:fill="F5F3FF"/>
          </w:tcPr>
          <w:p>
            <w:r/>
            <w:r>
              <w:rPr>
                <w:rFonts w:ascii="Aptos" w:hAnsi="Aptos"/>
                <w:b w:val="0"/>
                <w:color w:val="1C1F24"/>
                <w:sz w:val="18"/>
              </w:rPr>
              <w:t>Building Maintenance dan Tata Kelola Project Engineering</w:t>
            </w:r>
          </w:p>
        </w:tc>
        <w:tc>
          <w:tcPr>
            <w:tcW w:type="dxa" w:w="4536"/>
            <w:vAlign w:val="center"/>
            <w:shd w:fill="F5F3FF"/>
          </w:tcPr>
          <w:p>
            <w:r/>
            <w:r>
              <w:rPr>
                <w:rFonts w:ascii="Aptos" w:hAnsi="Aptos"/>
                <w:b w:val="0"/>
                <w:color w:val="1C1F24"/>
                <w:sz w:val="18"/>
              </w:rPr>
              <w:t>Menetapkan batas kerja building maintenance, hubungan dengan utility/workshop/project, serta cara mengendalikan pekerjaan operasional dan proyek tanpa mencampur kewenangan antarunit.</w:t>
            </w:r>
          </w:p>
        </w:tc>
        <w:tc>
          <w:tcPr>
            <w:tcW w:type="dxa" w:w="2520"/>
            <w:vAlign w:val="center"/>
            <w:shd w:fill="F5F3FF"/>
          </w:tcPr>
          <w:p>
            <w:r/>
            <w:r>
              <w:rPr>
                <w:rFonts w:ascii="Aptos" w:hAnsi="Aptos"/>
                <w:b w:val="0"/>
                <w:color w:val="1C1F24"/>
                <w:sz w:val="18"/>
              </w:rPr>
              <w:t>12-08-2026 13.27 - Panduan Building Maintenance dan Project.docx</w:t>
            </w:r>
          </w:p>
        </w:tc>
      </w:tr>
      <w:tr>
        <w:tc>
          <w:tcPr>
            <w:tcW w:type="dxa" w:w="2448"/>
            <w:vAlign w:val="center"/>
            <w:shd w:fill="FFFFFF"/>
          </w:tcPr>
          <w:p>
            <w:r/>
            <w:r>
              <w:rPr>
                <w:rFonts w:ascii="Aptos" w:hAnsi="Aptos"/>
                <w:b w:val="0"/>
                <w:color w:val="1C1F24"/>
                <w:sz w:val="18"/>
              </w:rPr>
              <w:t>Pengendalian IPAL, Sludge, dan Limbah B3</w:t>
            </w:r>
          </w:p>
        </w:tc>
        <w:tc>
          <w:tcPr>
            <w:tcW w:type="dxa" w:w="4536"/>
            <w:vAlign w:val="center"/>
            <w:shd w:fill="FFFFFF"/>
          </w:tcPr>
          <w:p>
            <w:r/>
            <w:r>
              <w:rPr>
                <w:rFonts w:ascii="Aptos" w:hAnsi="Aptos"/>
                <w:b w:val="0"/>
                <w:color w:val="1C1F24"/>
                <w:sz w:val="18"/>
              </w:rPr>
              <w:t>Menjelaskan aliran pengolahan limbah cair dan pengelolaan residunya agar operator dapat memahami tujuan setiap tahap, parameter yang harus dijaga, serta bukti yang diperlukan untuk kepatuhan.</w:t>
            </w:r>
          </w:p>
        </w:tc>
        <w:tc>
          <w:tcPr>
            <w:tcW w:type="dxa" w:w="2520"/>
            <w:vAlign w:val="center"/>
            <w:shd w:fill="FFFFFF"/>
          </w:tcPr>
          <w:p>
            <w:r/>
            <w:r>
              <w:rPr>
                <w:rFonts w:ascii="Aptos" w:hAnsi="Aptos"/>
                <w:b w:val="0"/>
                <w:color w:val="1C1F24"/>
                <w:sz w:val="18"/>
              </w:rPr>
              <w:t>12-08-2026 14.28 - Panduan IPAL dan Limbah B3.docx</w:t>
            </w:r>
          </w:p>
        </w:tc>
      </w:tr>
      <w:tr>
        <w:tc>
          <w:tcPr>
            <w:tcW w:type="dxa" w:w="2448"/>
            <w:vAlign w:val="center"/>
            <w:shd w:fill="F5F3FF"/>
          </w:tcPr>
          <w:p>
            <w:r/>
            <w:r>
              <w:rPr>
                <w:rFonts w:ascii="Aptos" w:hAnsi="Aptos"/>
                <w:b w:val="0"/>
                <w:color w:val="1C1F24"/>
                <w:sz w:val="18"/>
              </w:rPr>
              <w:t>Sistem Kelistrikan, Daya Darurat, dan Proteksi Kebakaran</w:t>
            </w:r>
          </w:p>
        </w:tc>
        <w:tc>
          <w:tcPr>
            <w:tcW w:type="dxa" w:w="4536"/>
            <w:vAlign w:val="center"/>
            <w:shd w:fill="F5F3FF"/>
          </w:tcPr>
          <w:p>
            <w:r/>
            <w:r>
              <w:rPr>
                <w:rFonts w:ascii="Aptos" w:hAnsi="Aptos"/>
                <w:b w:val="0"/>
                <w:color w:val="1C1F24"/>
                <w:sz w:val="18"/>
              </w:rPr>
              <w:t>Memberikan kerangka aman untuk memahami distribusi daya, genset, panel, dan rangkaian pompa kebakaran. Dokumen ini bersifat orientasi dan tidak menggantikan single-line diagram, SOP switching, atau prosedur tanggap darurat.</w:t>
            </w:r>
          </w:p>
        </w:tc>
        <w:tc>
          <w:tcPr>
            <w:tcW w:type="dxa" w:w="2520"/>
            <w:vAlign w:val="center"/>
            <w:shd w:fill="F5F3FF"/>
          </w:tcPr>
          <w:p>
            <w:r/>
            <w:r>
              <w:rPr>
                <w:rFonts w:ascii="Aptos" w:hAnsi="Aptos"/>
                <w:b w:val="0"/>
                <w:color w:val="1C1F24"/>
                <w:sz w:val="18"/>
              </w:rPr>
              <w:t>12-08-2026 11.22 - Panduan Kelistrikan dan Proteksi Kebakaran.docx</w:t>
            </w:r>
          </w:p>
        </w:tc>
      </w:tr>
      <w:tr>
        <w:tc>
          <w:tcPr>
            <w:tcW w:type="dxa" w:w="2448"/>
            <w:vAlign w:val="center"/>
            <w:shd w:fill="FFFFFF"/>
          </w:tcPr>
          <w:p>
            <w:r/>
            <w:r>
              <w:rPr>
                <w:rFonts w:ascii="Aptos" w:hAnsi="Aptos"/>
                <w:b w:val="0"/>
                <w:color w:val="1C1F24"/>
                <w:sz w:val="18"/>
              </w:rPr>
              <w:t>Kerangka Wawancara dan Evaluasi Proses</w:t>
            </w:r>
          </w:p>
        </w:tc>
        <w:tc>
          <w:tcPr>
            <w:tcW w:type="dxa" w:w="4536"/>
            <w:vAlign w:val="center"/>
            <w:shd w:fill="FFFFFF"/>
          </w:tcPr>
          <w:p>
            <w:r/>
            <w:r>
              <w:rPr>
                <w:rFonts w:ascii="Aptos" w:hAnsi="Aptos"/>
                <w:b w:val="0"/>
                <w:color w:val="1C1F24"/>
                <w:sz w:val="18"/>
              </w:rPr>
              <w:t>Mengarahkan wawancara agar menghasilkan pemahaman proses yang utuh—tujuan, relasi, aktivitas, dampak, tantangan, pembelajaran, dan agility—tanpa mencampurkan isi dari unit yang sedang dievaluasi dengan unit lain.</w:t>
            </w:r>
          </w:p>
        </w:tc>
        <w:tc>
          <w:tcPr>
            <w:tcW w:type="dxa" w:w="2520"/>
            <w:vAlign w:val="center"/>
            <w:shd w:fill="FFFFFF"/>
          </w:tcPr>
          <w:p>
            <w:r/>
            <w:r>
              <w:rPr>
                <w:rFonts w:ascii="Aptos" w:hAnsi="Aptos"/>
                <w:b w:val="0"/>
                <w:color w:val="1C1F24"/>
                <w:sz w:val="18"/>
              </w:rPr>
              <w:t>13-08-2026 13.37 - Kerangka Evaluasi Proses.docx</w:t>
            </w:r>
          </w:p>
        </w:tc>
      </w:tr>
    </w:tbl>
    <w:p/>
    <w:p>
      <w:pPr>
        <w:pStyle w:val="Heading1"/>
      </w:pPr>
      <w:r>
        <w:t>2. Aturan korelasi</w:t>
      </w:r>
    </w:p>
    <w:p>
      <w:pPr>
        <w:pStyle w:val="ListBullet"/>
      </w:pPr>
      <w:r>
        <w:t>Setiap dokumen memakai rekamannya sebagai sumber inti.</w:t>
      </w:r>
    </w:p>
    <w:p>
      <w:pPr>
        <w:pStyle w:val="ListBullet"/>
      </w:pPr>
      <w:r>
        <w:t>Catatan tambahan hanya masuk jika memperjelas konteks domain yang sama.</w:t>
      </w:r>
    </w:p>
    <w:p>
      <w:pPr>
        <w:pStyle w:val="ListBullet"/>
      </w:pPr>
      <w:r>
        <w:t>Fakta lintas domain ditempatkan sebagai antarmuka, bukan sebagai perubahan mandat.</w:t>
      </w:r>
    </w:p>
    <w:p>
      <w:pPr>
        <w:pStyle w:val="ListBullet"/>
      </w:pPr>
      <w:r>
        <w:t>Angka, istilah, nama, dan set point yang belum jelas diberi status perlu verifikasi.</w:t>
      </w:r>
    </w:p>
    <w:p>
      <w:pPr>
        <w:pStyle w:val="ListBullet"/>
      </w:pPr>
      <w:r>
        <w:t>SOP, izin, drawing, hasil laboratorium, dan data sistem tetap menjadi sumber formal tertinggi.</w:t>
      </w:r>
    </w:p>
    <w:p>
      <w:pPr>
        <w:pStyle w:val="Heading1"/>
      </w:pPr>
      <w:r>
        <w:t>3. Antarmuka utama</w:t>
      </w:r>
    </w:p>
    <w:tbl>
      <w:tblPr>
        <w:tblStyle w:val="TableGrid"/>
        <w:tblW w:type="auto" w:w="0"/>
        <w:tblLook w:firstColumn="1" w:firstRow="1" w:lastColumn="0" w:lastRow="0" w:noHBand="0" w:noVBand="1" w:val="04A0"/>
      </w:tblPr>
      <w:tblGrid>
        <w:gridCol w:w="3221"/>
        <w:gridCol w:w="3221"/>
        <w:gridCol w:w="3221"/>
      </w:tblGrid>
      <w:tr>
        <w:tc>
          <w:tcPr>
            <w:tcW w:type="dxa" w:w="2088"/>
            <w:vAlign w:val="center"/>
            <w:shd w:fill="5B3FE0"/>
          </w:tcPr>
          <w:p>
            <w:r/>
            <w:r>
              <w:rPr>
                <w:rFonts w:ascii="Aptos" w:hAnsi="Aptos"/>
                <w:b/>
                <w:color w:val="FFFFFF"/>
                <w:sz w:val="18"/>
              </w:rPr>
              <w:t>Dari</w:t>
            </w:r>
          </w:p>
        </w:tc>
        <w:tc>
          <w:tcPr>
            <w:tcW w:type="dxa" w:w="2088"/>
            <w:vAlign w:val="center"/>
            <w:shd w:fill="5B3FE0"/>
          </w:tcPr>
          <w:p>
            <w:r/>
            <w:r>
              <w:rPr>
                <w:rFonts w:ascii="Aptos" w:hAnsi="Aptos"/>
                <w:b/>
                <w:color w:val="FFFFFF"/>
                <w:sz w:val="18"/>
              </w:rPr>
              <w:t>Ke</w:t>
            </w:r>
          </w:p>
        </w:tc>
        <w:tc>
          <w:tcPr>
            <w:tcW w:type="dxa" w:w="5184"/>
            <w:vAlign w:val="center"/>
            <w:shd w:fill="5B3FE0"/>
          </w:tcPr>
          <w:p>
            <w:r/>
            <w:r>
              <w:rPr>
                <w:rFonts w:ascii="Aptos" w:hAnsi="Aptos"/>
                <w:b/>
                <w:color w:val="FFFFFF"/>
                <w:sz w:val="18"/>
              </w:rPr>
              <w:t>Objek serah-terima</w:t>
            </w:r>
          </w:p>
        </w:tc>
      </w:tr>
      <w:tr>
        <w:tc>
          <w:tcPr>
            <w:tcW w:type="dxa" w:w="2088"/>
            <w:vAlign w:val="center"/>
            <w:shd w:fill="F5F3FF"/>
          </w:tcPr>
          <w:p>
            <w:r/>
            <w:r>
              <w:rPr>
                <w:rFonts w:ascii="Aptos" w:hAnsi="Aptos"/>
                <w:b w:val="0"/>
                <w:color w:val="1C1F24"/>
                <w:sz w:val="18"/>
              </w:rPr>
              <w:t>Produksi</w:t>
            </w:r>
          </w:p>
        </w:tc>
        <w:tc>
          <w:tcPr>
            <w:tcW w:type="dxa" w:w="2088"/>
            <w:vAlign w:val="center"/>
            <w:shd w:fill="F5F3FF"/>
          </w:tcPr>
          <w:p>
            <w:r/>
            <w:r>
              <w:rPr>
                <w:rFonts w:ascii="Aptos" w:hAnsi="Aptos"/>
                <w:b w:val="0"/>
                <w:color w:val="1C1F24"/>
                <w:sz w:val="18"/>
              </w:rPr>
              <w:t>Maintenance</w:t>
            </w:r>
          </w:p>
        </w:tc>
        <w:tc>
          <w:tcPr>
            <w:tcW w:type="dxa" w:w="5184"/>
            <w:vAlign w:val="center"/>
            <w:shd w:fill="F5F3FF"/>
          </w:tcPr>
          <w:p>
            <w:r/>
            <w:r>
              <w:rPr>
                <w:rFonts w:ascii="Aptos" w:hAnsi="Aptos"/>
                <w:b w:val="0"/>
                <w:color w:val="1C1F24"/>
                <w:sz w:val="18"/>
              </w:rPr>
              <w:t>Gejala, dampak proses, window pekerjaan, hasil post-test</w:t>
            </w:r>
          </w:p>
        </w:tc>
      </w:tr>
      <w:tr>
        <w:tc>
          <w:tcPr>
            <w:tcW w:type="dxa" w:w="2088"/>
            <w:vAlign w:val="center"/>
            <w:shd w:fill="FFFFFF"/>
          </w:tcPr>
          <w:p>
            <w:r/>
            <w:r>
              <w:rPr>
                <w:rFonts w:ascii="Aptos" w:hAnsi="Aptos"/>
                <w:b w:val="0"/>
                <w:color w:val="1C1F24"/>
                <w:sz w:val="18"/>
              </w:rPr>
              <w:t>Maintenance</w:t>
            </w:r>
          </w:p>
        </w:tc>
        <w:tc>
          <w:tcPr>
            <w:tcW w:type="dxa" w:w="2088"/>
            <w:vAlign w:val="center"/>
            <w:shd w:fill="FFFFFF"/>
          </w:tcPr>
          <w:p>
            <w:r/>
            <w:r>
              <w:rPr>
                <w:rFonts w:ascii="Aptos" w:hAnsi="Aptos"/>
                <w:b w:val="0"/>
                <w:color w:val="1C1F24"/>
                <w:sz w:val="18"/>
              </w:rPr>
              <w:t>Spare part/Purchasing</w:t>
            </w:r>
          </w:p>
        </w:tc>
        <w:tc>
          <w:tcPr>
            <w:tcW w:type="dxa" w:w="5184"/>
            <w:vAlign w:val="center"/>
            <w:shd w:fill="FFFFFF"/>
          </w:tcPr>
          <w:p>
            <w:r/>
            <w:r>
              <w:rPr>
                <w:rFonts w:ascii="Aptos" w:hAnsi="Aptos"/>
                <w:b w:val="0"/>
                <w:color w:val="1C1F24"/>
                <w:sz w:val="18"/>
              </w:rPr>
              <w:t>Kebutuhan teknis, kritikalitas, WO/PR, bukti pemakaian</w:t>
            </w:r>
          </w:p>
        </w:tc>
      </w:tr>
      <w:tr>
        <w:tc>
          <w:tcPr>
            <w:tcW w:type="dxa" w:w="2088"/>
            <w:vAlign w:val="center"/>
            <w:shd w:fill="F5F3FF"/>
          </w:tcPr>
          <w:p>
            <w:r/>
            <w:r>
              <w:rPr>
                <w:rFonts w:ascii="Aptos" w:hAnsi="Aptos"/>
                <w:b w:val="0"/>
                <w:color w:val="1C1F24"/>
                <w:sz w:val="18"/>
              </w:rPr>
              <w:t>Building</w:t>
            </w:r>
          </w:p>
        </w:tc>
        <w:tc>
          <w:tcPr>
            <w:tcW w:type="dxa" w:w="2088"/>
            <w:vAlign w:val="center"/>
            <w:shd w:fill="F5F3FF"/>
          </w:tcPr>
          <w:p>
            <w:r/>
            <w:r>
              <w:rPr>
                <w:rFonts w:ascii="Aptos" w:hAnsi="Aptos"/>
                <w:b w:val="0"/>
                <w:color w:val="1C1F24"/>
                <w:sz w:val="18"/>
              </w:rPr>
              <w:t>Utility/Project</w:t>
            </w:r>
          </w:p>
        </w:tc>
        <w:tc>
          <w:tcPr>
            <w:tcW w:type="dxa" w:w="5184"/>
            <w:vAlign w:val="center"/>
            <w:shd w:fill="F5F3FF"/>
          </w:tcPr>
          <w:p>
            <w:r/>
            <w:r>
              <w:rPr>
                <w:rFonts w:ascii="Aptos" w:hAnsi="Aptos"/>
                <w:b w:val="0"/>
                <w:color w:val="1C1F24"/>
                <w:sz w:val="18"/>
              </w:rPr>
              <w:t>Batas aset, risiko, izin, perubahan, dan acceptance</w:t>
            </w:r>
          </w:p>
        </w:tc>
      </w:tr>
      <w:tr>
        <w:tc>
          <w:tcPr>
            <w:tcW w:type="dxa" w:w="2088"/>
            <w:vAlign w:val="center"/>
            <w:shd w:fill="FFFFFF"/>
          </w:tcPr>
          <w:p>
            <w:r/>
            <w:r>
              <w:rPr>
                <w:rFonts w:ascii="Aptos" w:hAnsi="Aptos"/>
                <w:b w:val="0"/>
                <w:color w:val="1C1F24"/>
                <w:sz w:val="18"/>
              </w:rPr>
              <w:t>IPAL</w:t>
            </w:r>
          </w:p>
        </w:tc>
        <w:tc>
          <w:tcPr>
            <w:tcW w:type="dxa" w:w="2088"/>
            <w:vAlign w:val="center"/>
            <w:shd w:fill="FFFFFF"/>
          </w:tcPr>
          <w:p>
            <w:r/>
            <w:r>
              <w:rPr>
                <w:rFonts w:ascii="Aptos" w:hAnsi="Aptos"/>
                <w:b w:val="0"/>
                <w:color w:val="1C1F24"/>
                <w:sz w:val="18"/>
              </w:rPr>
              <w:t>Laboratorium/EHS</w:t>
            </w:r>
          </w:p>
        </w:tc>
        <w:tc>
          <w:tcPr>
            <w:tcW w:type="dxa" w:w="5184"/>
            <w:vAlign w:val="center"/>
            <w:shd w:fill="FFFFFF"/>
          </w:tcPr>
          <w:p>
            <w:r/>
            <w:r>
              <w:rPr>
                <w:rFonts w:ascii="Aptos" w:hAnsi="Aptos"/>
                <w:b w:val="0"/>
                <w:color w:val="1C1F24"/>
                <w:sz w:val="18"/>
              </w:rPr>
              <w:t>Sampling, hasil uji, deviasi, sludge/B3, dan bukti kepatuhan</w:t>
            </w:r>
          </w:p>
        </w:tc>
      </w:tr>
      <w:tr>
        <w:tc>
          <w:tcPr>
            <w:tcW w:type="dxa" w:w="2088"/>
            <w:vAlign w:val="center"/>
            <w:shd w:fill="F5F3FF"/>
          </w:tcPr>
          <w:p>
            <w:r/>
            <w:r>
              <w:rPr>
                <w:rFonts w:ascii="Aptos" w:hAnsi="Aptos"/>
                <w:b w:val="0"/>
                <w:color w:val="1C1F24"/>
                <w:sz w:val="18"/>
              </w:rPr>
              <w:t>Kelistrikan/Fire</w:t>
            </w:r>
          </w:p>
        </w:tc>
        <w:tc>
          <w:tcPr>
            <w:tcW w:type="dxa" w:w="2088"/>
            <w:vAlign w:val="center"/>
            <w:shd w:fill="F5F3FF"/>
          </w:tcPr>
          <w:p>
            <w:r/>
            <w:r>
              <w:rPr>
                <w:rFonts w:ascii="Aptos" w:hAnsi="Aptos"/>
                <w:b w:val="0"/>
                <w:color w:val="1C1F24"/>
                <w:sz w:val="18"/>
              </w:rPr>
              <w:t>Operasi/EHS</w:t>
            </w:r>
          </w:p>
        </w:tc>
        <w:tc>
          <w:tcPr>
            <w:tcW w:type="dxa" w:w="5184"/>
            <w:vAlign w:val="center"/>
            <w:shd w:fill="F5F3FF"/>
          </w:tcPr>
          <w:p>
            <w:r/>
            <w:r>
              <w:rPr>
                <w:rFonts w:ascii="Aptos" w:hAnsi="Aptos"/>
                <w:b w:val="0"/>
                <w:color w:val="1C1F24"/>
                <w:sz w:val="18"/>
              </w:rPr>
              <w:t>Rencana uji, isolasi, alarm, status proteksi, dan restorasi</w:t>
            </w:r>
          </w:p>
        </w:tc>
      </w:tr>
      <w:tr>
        <w:tc>
          <w:tcPr>
            <w:tcW w:type="dxa" w:w="2088"/>
            <w:vAlign w:val="center"/>
            <w:shd w:fill="FFFFFF"/>
          </w:tcPr>
          <w:p>
            <w:r/>
            <w:r>
              <w:rPr>
                <w:rFonts w:ascii="Aptos" w:hAnsi="Aptos"/>
                <w:b w:val="0"/>
                <w:color w:val="1C1F24"/>
                <w:sz w:val="18"/>
              </w:rPr>
              <w:t>Evaluator</w:t>
            </w:r>
          </w:p>
        </w:tc>
        <w:tc>
          <w:tcPr>
            <w:tcW w:type="dxa" w:w="2088"/>
            <w:vAlign w:val="center"/>
            <w:shd w:fill="FFFFFF"/>
          </w:tcPr>
          <w:p>
            <w:r/>
            <w:r>
              <w:rPr>
                <w:rFonts w:ascii="Aptos" w:hAnsi="Aptos"/>
                <w:b w:val="0"/>
                <w:color w:val="1C1F24"/>
                <w:sz w:val="18"/>
              </w:rPr>
              <w:t>Pemilik proses</w:t>
            </w:r>
          </w:p>
        </w:tc>
        <w:tc>
          <w:tcPr>
            <w:tcW w:type="dxa" w:w="5184"/>
            <w:vAlign w:val="center"/>
            <w:shd w:fill="FFFFFF"/>
          </w:tcPr>
          <w:p>
            <w:r/>
            <w:r>
              <w:rPr>
                <w:rFonts w:ascii="Aptos" w:hAnsi="Aptos"/>
                <w:b w:val="0"/>
                <w:color w:val="1C1F24"/>
                <w:sz w:val="18"/>
              </w:rPr>
              <w:t>Klaim, bukti, status verifikasi, keputusan, dan tindak lanjut</w:t>
            </w:r>
          </w:p>
        </w:tc>
      </w:tr>
    </w:tbl>
    <w:p/>
    <w:p>
      <w:pPr>
        <w:pStyle w:val="Heading1"/>
      </w:pPr>
      <w:r>
        <w:t>4. Status kematangan</w:t>
      </w:r>
    </w:p>
    <w:p>
      <w:r>
        <w:t>Seluruh dokumen telah diubah dari laporan ekstraksi menjadi panduan operasional. Transkrip mentah dan timeline tidak lagi menjadi tubuh dokumen. Ketidakpastian yang masih tersisa dikumpulkan pada bagian verifikasi di dokumen terkait sehingga tidak menyebar ke domain lain.</w:t>
      </w:r>
    </w:p>
    <w:sectPr w:rsidR="00FC693F" w:rsidRPr="0006063C" w:rsidSect="00034616">
      <w:headerReference w:type="default" r:id="rId9"/>
      <w:footerReference w:type="default" r:id="rId10"/>
      <w:pgSz w:w="11909" w:h="16834"/>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16B"/>
        <w:sz w:val="16"/>
      </w:rPr>
      <w:t xml:space="preserve">Internal working document  •  17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C616B"/>
        <w:sz w:val="16"/>
      </w:rPr>
      <w:t>VOXTRACE  /  OPERATIONAL KNOWLEDGE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1F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5B3FE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5B3FE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C1F2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w:hAnsi="Aptos"/>
      <w:b w:val="0"/>
      <w:i/>
      <w:iCs/>
      <w:color w:val="1C1F2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