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</w:pPr>
      <w:r>
        <w:rPr>
          <w:b/>
          <w:color w:val="5B3FE0"/>
          <w:sz w:val="18"/>
        </w:rPr>
        <w:t>VOXTRACE / KNOWLEDGE BRIEF</w:t>
      </w:r>
    </w:p>
    <w:p>
      <w:pPr>
        <w:pStyle w:val="Title"/>
      </w:pPr>
      <w:r>
        <w:t>Observasi Mesin, Maintenance, dan Tata Kelola Suku Cadang</w:t>
      </w:r>
    </w:p>
    <w:p>
      <w:pPr>
        <w:pStyle w:val="Subtitle"/>
      </w:pPr>
      <w:r>
        <w:t>Panduan lapangan untuk mengubah temuan teknis menjadi tindakan korektif yang terlacak dan siap diaudit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4831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831"/>
            <w:vAlign w:val="center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Dokumen matang • sumber terkorelasi • angka kritis terkontrol</w:t>
            </w:r>
          </w:p>
        </w:tc>
      </w:tr>
      <w:tr>
        <w:tc>
          <w:tcPr>
            <w:tcW w:type="dxa" w:w="4831"/>
            <w:vAlign w:val="center"/>
            <w:shd w:fill="22252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POSISI DOKUMEN</w:t>
            </w:r>
          </w:p>
        </w:tc>
        <w:tc>
          <w:tcPr>
            <w:tcW w:type="dxa" w:w="4831"/>
            <w:vAlign w:val="center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Panduan domain mandiri; bukan transkrip dan bukan pengganti SOP resmi</w:t>
            </w:r>
          </w:p>
        </w:tc>
      </w:tr>
    </w:tbl>
    <w:p>
      <w:pPr>
        <w:spacing w:before="600"/>
      </w:pPr>
      <w:r>
        <w:rPr>
          <w:b/>
          <w:color w:val="5B3FE0"/>
        </w:rPr>
        <w:t>TUJUAN</w:t>
        <w:br/>
      </w:r>
      <w:r>
        <w:t>Menyatukan pola observasi mesin, penanganan gangguan, pembuktian perbaikan, serta permintaan dan pengeluaran suku cadang tanpa mengambil alih kewenangan purchasing atau pengelola inventori.</w:t>
      </w:r>
    </w:p>
    <w:p>
      <w:pPr>
        <w:pStyle w:val="Heading2"/>
      </w:pPr>
      <w:r>
        <w:t>Ruang lingkup</w:t>
      </w:r>
    </w:p>
    <w:p>
      <w:pPr>
        <w:pStyle w:val="ListBullet"/>
      </w:pPr>
      <w:r>
        <w:t>Observasi fungsi dan kondisi mesin</w:t>
      </w:r>
    </w:p>
    <w:p>
      <w:pPr>
        <w:pStyle w:val="ListBullet"/>
      </w:pPr>
      <w:r>
        <w:t>Diagnosis awal dan eskalasi gangguan</w:t>
      </w:r>
    </w:p>
    <w:p>
      <w:pPr>
        <w:pStyle w:val="ListBullet"/>
      </w:pPr>
      <w:r>
        <w:t>Work request dan work order</w:t>
      </w:r>
    </w:p>
    <w:p>
      <w:pPr>
        <w:pStyle w:val="ListBullet"/>
      </w:pPr>
      <w:r>
        <w:t>Permintaan, pengeluaran, serta bukti pemakaian suku cadang</w:t>
      </w:r>
    </w:p>
    <w:p>
      <w:pPr>
        <w:pStyle w:val="ListBullet"/>
      </w:pPr>
      <w:r>
        <w:t>Post-test, penutupan pekerjaan, dan kesiapan audit</w:t>
      </w:r>
    </w:p>
    <w:p>
      <w:pPr>
        <w:spacing w:before="360"/>
      </w:pPr>
      <w:r>
        <w:rPr>
          <w:b/>
          <w:color w:val="5B3FE0"/>
        </w:rPr>
        <w:t>Prinsip korelasi sumber</w:t>
        <w:br/>
      </w:r>
      <w:r>
        <w:t>Rekaman adalah sumber utama domain. Catatan scan dan foto hanya memperjelas konteks yang relevan. Informasi dari domain lain tidak digunakan untuk mengubah mandat, angka, atau keputusan dokumen ini.</w:t>
      </w:r>
    </w:p>
    <w:p>
      <w:r>
        <w:br w:type="page"/>
      </w:r>
    </w:p>
    <w:p>
      <w:pPr>
        <w:pStyle w:val="Heading1"/>
      </w:pPr>
      <w:r>
        <w:t>1. Model kerja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259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Prinsip</w:t>
            </w:r>
          </w:p>
        </w:tc>
        <w:tc>
          <w:tcPr>
            <w:tcW w:type="dxa" w:w="691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Makna operasional</w:t>
            </w:r>
          </w:p>
        </w:tc>
      </w:tr>
      <w:tr>
        <w:tc>
          <w:tcPr>
            <w:tcW w:type="dxa" w:w="25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Fakta sebelum diagnosis</w:t>
            </w:r>
          </w:p>
        </w:tc>
        <w:tc>
          <w:tcPr>
            <w:tcW w:type="dxa" w:w="691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Catat gejala, kondisi operasi, waktu, dan bukti; bedakan observasi dari dugaan penyebab.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Satu jejak pekerjaan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Work request, work order, material, tindakan, pengujian, dan penutupan saling merujuk.</w:t>
            </w:r>
          </w:p>
        </w:tc>
      </w:tr>
      <w:tr>
        <w:tc>
          <w:tcPr>
            <w:tcW w:type="dxa" w:w="25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Pemisahan kewenangan</w:t>
            </w:r>
          </w:p>
        </w:tc>
        <w:tc>
          <w:tcPr>
            <w:tcW w:type="dxa" w:w="691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Pengguna menjelaskan kebutuhan; spare-part/inventory mengendalikan stok; purchasing menjalankan pengadaan.</w:t>
            </w:r>
          </w:p>
        </w:tc>
      </w:tr>
      <w:tr>
        <w:tc>
          <w:tcPr>
            <w:tcW w:type="dxa" w:w="25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Bukti pemakaian</w:t>
            </w:r>
          </w:p>
        </w:tc>
        <w:tc>
          <w:tcPr>
            <w:tcW w:type="dxa" w:w="691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Material yang dikeluarkan dapat ditelusuri ke pekerjaan dan aset yang menerima material.</w:t>
            </w:r>
          </w:p>
        </w:tc>
      </w:tr>
    </w:tbl>
    <w:p/>
    <w:p>
      <w:pPr>
        <w:pStyle w:val="Heading1"/>
      </w:pPr>
      <w:r>
        <w:t>2. Alur kerja yang disarankan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79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Tahap</w:t>
            </w:r>
          </w:p>
        </w:tc>
        <w:tc>
          <w:tcPr>
            <w:tcW w:type="dxa" w:w="237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Aktivitas</w:t>
            </w:r>
          </w:p>
        </w:tc>
        <w:tc>
          <w:tcPr>
            <w:tcW w:type="dxa" w:w="633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Keluaran minimum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1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Temukan &amp; amankan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Hentikan atau batasi operasi bila ada risiko keselamatan, kualitas, atau kerusakan lanjutan.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2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Buat work request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Tuliskan aset, gejala, kondisi, prioritas, pelapor, waktu, dan bukti pendukung.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3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Rencanakan pekerjaan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Tentukan tindakan, tenaga, izin, alat, material, dan kebutuhan downtime.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4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Cek ketersediaan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Gunakan stok yang sesuai; bila tidak tersedia, ajukan permintaan pengadaan melalui alur persetujuan.</w:t>
            </w:r>
          </w:p>
        </w:tc>
      </w:tr>
      <w:tr>
        <w:tc>
          <w:tcPr>
            <w:tcW w:type="dxa" w:w="79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5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Release &amp; eksekusi WO</w:t>
            </w:r>
          </w:p>
        </w:tc>
        <w:tc>
          <w:tcPr>
            <w:tcW w:type="dxa" w:w="633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Catat material/consumable yang dikeluarkan terhadap work order lalu lakukan pekerjaan.</w:t>
            </w:r>
          </w:p>
        </w:tc>
      </w:tr>
      <w:tr>
        <w:tc>
          <w:tcPr>
            <w:tcW w:type="dxa" w:w="79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6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Post-test &amp; penutupan</w:t>
            </w:r>
          </w:p>
        </w:tc>
        <w:tc>
          <w:tcPr>
            <w:tcW w:type="dxa" w:w="633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Uji fungsi, rekam hasil, dokumentasikan material terpakai/sisa, dan tutup WO di sistem.</w:t>
            </w:r>
          </w:p>
        </w:tc>
      </w:tr>
    </w:tbl>
    <w:p/>
    <w:p>
      <w:pPr>
        <w:pStyle w:val="Heading1"/>
      </w:pPr>
      <w:r>
        <w:t>3. Kendali dan bukti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160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328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Bukti/indikator</w:t>
            </w:r>
          </w:p>
        </w:tc>
        <w:tc>
          <w:tcPr>
            <w:tcW w:type="dxa" w:w="201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Frekuensi</w:t>
            </w:r>
          </w:p>
        </w:tc>
      </w:tr>
      <w:tr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Respons gangguan</w:t>
            </w:r>
          </w:p>
        </w:tc>
        <w:tc>
          <w:tcPr>
            <w:tcW w:type="dxa" w:w="53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Waktu laporan, mulai penanganan, dan pemulihan</w:t>
            </w:r>
          </w:p>
        </w:tc>
        <w:tc>
          <w:tcPr>
            <w:tcW w:type="dxa" w:w="201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Per kejadian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Kelengkapan WO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Aset, tindakan, material, hasil uji, dan PIC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Sebelum closing</w:t>
            </w:r>
          </w:p>
        </w:tc>
      </w:tr>
      <w:tr>
        <w:tc>
          <w:tcPr>
            <w:tcW w:type="dxa" w:w="2160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Ketersediaan suku cadang</w:t>
            </w:r>
          </w:p>
        </w:tc>
        <w:tc>
          <w:tcPr>
            <w:tcW w:type="dxa" w:w="5328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Min–max, pemakaian, lead time, dan shortage</w:t>
            </w:r>
          </w:p>
        </w:tc>
        <w:tc>
          <w:tcPr>
            <w:tcW w:type="dxa" w:w="201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Mingguan/bulanan</w:t>
            </w:r>
          </w:p>
        </w:tc>
      </w:tr>
      <w:tr>
        <w:tc>
          <w:tcPr>
            <w:tcW w:type="dxa" w:w="21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Kesiapan audit</w:t>
            </w:r>
          </w:p>
        </w:tc>
        <w:tc>
          <w:tcPr>
            <w:tcW w:type="dxa" w:w="5328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Keterhubungan bukti dari permintaan sampai pemakaian</w:t>
            </w:r>
          </w:p>
        </w:tc>
        <w:tc>
          <w:tcPr>
            <w:tcW w:type="dxa" w:w="201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Bulanan</w:t>
            </w:r>
          </w:p>
        </w:tc>
      </w:tr>
    </w:tbl>
    <w:p/>
    <w:p>
      <w:pPr>
        <w:pStyle w:val="Heading1"/>
      </w:pPr>
      <w:r>
        <w:t>4. Risiko utama dan pengendalian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2232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Risiko</w:t>
            </w:r>
          </w:p>
        </w:tc>
        <w:tc>
          <w:tcPr>
            <w:tcW w:type="dxa" w:w="237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Dampak</w:t>
            </w:r>
          </w:p>
        </w:tc>
        <w:tc>
          <w:tcPr>
            <w:tcW w:type="dxa" w:w="4896"/>
            <w:vAlign w:val="center"/>
            <w:shd w:fill="5B3FE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Pengendalian</w:t>
            </w:r>
          </w:p>
        </w:tc>
      </w:tr>
      <w:tr>
        <w:tc>
          <w:tcPr>
            <w:tcW w:type="dxa" w:w="22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Permintaan tidak terpenuhi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Waktu perbaikan memanjang</w:t>
            </w:r>
          </w:p>
        </w:tc>
        <w:tc>
          <w:tcPr>
            <w:tcW w:type="dxa" w:w="489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Kritikalitas stok, min–max, alternatif teknis yang disetujui, dan eskalasi shortage</w:t>
            </w:r>
          </w:p>
        </w:tc>
      </w:tr>
      <w:tr>
        <w:tc>
          <w:tcPr>
            <w:tcW w:type="dxa" w:w="2232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Material keluar tanpa referensi</w:t>
            </w:r>
          </w:p>
        </w:tc>
        <w:tc>
          <w:tcPr>
            <w:tcW w:type="dxa" w:w="237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Stok dan biaya tidak dapat ditelusuri</w:t>
            </w:r>
          </w:p>
        </w:tc>
        <w:tc>
          <w:tcPr>
            <w:tcW w:type="dxa" w:w="4896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Wajib tautkan release material ke WO dan aset</w:t>
            </w:r>
          </w:p>
        </w:tc>
      </w:tr>
      <w:tr>
        <w:tc>
          <w:tcPr>
            <w:tcW w:type="dxa" w:w="2232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Diagnosis berubah menjadi fakta</w:t>
            </w:r>
          </w:p>
        </w:tc>
        <w:tc>
          <w:tcPr>
            <w:tcW w:type="dxa" w:w="237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Tindakan salah atau catatan audit lemah</w:t>
            </w:r>
          </w:p>
        </w:tc>
        <w:tc>
          <w:tcPr>
            <w:tcW w:type="dxa" w:w="4896"/>
            <w:vAlign w:val="center"/>
            <w:shd w:fill="F5F3FF"/>
          </w:tcPr>
          <w:p>
            <w:r/>
            <w:r>
              <w:rPr>
                <w:rFonts w:ascii="Aptos" w:hAnsi="Aptos"/>
                <w:b w:val="0"/>
                <w:color w:val="1C1F24"/>
                <w:sz w:val="18"/>
              </w:rPr>
              <w:t>Pisahkan gejala, hipotesis, pengujian, dan akar penyebab terkonfirmasi</w:t>
            </w:r>
          </w:p>
        </w:tc>
      </w:tr>
    </w:tbl>
    <w:p/>
    <w:p>
      <w:pPr>
        <w:pStyle w:val="Heading1"/>
      </w:pPr>
      <w:r>
        <w:t>5. Agenda implementasi</w:t>
      </w:r>
    </w:p>
    <w:p>
      <w:r>
        <w:t>1. Gunakan format temuan: aset–gejala–dampak–bukti–tindakan–hasil.</w:t>
      </w:r>
    </w:p>
    <w:p>
      <w:r>
        <w:t>2. Tetapkan critical spare dan parameter min–max berdasarkan konsumsi, lead time, serta dampak downtime.</w:t>
      </w:r>
    </w:p>
    <w:p>
      <w:r>
        <w:t>3. Pastikan PR hanya diterbitkan setelah kebutuhan teknis dan anggaran disetujui; PO tetap menjadi kewenangan purchasing.</w:t>
      </w:r>
    </w:p>
    <w:p>
      <w:r>
        <w:t>4. Lakukan rekonsiliasi material terpakai, dikembalikan, dan rusak sebelum WO ditutup.</w:t>
      </w:r>
    </w:p>
    <w:p>
      <w:pPr>
        <w:pStyle w:val="Heading1"/>
      </w:pPr>
      <w:r>
        <w:t>6. Catatan penggunaan dan verifikasi</w:t>
      </w:r>
    </w:p>
    <w:p>
      <w:pPr>
        <w:pStyle w:val="ListBullet"/>
      </w:pPr>
      <w:r>
        <w:t>Catatan pendukung memperjelas alur WR → input material/consumable → release → WO → pencatatan sistem (disebut Oracle dalam catatan).</w:t>
      </w:r>
    </w:p>
    <w:p>
      <w:pPr>
        <w:pStyle w:val="ListBullet"/>
      </w:pPr>
      <w:r>
        <w:t>Nilai target belanja, nama formulir, nama pemberi persetujuan, dan angka kekurangan 5–10% masih perlu dikonfirmasi sebelum menjadi data resmi.</w:t>
      </w:r>
    </w:p>
    <w:p>
      <w:pPr>
        <w:spacing w:before="200"/>
        <w:shd w:fill="FFF4D6"/>
      </w:pPr>
      <w:r>
        <w:rPr>
          <w:b/>
        </w:rPr>
        <w:t xml:space="preserve">Batas penggunaan. </w:t>
      </w:r>
      <w:r>
        <w:t>Dokumen ini mendukung orientasi, diskusi, dan penyusunan kontrol. Untuk pekerjaan berisiko, kepatuhan, parameter proses, atau switching, gunakan SOP/izin/drawing/hasil laboratorium yang berlaku.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C616B"/>
        <w:sz w:val="16"/>
      </w:rPr>
      <w:t xml:space="preserve">Internal working document  •  17 August 2026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5C616B"/>
        <w:sz w:val="16"/>
      </w:rPr>
      <w:t>VOXTRACE  /  OPERATIONAL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1F2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3FE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5B3FE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C1F2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 w:val="0"/>
      <w:i/>
      <w:iCs/>
      <w:color w:val="1C1F2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