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5B3FE0"/>
          <w:sz w:val="18"/>
        </w:rPr>
        <w:t>VOXTRACE / KNOWLEDGE BRIEF</w:t>
      </w:r>
    </w:p>
    <w:p>
      <w:pPr>
        <w:pStyle w:val="Title"/>
      </w:pPr>
      <w:r>
        <w:t>Pengendalian IPAL, Sludge, dan Limbah B3</w:t>
      </w:r>
    </w:p>
    <w:p>
      <w:pPr>
        <w:pStyle w:val="Subtitle"/>
      </w:pPr>
      <w:r>
        <w:t>Panduan proses, titik kendali, dan bukti operasional pengolahan air limbah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31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Dokumen matang • sumber terkorelasi • angka kritis terkontrol</w:t>
            </w:r>
          </w:p>
        </w:tc>
      </w:tr>
      <w:tr>
        <w:tc>
          <w:tcPr>
            <w:tcW w:type="dxa" w:w="4831"/>
            <w:vAlign w:val="center"/>
            <w:shd w:fill="2225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POSISI DOKUMEN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Panduan domain mandiri; bukan transkrip dan bukan pengganti SOP resmi</w:t>
            </w:r>
          </w:p>
        </w:tc>
      </w:tr>
    </w:tbl>
    <w:p>
      <w:pPr>
        <w:spacing w:before="600"/>
      </w:pPr>
      <w:r>
        <w:rPr>
          <w:b/>
          <w:color w:val="5B3FE0"/>
        </w:rPr>
        <w:t>TUJUAN</w:t>
        <w:br/>
      </w:r>
      <w:r>
        <w:t>Menjelaskan aliran pengolahan limbah cair dan pengelolaan residunya agar operator dapat memahami tujuan setiap tahap, parameter yang harus dijaga, serta bukti yang diperlukan untuk kepatuhan.</w:t>
      </w:r>
    </w:p>
    <w:p>
      <w:pPr>
        <w:pStyle w:val="Heading2"/>
      </w:pPr>
      <w:r>
        <w:t>Ruang lingkup</w:t>
      </w:r>
    </w:p>
    <w:p>
      <w:pPr>
        <w:pStyle w:val="ListBullet"/>
      </w:pPr>
      <w:r>
        <w:t>Penerimaan dan equalisasi limbah</w:t>
      </w:r>
    </w:p>
    <w:p>
      <w:pPr>
        <w:pStyle w:val="ListBullet"/>
      </w:pPr>
      <w:r>
        <w:t>Koreksi pH dan suhu</w:t>
      </w:r>
    </w:p>
    <w:p>
      <w:pPr>
        <w:pStyle w:val="ListBullet"/>
      </w:pPr>
      <w:r>
        <w:t>Proses anaerob dan aerasi</w:t>
      </w:r>
    </w:p>
    <w:p>
      <w:pPr>
        <w:pStyle w:val="ListBullet"/>
      </w:pPr>
      <w:r>
        <w:t>Clarifier dan pengendalian lumpur aktif</w:t>
      </w:r>
    </w:p>
    <w:p>
      <w:pPr>
        <w:pStyle w:val="ListBullet"/>
      </w:pPr>
      <w:r>
        <w:t>Dewatering/sludge press dan pengelolaan limbah B3</w:t>
      </w:r>
    </w:p>
    <w:p>
      <w:pPr>
        <w:spacing w:before="360"/>
      </w:pPr>
      <w:r>
        <w:rPr>
          <w:b/>
          <w:color w:val="5B3FE0"/>
        </w:rPr>
        <w:t>Prinsip korelasi sumber</w:t>
        <w:br/>
      </w:r>
      <w:r>
        <w:t>Rekaman adalah sumber utama domain. Catatan scan dan foto hanya memperjelas konteks yang relevan. Informasi dari domain lain tidak digunakan untuk mengubah mandat, angka, atau keputusan dokumen ini.</w:t>
      </w:r>
    </w:p>
    <w:p>
      <w:r>
        <w:br w:type="page"/>
      </w:r>
    </w:p>
    <w:p>
      <w:pPr>
        <w:pStyle w:val="Heading1"/>
      </w:pPr>
      <w:r>
        <w:t>1. Model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5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Prinsip</w:t>
            </w:r>
          </w:p>
        </w:tc>
        <w:tc>
          <w:tcPr>
            <w:tcW w:type="dxa" w:w="691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Makna operasional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Stabilkan sebelum proses biologis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Fluktuasi pH, suhu, dan beban diserap di tahap awal agar mikroorganisme tidak mengalami shock.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Bakteri adalah aset proses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Aerasi, nutrisi, beban, dan karakter lumpur dipantau sebagai satu sistem.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Pisahkan air dan residu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Clarifier mengendapkan biomassa; sludge berlebih ditangani melalui jalur yang terdokumentasi.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Data laboratorium mengendalikan keputusan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Perubahan operasi mengikuti hasil ukur tervalidasi, tren, dan SOP—notasi catatan lapangan bukan batas izin.</w:t>
            </w:r>
          </w:p>
        </w:tc>
      </w:tr>
    </w:tbl>
    <w:p/>
    <w:p>
      <w:pPr>
        <w:pStyle w:val="Heading1"/>
      </w:pPr>
      <w:r>
        <w:t>2. Alur kerja yang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7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633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Keluaran minimum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1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Inlet &amp; screening/equalisasi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Tampung dan homogenkan aliran; catat volume dan karakter awal.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2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Kondisioning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Sesuaikan pH dan suhu sesuai rentang operasi yang disahkan.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Anaerob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Kurangi sebagian beban organik dalam kondisi tanpa oksigen terlarut sesuai desain.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Aerasi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Pasok udara dan jaga populasi mikroorganisme untuk menguraikan beban organik.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Clarifier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Pisahkan air olahan dan lumpur; kembalikan lumpur aktif sesuai kebutuhan proses.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6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Outlet &amp; sludge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Verifikasi kualitas efluen; press, simpan, label, dan serahkan residu melalui jalur B3 yang sah.</w:t>
            </w:r>
          </w:p>
        </w:tc>
      </w:tr>
    </w:tbl>
    <w:p/>
    <w:p>
      <w:pPr>
        <w:pStyle w:val="Heading1"/>
      </w:pPr>
      <w:r>
        <w:t>3. Kendali dan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160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Bukti/indikator</w:t>
            </w:r>
          </w:p>
        </w:tc>
        <w:tc>
          <w:tcPr>
            <w:tcW w:type="dxa" w:w="201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Kondisi inlet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Debit/volume, pH, suhu, dan indikasi beban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 shift/harian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Proses biologis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Aerasi, kondisi lumpur, pH, suhu, dan tren proses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 shift/harian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Kualitas outlet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Parameter sesuai baku mutu dan metode laboratorium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Sesuai izin/SOP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Sludge/B3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Volume, label, penyimpanan, manifest, dan serah-terima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Setiap perpindahan</w:t>
            </w:r>
          </w:p>
        </w:tc>
      </w:tr>
    </w:tbl>
    <w:p/>
    <w:p>
      <w:pPr>
        <w:pStyle w:val="Heading1"/>
      </w:pPr>
      <w:r>
        <w:t>4. Risiko utama dan pengendalian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23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489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Pengendalian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Shock load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Proses biologis terganggu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Equalisasi, isolasi aliran abnormal, dan eskalasi cepat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Interpretasi angka tidak tervalidasi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Keputusan operasi atau kepatuhan salah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Gunakan SOP laboratorium, izin, dan hasil uji resmi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Sludge tidak terlacak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Risiko lingkungan dan audit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Neraca massa sederhana dan dokumen pengangkutan lengkap</w:t>
            </w:r>
          </w:p>
        </w:tc>
      </w:tr>
    </w:tbl>
    <w:p/>
    <w:p>
      <w:pPr>
        <w:pStyle w:val="Heading1"/>
      </w:pPr>
      <w:r>
        <w:t>5. Agenda implementasi</w:t>
      </w:r>
    </w:p>
    <w:p>
      <w:r>
        <w:t>1. Buat diagram proses resmi lengkap dengan arah aliran, recycle, sampling point, dan emergency diversion.</w:t>
      </w:r>
    </w:p>
    <w:p>
      <w:r>
        <w:t>2. Tetapkan dashboard tren inlet–proses–outlet, bukan hanya angka sesaat.</w:t>
      </w:r>
    </w:p>
    <w:p>
      <w:r>
        <w:t>3. Hubungkan hasil uji dengan tindakan koreksi dan penanggung jawab.</w:t>
      </w:r>
    </w:p>
    <w:p>
      <w:r>
        <w:t>4. Rekonsiliasi volume air olahan, sludge, dan limbah B3 secara periodik.</w:t>
      </w:r>
    </w:p>
    <w:p>
      <w:pPr>
        <w:pStyle w:val="Heading1"/>
      </w:pPr>
      <w:r>
        <w:t>6. Catatan penggunaan dan verifikasi</w:t>
      </w:r>
    </w:p>
    <w:p>
      <w:pPr>
        <w:pStyle w:val="ListBullet"/>
      </w:pPr>
      <w:r>
        <w:t>Catatan menampilkan angka COD 100, BOD 30, dan TSS &lt;10 serta volume 146/170/130 m³; seluruh angka diperlakukan sebagai referensi wawancara yang wajib dicocokkan dengan izin, SOP, desain, dan hasil laboratorium.</w:t>
      </w:r>
    </w:p>
    <w:p>
      <w:pPr>
        <w:pStyle w:val="ListBullet"/>
      </w:pPr>
      <w:r>
        <w:t>Angka volume tahunan/biaya yang tertulis tidak cukup jelas untuk diterbitkan sebagai fakta dan sengaja tidak dimasukkan sebagai target.</w:t>
      </w:r>
    </w:p>
    <w:p>
      <w:pPr>
        <w:spacing w:before="200"/>
        <w:shd w:fill="FFF4D6"/>
      </w:pPr>
      <w:r>
        <w:rPr>
          <w:b/>
        </w:rPr>
        <w:t xml:space="preserve">Batas penggunaan. </w:t>
      </w:r>
      <w:r>
        <w:t>Dokumen ini mendukung orientasi, diskusi, dan penyusunan kontrol. Untuk pekerjaan berisiko, kepatuhan, parameter proses, atau switching, gunakan SOP/izin/drawing/hasil laboratorium yang berlaku.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16B"/>
        <w:sz w:val="16"/>
      </w:rPr>
      <w:t xml:space="preserve">Internal working document  •  17 August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C616B"/>
        <w:sz w:val="16"/>
      </w:rPr>
      <w:t>VOXTRACE  /  OPERATIONAL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5B3FE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C1F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1C1F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