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5B3FE0"/>
          <w:sz w:val="18"/>
        </w:rPr>
        <w:t>VOXTRACE / KNOWLEDGE BRIEF</w:t>
      </w:r>
    </w:p>
    <w:p>
      <w:pPr>
        <w:pStyle w:val="Title"/>
      </w:pPr>
      <w:r>
        <w:t>Alur Produksi dan Strategi Maintenance</w:t>
      </w:r>
    </w:p>
    <w:p>
      <w:pPr>
        <w:pStyle w:val="Subtitle"/>
      </w:pPr>
      <w:r>
        <w:t>Panduan operasional untuk memahami aliran material, titik kendali, dan pemilihan pola pemeliharaan mesin produksi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831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31"/>
            <w:vAlign w:val="center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Dokumen matang • sumber terkorelasi • angka kritis terkontrol</w:t>
            </w:r>
          </w:p>
        </w:tc>
      </w:tr>
      <w:tr>
        <w:tc>
          <w:tcPr>
            <w:tcW w:type="dxa" w:w="4831"/>
            <w:vAlign w:val="center"/>
            <w:shd w:fill="2225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POSISI DOKUMEN</w:t>
            </w:r>
          </w:p>
        </w:tc>
        <w:tc>
          <w:tcPr>
            <w:tcW w:type="dxa" w:w="4831"/>
            <w:vAlign w:val="center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Panduan domain mandiri; bukan transkrip dan bukan pengganti SOP resmi</w:t>
            </w:r>
          </w:p>
        </w:tc>
      </w:tr>
    </w:tbl>
    <w:p>
      <w:pPr>
        <w:spacing w:before="600"/>
      </w:pPr>
      <w:r>
        <w:rPr>
          <w:b/>
          <w:color w:val="5B3FE0"/>
        </w:rPr>
        <w:t>TUJUAN</w:t>
        <w:br/>
      </w:r>
      <w:r>
        <w:t>Memberikan gambaran utuh mengenai hubungan alur produksi dengan keandalan mesin, sehingga gangguan dapat dicegah, ditangani, dan dievaluasi berdasarkan dampaknya terhadap mutu serta kontinuitas produksi.</w:t>
      </w:r>
    </w:p>
    <w:p>
      <w:pPr>
        <w:pStyle w:val="Heading2"/>
      </w:pPr>
      <w:r>
        <w:t>Ruang lingkup</w:t>
      </w:r>
    </w:p>
    <w:p>
      <w:pPr>
        <w:pStyle w:val="ListBullet"/>
      </w:pPr>
      <w:r>
        <w:t>Penerimaan dan penimbangan bahan</w:t>
      </w:r>
    </w:p>
    <w:p>
      <w:pPr>
        <w:pStyle w:val="ListBullet"/>
      </w:pPr>
      <w:r>
        <w:t>Penyimpanan dan identifikasi material</w:t>
      </w:r>
    </w:p>
    <w:p>
      <w:pPr>
        <w:pStyle w:val="ListBullet"/>
      </w:pPr>
      <w:r>
        <w:t>Compounding, filling, dan packaging</w:t>
      </w:r>
    </w:p>
    <w:p>
      <w:pPr>
        <w:pStyle w:val="ListBullet"/>
      </w:pPr>
      <w:r>
        <w:t>Klasifikasi kemasan primer, sekunder, dan tersier</w:t>
      </w:r>
    </w:p>
    <w:p>
      <w:pPr>
        <w:pStyle w:val="ListBullet"/>
      </w:pPr>
      <w:r>
        <w:t>Breakdown, preventive, time-based, dan predictive maintenance</w:t>
      </w:r>
    </w:p>
    <w:p>
      <w:pPr>
        <w:spacing w:before="360"/>
      </w:pPr>
      <w:r>
        <w:rPr>
          <w:b/>
          <w:color w:val="5B3FE0"/>
        </w:rPr>
        <w:t>Prinsip korelasi sumber</w:t>
        <w:br/>
      </w:r>
      <w:r>
        <w:t>Rekaman adalah sumber utama domain. Catatan scan dan foto hanya memperjelas konteks yang relevan. Informasi dari domain lain tidak digunakan untuk mengubah mandat, angka, atau keputusan dokumen ini.</w:t>
      </w:r>
    </w:p>
    <w:p>
      <w:r>
        <w:br w:type="page"/>
      </w:r>
    </w:p>
    <w:p>
      <w:pPr>
        <w:pStyle w:val="Heading1"/>
      </w:pPr>
      <w:r>
        <w:t>1. Model kerja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59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Prinsip</w:t>
            </w:r>
          </w:p>
        </w:tc>
        <w:tc>
          <w:tcPr>
            <w:tcW w:type="dxa" w:w="691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Makna operasional</w:t>
            </w:r>
          </w:p>
        </w:tc>
      </w:tr>
      <w:tr>
        <w:tc>
          <w:tcPr>
            <w:tcW w:type="dxa" w:w="25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Aliran terkendali</w:t>
            </w:r>
          </w:p>
        </w:tc>
        <w:tc>
          <w:tcPr>
            <w:tcW w:type="dxa" w:w="691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Setiap perpindahan material memiliki identitas, status, pemilik, dan titik serah yang jelas.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Mutu melekat pada proses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Kontrol tidak hanya dilakukan pada produk akhir; parameter penting dijaga sejak penimbangan hingga pengemasan.</w:t>
            </w:r>
          </w:p>
        </w:tc>
      </w:tr>
      <w:tr>
        <w:tc>
          <w:tcPr>
            <w:tcW w:type="dxa" w:w="25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Strategi berbasis kritikalitas</w:t>
            </w:r>
          </w:p>
        </w:tc>
        <w:tc>
          <w:tcPr>
            <w:tcW w:type="dxa" w:w="691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Pola maintenance dipilih menurut risiko keselamatan, kualitas, penghentian produksi, biaya, dan waktu pemulihan.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Bukti sebelum penutupan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Pekerjaan dinyatakan selesai setelah fungsi diuji dan hasilnya tercatat.</w:t>
            </w:r>
          </w:p>
        </w:tc>
      </w:tr>
    </w:tbl>
    <w:p/>
    <w:p>
      <w:pPr>
        <w:pStyle w:val="Heading1"/>
      </w:pPr>
      <w:r>
        <w:t>2. Alur kerja yang disarankan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79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Tahap</w:t>
            </w:r>
          </w:p>
        </w:tc>
        <w:tc>
          <w:tcPr>
            <w:tcW w:type="dxa" w:w="237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Aktivitas</w:t>
            </w:r>
          </w:p>
        </w:tc>
        <w:tc>
          <w:tcPr>
            <w:tcW w:type="dxa" w:w="633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Keluaran minimum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1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Penerimaan &amp; penimbangan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Verifikasi bahan, jumlah, identitas, dan status pelepasan.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2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Tagging &amp; penyimpanan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Jaga keterlacakan bahan dan pisahkan status material secara visual maupun sistem.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3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Compounding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Proses pencampuran mengikuti formula dan parameter tervalidasi.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4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Filling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Produk diisikan ke kemasan primer; kesiapan mesin dan kebersihan menjadi titik kendali utama.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5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Packaging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Kemasan sekunder/tersier melindungi, mengidentifikasi, dan menyiapkan produk untuk distribusi.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6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Rekonsiliasi &amp; rilis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Bandingkan pemakaian, hasil, reject, dan sisa; selesaikan penyimpangan sebelum penutupan batch.</w:t>
            </w:r>
          </w:p>
        </w:tc>
      </w:tr>
    </w:tbl>
    <w:p/>
    <w:p>
      <w:pPr>
        <w:pStyle w:val="Heading1"/>
      </w:pPr>
      <w:r>
        <w:t>3. Kendali dan bukti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160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328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Bukti/indikator</w:t>
            </w:r>
          </w:p>
        </w:tc>
        <w:tc>
          <w:tcPr>
            <w:tcW w:type="dxa" w:w="201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Frekuensi</w:t>
            </w:r>
          </w:p>
        </w:tc>
      </w:tr>
      <w:tr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Ketersediaan mesin</w:t>
            </w:r>
          </w:p>
        </w:tc>
        <w:tc>
          <w:tcPr>
            <w:tcW w:type="dxa" w:w="53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Downtime, frekuensi gangguan, dan waktu pemulihan</w:t>
            </w:r>
          </w:p>
        </w:tc>
        <w:tc>
          <w:tcPr>
            <w:tcW w:type="dxa" w:w="201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Harian/mingguan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Kualitas proses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Parameter kritis dan reject pada tiap tahap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 batch</w:t>
            </w:r>
          </w:p>
        </w:tc>
      </w:tr>
      <w:tr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Preventive maintenance</w:t>
            </w:r>
          </w:p>
        </w:tc>
        <w:tc>
          <w:tcPr>
            <w:tcW w:type="dxa" w:w="53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Kepatuhan jadwal dan pekerjaan tertunda</w:t>
            </w:r>
          </w:p>
        </w:tc>
        <w:tc>
          <w:tcPr>
            <w:tcW w:type="dxa" w:w="201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Mingguan/bulanan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Keandalan komponen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Pola kerusakan dan kebutuhan suku cadang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Bulanan</w:t>
            </w:r>
          </w:p>
        </w:tc>
      </w:tr>
    </w:tbl>
    <w:p/>
    <w:p>
      <w:pPr>
        <w:pStyle w:val="Heading1"/>
      </w:pPr>
      <w:r>
        <w:t>4. Risiko utama dan pengendalian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23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37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Dampak</w:t>
            </w:r>
          </w:p>
        </w:tc>
        <w:tc>
          <w:tcPr>
            <w:tcW w:type="dxa" w:w="489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Pengendalian</w:t>
            </w:r>
          </w:p>
        </w:tc>
      </w:tr>
      <w:tr>
        <w:tc>
          <w:tcPr>
            <w:tcW w:type="dxa" w:w="22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Kegagalan komponen kritis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Henti produksi atau risiko mutu</w:t>
            </w:r>
          </w:p>
        </w:tc>
        <w:tc>
          <w:tcPr>
            <w:tcW w:type="dxa" w:w="489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Daftar kritikalitas, preventive maintenance, dan stok minimum komponen kritis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Serah-terima tidak lengkap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Material atau status proses sulit ditelusuri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Checklist handoff dan identifikasi status</w:t>
            </w:r>
          </w:p>
        </w:tc>
      </w:tr>
      <w:tr>
        <w:tc>
          <w:tcPr>
            <w:tcW w:type="dxa" w:w="22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Perbaikan tanpa uji fungsi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Gangguan berulang</w:t>
            </w:r>
          </w:p>
        </w:tc>
        <w:tc>
          <w:tcPr>
            <w:tcW w:type="dxa" w:w="489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Post-test terdokumentasi sebelum work order ditutup</w:t>
            </w:r>
          </w:p>
        </w:tc>
      </w:tr>
    </w:tbl>
    <w:p/>
    <w:p>
      <w:pPr>
        <w:pStyle w:val="Heading1"/>
      </w:pPr>
      <w:r>
        <w:t>5. Agenda implementasi</w:t>
      </w:r>
    </w:p>
    <w:p>
      <w:r>
        <w:t>1. Susun peta mesin dan komponen kritis per tahapan produksi.</w:t>
      </w:r>
    </w:p>
    <w:p>
      <w:r>
        <w:t>2. Tetapkan pemilik proses serta bukti serah-terima pada setiap handoff.</w:t>
      </w:r>
    </w:p>
    <w:p>
      <w:r>
        <w:t>3. Pisahkan komponen run-to-failure, penggantian berkala, dan kandidat predictive maintenance.</w:t>
      </w:r>
    </w:p>
    <w:p>
      <w:r>
        <w:t>4. Gunakan data gangguan untuk memperbarui jadwal serta kebutuhan suku cadang.</w:t>
      </w:r>
    </w:p>
    <w:p>
      <w:pPr>
        <w:pStyle w:val="Heading1"/>
      </w:pPr>
      <w:r>
        <w:t>6. Catatan penggunaan dan verifikasi</w:t>
      </w:r>
    </w:p>
    <w:p>
      <w:pPr>
        <w:pStyle w:val="ListBullet"/>
      </w:pPr>
      <w:r>
        <w:t>Catatan pendukung menguatkan urutan compounding–filling–packaging dan peran mesin penunjang produksi.</w:t>
      </w:r>
    </w:p>
    <w:p>
      <w:pPr>
        <w:pStyle w:val="ListBullet"/>
      </w:pPr>
      <w:r>
        <w:t>Angka parameter proses spesifik harus mengikuti dokumen produksi dan validasi resmi; tidak ditetapkan oleh panduan ini.</w:t>
      </w:r>
    </w:p>
    <w:p>
      <w:pPr>
        <w:spacing w:before="200"/>
        <w:shd w:fill="FFF4D6"/>
      </w:pPr>
      <w:r>
        <w:rPr>
          <w:b/>
        </w:rPr>
        <w:t xml:space="preserve">Batas penggunaan. </w:t>
      </w:r>
      <w:r>
        <w:t>Dokumen ini mendukung orientasi, diskusi, dan penyusunan kontrol. Untuk pekerjaan berisiko, kepatuhan, parameter proses, atau switching, gunakan SOP/izin/drawing/hasil laboratorium yang berlaku.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16B"/>
        <w:sz w:val="16"/>
      </w:rPr>
      <w:t xml:space="preserve">Internal working document  •  17 August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C616B"/>
        <w:sz w:val="16"/>
      </w:rPr>
      <w:t>VOXTRACE  /  OPERATIONAL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1F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3FE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5B3FE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C1F2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1C1F2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