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SANCTIWALK USER EVALUATION QUESTIONNAIRE</w:t>
      </w:r>
    </w:p>
    <w:p>
      <w:pPr>
        <w:jc w:val="center"/>
      </w:pPr>
      <w:r>
        <w:rPr>
          <w:b w:val="0"/>
          <w:i/>
        </w:rPr>
        <w:t>A Mobile App Tour Guide System for Mary Help of Christians Parish and San Roque Cathedral Parish, Diocese of Kalookan</w:t>
      </w:r>
    </w:p>
    <w:p/>
    <w:p>
      <w:pPr>
        <w:ind w:left="432"/>
      </w:pPr>
      <w:r>
        <w:rPr>
          <w:i/>
          <w:color w:val="C00000"/>
        </w:rPr>
        <w:t>[NOTE] This instrument is a DRAFT for your adviser's review. It has not been validated and its reliability has not been established. Section F says what has to happen before it is administered. Do not describe it as validated in your paper until those steps are done and you can cite the evidence.</w:t>
      </w:r>
    </w:p>
    <w:p>
      <w:r>
        <w:br w:type="page"/>
      </w:r>
    </w:p>
    <w:p>
      <w:pPr>
        <w:pStyle w:val="Heading1"/>
      </w:pPr>
      <w:r>
        <w:rPr>
          <w:rFonts w:ascii="Times New Roman" w:hAnsi="Times New Roman"/>
          <w:color w:val="000000"/>
          <w:sz w:val="30"/>
        </w:rPr>
        <w:t>A. Survey Instructions and Respondent Eligibility</w:t>
      </w:r>
    </w:p>
    <w:p>
      <w:pPr>
        <w:pStyle w:val="Heading2"/>
      </w:pPr>
      <w:r>
        <w:rPr>
          <w:rFonts w:ascii="Times New Roman" w:hAnsi="Times New Roman"/>
          <w:color w:val="000000"/>
          <w:sz w:val="25"/>
        </w:rPr>
        <w:t>Instructions</w:t>
      </w:r>
    </w:p>
    <w:p>
      <w:r>
        <w:rPr>
          <w:b w:val="0"/>
          <w:i w:val="0"/>
        </w:rPr>
        <w:t>This survey gathers feedback from people who have tried the SanctiWalk mobile application. Your answers will be used only for an academic study and no individual response will be identified.</w:t>
      </w:r>
    </w:p>
    <w:p>
      <w:r>
        <w:rPr>
          <w:b w:val="0"/>
          <w:i w:val="0"/>
        </w:rPr>
        <w:t>Please answer every statement based on your own experience of using SanctiWalk, not on what you expect the application to do. There are no right or wrong answers. For each statement, choose the one response that best matches your experience.</w:t>
      </w:r>
    </w:p>
    <w:tbl>
      <w:tblPr>
        <w:tblStyle w:val="TableGrid"/>
        <w:tblW w:type="auto" w:w="0"/>
        <w:jc w:val="center"/>
        <w:tblLook w:firstColumn="1" w:firstRow="1" w:lastColumn="0" w:lastRow="0" w:noHBand="0" w:noVBand="1" w:val="04A0"/>
      </w:tblPr>
      <w:tblGrid>
        <w:gridCol w:w="4680"/>
        <w:gridCol w:w="4680"/>
      </w:tblGrid>
      <w:tr>
        <w:tc>
          <w:tcPr>
            <w:tcW w:type="dxa" w:w="1296"/>
          </w:tcPr>
          <w:p>
            <w:pPr>
              <w:spacing w:after="0"/>
            </w:pPr>
            <w:r>
              <w:rPr>
                <w:rFonts w:ascii="Times New Roman" w:hAnsi="Times New Roman"/>
                <w:b/>
                <w:sz w:val="22"/>
              </w:rPr>
              <w:t>Rating</w:t>
            </w:r>
          </w:p>
        </w:tc>
        <w:tc>
          <w:tcPr>
            <w:tcW w:type="dxa" w:w="4320"/>
          </w:tcPr>
          <w:p>
            <w:pPr>
              <w:spacing w:after="0"/>
            </w:pPr>
            <w:r>
              <w:rPr>
                <w:rFonts w:ascii="Times New Roman" w:hAnsi="Times New Roman"/>
                <w:b/>
                <w:sz w:val="22"/>
              </w:rPr>
              <w:t>Response</w:t>
            </w:r>
          </w:p>
        </w:tc>
      </w:tr>
      <w:tr>
        <w:tc>
          <w:tcPr>
            <w:tcW w:type="dxa" w:w="1296"/>
          </w:tcPr>
          <w:p>
            <w:pPr>
              <w:spacing w:after="0" w:line="240" w:lineRule="auto"/>
              <w:jc w:val="left"/>
            </w:pPr>
            <w:r>
              <w:rPr>
                <w:rFonts w:ascii="Times New Roman" w:hAnsi="Times New Roman"/>
                <w:sz w:val="22"/>
              </w:rPr>
              <w:t>5</w:t>
            </w:r>
          </w:p>
        </w:tc>
        <w:tc>
          <w:tcPr>
            <w:tcW w:type="dxa" w:w="4320"/>
          </w:tcPr>
          <w:p>
            <w:pPr>
              <w:spacing w:after="0" w:line="240" w:lineRule="auto"/>
              <w:jc w:val="left"/>
            </w:pPr>
            <w:r>
              <w:rPr>
                <w:rFonts w:ascii="Times New Roman" w:hAnsi="Times New Roman"/>
                <w:sz w:val="22"/>
              </w:rPr>
              <w:t>Strongly Agree</w:t>
            </w:r>
          </w:p>
        </w:tc>
      </w:tr>
      <w:tr>
        <w:tc>
          <w:tcPr>
            <w:tcW w:type="dxa" w:w="1296"/>
          </w:tcPr>
          <w:p>
            <w:pPr>
              <w:spacing w:after="0" w:line="240" w:lineRule="auto"/>
              <w:jc w:val="left"/>
            </w:pPr>
            <w:r>
              <w:rPr>
                <w:rFonts w:ascii="Times New Roman" w:hAnsi="Times New Roman"/>
                <w:sz w:val="22"/>
              </w:rPr>
              <w:t>4</w:t>
            </w:r>
          </w:p>
        </w:tc>
        <w:tc>
          <w:tcPr>
            <w:tcW w:type="dxa" w:w="4320"/>
          </w:tcPr>
          <w:p>
            <w:pPr>
              <w:spacing w:after="0" w:line="240" w:lineRule="auto"/>
              <w:jc w:val="left"/>
            </w:pPr>
            <w:r>
              <w:rPr>
                <w:rFonts w:ascii="Times New Roman" w:hAnsi="Times New Roman"/>
                <w:sz w:val="22"/>
              </w:rPr>
              <w:t>Agree</w:t>
            </w:r>
          </w:p>
        </w:tc>
      </w:tr>
      <w:tr>
        <w:tc>
          <w:tcPr>
            <w:tcW w:type="dxa" w:w="1296"/>
          </w:tcPr>
          <w:p>
            <w:pPr>
              <w:spacing w:after="0" w:line="240" w:lineRule="auto"/>
              <w:jc w:val="left"/>
            </w:pPr>
            <w:r>
              <w:rPr>
                <w:rFonts w:ascii="Times New Roman" w:hAnsi="Times New Roman"/>
                <w:sz w:val="22"/>
              </w:rPr>
              <w:t>3</w:t>
            </w:r>
          </w:p>
        </w:tc>
        <w:tc>
          <w:tcPr>
            <w:tcW w:type="dxa" w:w="4320"/>
          </w:tcPr>
          <w:p>
            <w:pPr>
              <w:spacing w:after="0" w:line="240" w:lineRule="auto"/>
              <w:jc w:val="left"/>
            </w:pPr>
            <w:r>
              <w:rPr>
                <w:rFonts w:ascii="Times New Roman" w:hAnsi="Times New Roman"/>
                <w:sz w:val="22"/>
              </w:rPr>
              <w:t>Neither Agree nor Disagree</w:t>
            </w:r>
          </w:p>
        </w:tc>
      </w:tr>
      <w:tr>
        <w:tc>
          <w:tcPr>
            <w:tcW w:type="dxa" w:w="1296"/>
          </w:tcPr>
          <w:p>
            <w:pPr>
              <w:spacing w:after="0" w:line="240" w:lineRule="auto"/>
              <w:jc w:val="left"/>
            </w:pPr>
            <w:r>
              <w:rPr>
                <w:rFonts w:ascii="Times New Roman" w:hAnsi="Times New Roman"/>
                <w:sz w:val="22"/>
              </w:rPr>
              <w:t>2</w:t>
            </w:r>
          </w:p>
        </w:tc>
        <w:tc>
          <w:tcPr>
            <w:tcW w:type="dxa" w:w="4320"/>
          </w:tcPr>
          <w:p>
            <w:pPr>
              <w:spacing w:after="0" w:line="240" w:lineRule="auto"/>
              <w:jc w:val="left"/>
            </w:pPr>
            <w:r>
              <w:rPr>
                <w:rFonts w:ascii="Times New Roman" w:hAnsi="Times New Roman"/>
                <w:sz w:val="22"/>
              </w:rPr>
              <w:t>Disagree</w:t>
            </w:r>
          </w:p>
        </w:tc>
      </w:tr>
      <w:tr>
        <w:tc>
          <w:tcPr>
            <w:tcW w:type="dxa" w:w="1296"/>
          </w:tcPr>
          <w:p>
            <w:pPr>
              <w:spacing w:after="0" w:line="240" w:lineRule="auto"/>
              <w:jc w:val="left"/>
            </w:pPr>
            <w:r>
              <w:rPr>
                <w:rFonts w:ascii="Times New Roman" w:hAnsi="Times New Roman"/>
                <w:sz w:val="22"/>
              </w:rPr>
              <w:t>1</w:t>
            </w:r>
          </w:p>
        </w:tc>
        <w:tc>
          <w:tcPr>
            <w:tcW w:type="dxa" w:w="4320"/>
          </w:tcPr>
          <w:p>
            <w:pPr>
              <w:spacing w:after="0" w:line="240" w:lineRule="auto"/>
              <w:jc w:val="left"/>
            </w:pPr>
            <w:r>
              <w:rPr>
                <w:rFonts w:ascii="Times New Roman" w:hAnsi="Times New Roman"/>
                <w:sz w:val="22"/>
              </w:rPr>
              <w:t>Strongly Disagree</w:t>
            </w:r>
          </w:p>
        </w:tc>
      </w:tr>
    </w:tbl>
    <w:p/>
    <w:p>
      <w:pPr>
        <w:pStyle w:val="Heading2"/>
      </w:pPr>
      <w:r>
        <w:rPr>
          <w:rFonts w:ascii="Times New Roman" w:hAnsi="Times New Roman"/>
          <w:color w:val="000000"/>
          <w:sz w:val="25"/>
        </w:rPr>
        <w:t>Part I. Respondent Eligibility</w:t>
      </w:r>
    </w:p>
    <w:p>
      <w:r>
        <w:rPr>
          <w:b/>
          <w:i w:val="0"/>
        </w:rPr>
        <w:t>S1. Have you tried or used the SanctiWalk application?</w:t>
      </w:r>
    </w:p>
    <w:p>
      <w:r>
        <w:rPr>
          <w:b w:val="0"/>
          <w:i w:val="0"/>
        </w:rPr>
        <w:t xml:space="preserve">         ☐ Yes, I have used it.          ☐ No, I have not used it.</w:t>
      </w:r>
    </w:p>
    <w:p>
      <w:r>
        <w:rPr>
          <w:b w:val="0"/>
          <w:i/>
        </w:rPr>
        <w:t>If you answered No, please stop here and return the form. The statements that follow ask about your own experience of the application, and they cannot be answered by someone who has not used it.</w:t>
      </w:r>
    </w:p>
    <w:p>
      <w:pPr>
        <w:ind w:left="432"/>
      </w:pPr>
      <w:r>
        <w:rPr>
          <w:i/>
          <w:color w:val="C00000"/>
        </w:rPr>
        <w:t>[NOTE] S1 is a screening question and is NOT one of the 15 Likert items. Exclude every 'No' form from the analysis entirely rather than treating blank answers as neutral; a blank is not a 3.</w:t>
      </w:r>
    </w:p>
    <w:p>
      <w:r>
        <w:br w:type="page"/>
      </w:r>
    </w:p>
    <w:p>
      <w:pPr>
        <w:pStyle w:val="Heading1"/>
      </w:pPr>
      <w:r>
        <w:rPr>
          <w:rFonts w:ascii="Times New Roman" w:hAnsi="Times New Roman"/>
          <w:color w:val="000000"/>
          <w:sz w:val="30"/>
        </w:rPr>
        <w:t>B. Part II. Evaluation of SanctiWalk</w:t>
      </w:r>
    </w:p>
    <w:p>
      <w:r>
        <w:rPr>
          <w:b w:val="0"/>
          <w:i/>
        </w:rPr>
        <w:t>For each statement, tick one box: 5 Strongly Agree, 4 Agree, 3 Neither Agree nor Disagree, 2 Disagree, 1 Strongly Disagree.</w:t>
      </w:r>
    </w:p>
    <w:p>
      <w:pPr>
        <w:spacing w:after="40"/>
      </w:pPr>
      <w:r>
        <w:t>1. The church history section was easy to find in the application.</w:t>
      </w:r>
    </w:p>
    <w:p>
      <w:pPr>
        <w:spacing w:after="160"/>
        <w:ind w:left="504"/>
      </w:pPr>
      <w:r>
        <w:t>☐ 5        ☐ 4        ☐ 3        ☐ 2        ☐ 1</w:t>
      </w:r>
    </w:p>
    <w:p>
      <w:pPr>
        <w:spacing w:after="40"/>
      </w:pPr>
      <w:r>
        <w:t>2. The history of the church was written in a way I could understand.</w:t>
      </w:r>
    </w:p>
    <w:p>
      <w:pPr>
        <w:spacing w:after="160"/>
        <w:ind w:left="504"/>
      </w:pPr>
      <w:r>
        <w:t>☐ 5        ☐ 4        ☐ 3        ☐ 2        ☐ 1</w:t>
      </w:r>
    </w:p>
    <w:p>
      <w:pPr>
        <w:spacing w:after="40"/>
      </w:pPr>
      <w:r>
        <w:t>3. Scanning a marker with my phone showed me information about the part of the church I was standing in front of.</w:t>
      </w:r>
    </w:p>
    <w:p>
      <w:pPr>
        <w:spacing w:after="160"/>
        <w:ind w:left="504"/>
      </w:pPr>
      <w:r>
        <w:t>☐ 5        ☐ 4        ☐ 3        ☐ 2        ☐ 1</w:t>
      </w:r>
    </w:p>
    <w:p>
      <w:pPr>
        <w:spacing w:after="40"/>
      </w:pPr>
      <w:r>
        <w:t>4. Using the camera to scan a saint, image, or religious object gave me useful information about it.</w:t>
      </w:r>
    </w:p>
    <w:p>
      <w:pPr>
        <w:spacing w:after="160"/>
        <w:ind w:left="504"/>
      </w:pPr>
      <w:r>
        <w:t>☐ 5        ☐ 4        ☐ 3        ☐ 2        ☐ 1</w:t>
      </w:r>
    </w:p>
    <w:p>
      <w:pPr>
        <w:spacing w:after="40"/>
      </w:pPr>
      <w:r>
        <w:t>5. After using SanctiWalk, I felt I understood more about the religious and cultural meaning of the things inside the church.</w:t>
      </w:r>
    </w:p>
    <w:p>
      <w:pPr>
        <w:spacing w:after="160"/>
        <w:ind w:left="504"/>
      </w:pPr>
      <w:r>
        <w:t>☐ 5        ☐ 4        ☐ 3        ☐ 2        ☐ 1</w:t>
      </w:r>
    </w:p>
    <w:p>
      <w:pPr>
        <w:spacing w:after="40"/>
      </w:pPr>
      <w:r>
        <w:t>6. The Mass schedule was easy to find in the application.</w:t>
      </w:r>
    </w:p>
    <w:p>
      <w:pPr>
        <w:spacing w:after="160"/>
        <w:ind w:left="504"/>
      </w:pPr>
      <w:r>
        <w:t>☐ 5        ☐ 4        ☐ 3        ☐ 2        ☐ 1</w:t>
      </w:r>
    </w:p>
    <w:p>
      <w:pPr>
        <w:spacing w:after="40"/>
      </w:pPr>
      <w:r>
        <w:t>7. The parish information I read in the application matched what the parish actually announced.</w:t>
      </w:r>
    </w:p>
    <w:p>
      <w:pPr>
        <w:spacing w:after="160"/>
        <w:ind w:left="504"/>
      </w:pPr>
      <w:r>
        <w:t>☐ 5        ☐ 4        ☐ 3        ☐ 2        ☐ 1</w:t>
      </w:r>
    </w:p>
    <w:p>
      <w:pPr>
        <w:spacing w:after="40"/>
      </w:pPr>
      <w:r>
        <w:t>8. The feast days and announcements shown in the application were up to date.</w:t>
      </w:r>
    </w:p>
    <w:p>
      <w:pPr>
        <w:spacing w:after="160"/>
        <w:ind w:left="504"/>
      </w:pPr>
      <w:r>
        <w:t>☐ 5        ☐ 4        ☐ 3        ☐ 2        ☐ 1</w:t>
      </w:r>
    </w:p>
    <w:p>
      <w:pPr>
        <w:spacing w:after="40"/>
      </w:pPr>
      <w:r>
        <w:t>9. The map made it easy to see where the participating churches are located.</w:t>
      </w:r>
    </w:p>
    <w:p>
      <w:pPr>
        <w:spacing w:after="160"/>
        <w:ind w:left="504"/>
      </w:pPr>
      <w:r>
        <w:t>☐ 5        ☐ 4        ☐ 3        ☐ 2        ☐ 1</w:t>
      </w:r>
    </w:p>
    <w:p>
      <w:pPr>
        <w:spacing w:after="40"/>
      </w:pPr>
      <w:r>
        <w:t>10. The walking directions were clear enough to follow on the way to a church.</w:t>
      </w:r>
    </w:p>
    <w:p>
      <w:pPr>
        <w:spacing w:after="160"/>
        <w:ind w:left="504"/>
      </w:pPr>
      <w:r>
        <w:t>☐ 5        ☐ 4        ☐ 3        ☐ 2        ☐ 1</w:t>
      </w:r>
    </w:p>
    <w:p>
      <w:pPr>
        <w:spacing w:after="40"/>
      </w:pPr>
      <w:r>
        <w:t>11. Being able to read the application in English or Filipino made it easier for me to use.</w:t>
      </w:r>
    </w:p>
    <w:p>
      <w:pPr>
        <w:spacing w:after="160"/>
        <w:ind w:left="504"/>
      </w:pPr>
      <w:r>
        <w:t>☐ 5        ☐ 4        ☐ 3        ☐ 2        ☐ 1</w:t>
      </w:r>
    </w:p>
    <w:p>
      <w:pPr>
        <w:spacing w:after="40"/>
      </w:pPr>
      <w:r>
        <w:t>12. Submitting an application for a ministry or a sacrament through the application was easy to do.</w:t>
      </w:r>
    </w:p>
    <w:p>
      <w:pPr>
        <w:spacing w:after="160"/>
        <w:ind w:left="504"/>
      </w:pPr>
      <w:r>
        <w:t>☐ 5        ☐ 4        ☐ 3        ☐ 2        ☐ 1</w:t>
      </w:r>
    </w:p>
    <w:p>
      <w:pPr>
        <w:spacing w:after="40"/>
      </w:pPr>
      <w:r>
        <w:t>13. The requirements for the ministry or sacrament I applied for were clearly explained before I applied.</w:t>
      </w:r>
    </w:p>
    <w:p>
      <w:pPr>
        <w:spacing w:after="160"/>
        <w:ind w:left="504"/>
      </w:pPr>
      <w:r>
        <w:t>☐ 5        ☐ 4        ☐ 3        ☐ 2        ☐ 1</w:t>
      </w:r>
    </w:p>
    <w:p>
      <w:pPr>
        <w:spacing w:after="40"/>
      </w:pPr>
      <w:r>
        <w:t>14. I was able to check the status of my application without going to the parish office.</w:t>
      </w:r>
    </w:p>
    <w:p>
      <w:pPr>
        <w:spacing w:after="160"/>
        <w:ind w:left="504"/>
      </w:pPr>
      <w:r>
        <w:t>☐ 5        ☐ 4        ☐ 3        ☐ 2        ☐ 1</w:t>
      </w:r>
    </w:p>
    <w:p>
      <w:pPr>
        <w:spacing w:after="40"/>
      </w:pPr>
      <w:r>
        <w:t>15. I was kept informed about what was happening with my application.</w:t>
      </w:r>
    </w:p>
    <w:p>
      <w:pPr>
        <w:spacing w:after="160"/>
        <w:ind w:left="504"/>
      </w:pPr>
      <w:r>
        <w:t>☐ 5        ☐ 4        ☐ 3        ☐ 2        ☐ 1</w:t>
      </w:r>
    </w:p>
    <w:p>
      <w:pPr>
        <w:ind w:left="432"/>
      </w:pPr>
      <w:r>
        <w:rPr>
          <w:i/>
          <w:color w:val="C00000"/>
        </w:rPr>
        <w:t>[NOTE] Items 3, 4 and 12 to 15 can only be answered by someone who actually did that thing. A visitor who never scanned a marker, or never applied for anything, has no experience to report - and if they answer 3 anyway, that 3 enters your mean as though it were a considered neutral judgement. See Section F for the two ways to handle this; decide with your adviser BEFORE you administer the survey, because it cannot be fixed afterwards.</w:t>
      </w:r>
    </w:p>
    <w:p>
      <w:r>
        <w:br w:type="page"/>
      </w:r>
    </w:p>
    <w:p>
      <w:pPr>
        <w:pStyle w:val="Heading1"/>
      </w:pPr>
      <w:r>
        <w:rPr>
          <w:rFonts w:ascii="Times New Roman" w:hAnsi="Times New Roman"/>
          <w:color w:val="000000"/>
          <w:sz w:val="30"/>
        </w:rPr>
        <w:t>C. Researcher's Explanation for Every Question</w:t>
      </w:r>
    </w:p>
    <w:p>
      <w:r>
        <w:rPr>
          <w:b w:val="0"/>
          <w:i/>
        </w:rPr>
        <w:t>This table is for the research team and the panel. It is not given to respondents.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504"/>
          </w:tcPr>
          <w:p>
            <w:pPr>
              <w:spacing w:after="0"/>
            </w:pPr>
            <w:r>
              <w:rPr>
                <w:rFonts w:ascii="Times New Roman" w:hAnsi="Times New Roman"/>
                <w:b/>
                <w:sz w:val="16"/>
              </w:rPr>
              <w:t>No.</w:t>
            </w:r>
          </w:p>
        </w:tc>
        <w:tc>
          <w:tcPr>
            <w:tcW w:type="dxa" w:w="2160"/>
          </w:tcPr>
          <w:p>
            <w:pPr>
              <w:spacing w:after="0"/>
            </w:pPr>
            <w:r>
              <w:rPr>
                <w:rFonts w:ascii="Times New Roman" w:hAnsi="Times New Roman"/>
                <w:b/>
                <w:sz w:val="16"/>
              </w:rPr>
              <w:t>Exact Statement</w:t>
            </w:r>
          </w:p>
        </w:tc>
        <w:tc>
          <w:tcPr>
            <w:tcW w:type="dxa" w:w="1224"/>
          </w:tcPr>
          <w:p>
            <w:pPr>
              <w:spacing w:after="0"/>
            </w:pPr>
            <w:r>
              <w:rPr>
                <w:rFonts w:ascii="Times New Roman" w:hAnsi="Times New Roman"/>
                <w:b/>
                <w:sz w:val="16"/>
              </w:rPr>
              <w:t>Related SOP / Objective</w:t>
            </w:r>
          </w:p>
        </w:tc>
        <w:tc>
          <w:tcPr>
            <w:tcW w:type="dxa" w:w="1368"/>
          </w:tcPr>
          <w:p>
            <w:pPr>
              <w:spacing w:after="0"/>
            </w:pPr>
            <w:r>
              <w:rPr>
                <w:rFonts w:ascii="Times New Roman" w:hAnsi="Times New Roman"/>
                <w:b/>
                <w:sz w:val="16"/>
              </w:rPr>
              <w:t>Construct Measured</w:t>
            </w:r>
          </w:p>
        </w:tc>
        <w:tc>
          <w:tcPr>
            <w:tcW w:type="dxa" w:w="2736"/>
          </w:tcPr>
          <w:p>
            <w:pPr>
              <w:spacing w:after="0"/>
            </w:pPr>
            <w:r>
              <w:rPr>
                <w:rFonts w:ascii="Times New Roman" w:hAnsi="Times New Roman"/>
                <w:b/>
                <w:sz w:val="16"/>
              </w:rPr>
              <w:t>Purpose</w:t>
            </w:r>
          </w:p>
        </w:tc>
        <w:tc>
          <w:tcPr>
            <w:tcW w:type="dxa" w:w="2304"/>
          </w:tcPr>
          <w:p>
            <w:pPr>
              <w:spacing w:after="0"/>
            </w:pPr>
            <w:r>
              <w:rPr>
                <w:rFonts w:ascii="Times New Roman" w:hAnsi="Times New Roman"/>
                <w:b/>
                <w:sz w:val="16"/>
              </w:rPr>
              <w:t>Interpretation</w:t>
            </w:r>
          </w:p>
        </w:tc>
        <w:tc>
          <w:tcPr>
            <w:tcW w:type="dxa" w:w="1224"/>
          </w:tcPr>
          <w:p>
            <w:pPr>
              <w:spacing w:after="0"/>
            </w:pPr>
            <w:r>
              <w:rPr>
                <w:rFonts w:ascii="Times New Roman" w:hAnsi="Times New Roman"/>
                <w:b/>
                <w:sz w:val="16"/>
              </w:rPr>
              <w:t>Statistical Treatment</w:t>
            </w:r>
          </w:p>
        </w:tc>
      </w:tr>
      <w:tr>
        <w:tc>
          <w:tcPr>
            <w:tcW w:type="dxa" w:w="504"/>
          </w:tcPr>
          <w:p>
            <w:pPr>
              <w:spacing w:after="0" w:line="240" w:lineRule="auto"/>
              <w:jc w:val="left"/>
            </w:pPr>
            <w:r>
              <w:rPr>
                <w:rFonts w:ascii="Times New Roman" w:hAnsi="Times New Roman"/>
                <w:sz w:val="16"/>
              </w:rPr>
              <w:t>1</w:t>
            </w:r>
          </w:p>
        </w:tc>
        <w:tc>
          <w:tcPr>
            <w:tcW w:type="dxa" w:w="2160"/>
          </w:tcPr>
          <w:p>
            <w:pPr>
              <w:spacing w:after="0" w:line="240" w:lineRule="auto"/>
              <w:jc w:val="left"/>
            </w:pPr>
            <w:r>
              <w:rPr>
                <w:rFonts w:ascii="Times New Roman" w:hAnsi="Times New Roman"/>
                <w:sz w:val="16"/>
              </w:rPr>
              <w:t>The church history section was easy to find in the application.</w:t>
            </w:r>
          </w:p>
        </w:tc>
        <w:tc>
          <w:tcPr>
            <w:tcW w:type="dxa" w:w="1224"/>
          </w:tcPr>
          <w:p>
            <w:pPr>
              <w:spacing w:after="0" w:line="240" w:lineRule="auto"/>
              <w:jc w:val="left"/>
            </w:pPr>
            <w:r>
              <w:rPr>
                <w:rFonts w:ascii="Times New Roman" w:hAnsi="Times New Roman"/>
                <w:sz w:val="16"/>
              </w:rPr>
              <w:t>Objective 1 / RQ1</w:t>
            </w:r>
          </w:p>
        </w:tc>
        <w:tc>
          <w:tcPr>
            <w:tcW w:type="dxa" w:w="1368"/>
          </w:tcPr>
          <w:p>
            <w:pPr>
              <w:spacing w:after="0" w:line="240" w:lineRule="auto"/>
              <w:jc w:val="left"/>
            </w:pPr>
            <w:r>
              <w:rPr>
                <w:rFonts w:ascii="Times New Roman" w:hAnsi="Times New Roman"/>
                <w:sz w:val="16"/>
              </w:rPr>
              <w:t>Information accessibility (history)</w:t>
            </w:r>
          </w:p>
        </w:tc>
        <w:tc>
          <w:tcPr>
            <w:tcW w:type="dxa" w:w="2736"/>
          </w:tcPr>
          <w:p>
            <w:pPr>
              <w:spacing w:after="0" w:line="240" w:lineRule="auto"/>
              <w:jc w:val="left"/>
            </w:pPr>
            <w:r>
              <w:rPr>
                <w:rFonts w:ascii="Times New Roman" w:hAnsi="Times New Roman"/>
                <w:sz w:val="16"/>
              </w:rPr>
              <w:t>RQ1 asks about accessibility of church history through a dedicated history section. This measures whether the section can be found at all, which is the precondition for everything else in the objective.</w:t>
            </w:r>
          </w:p>
        </w:tc>
        <w:tc>
          <w:tcPr>
            <w:tcW w:type="dxa" w:w="2304"/>
          </w:tcPr>
          <w:p>
            <w:pPr>
              <w:spacing w:after="0" w:line="240" w:lineRule="auto"/>
              <w:jc w:val="left"/>
            </w:pPr>
            <w:r>
              <w:rPr>
                <w:rFonts w:ascii="Times New Roman" w:hAnsi="Times New Roman"/>
                <w:sz w:val="16"/>
              </w:rPr>
              <w:t>Higher: the history section is easy to locate. Lower: it is buried, and the content behind it is not reaching visitors.</w:t>
            </w:r>
          </w:p>
        </w:tc>
        <w:tc>
          <w:tcPr>
            <w:tcW w:type="dxa" w:w="1224"/>
          </w:tcPr>
          <w:p>
            <w:pPr>
              <w:spacing w:after="0" w:line="240" w:lineRule="auto"/>
              <w:jc w:val="left"/>
            </w:pPr>
            <w:r>
              <w:rPr>
                <w:rFonts w:ascii="Times New Roman" w:hAnsi="Times New Roman"/>
                <w:sz w:val="16"/>
              </w:rPr>
              <w:t>Frequency, percentage, weighted mean, SD</w:t>
            </w:r>
          </w:p>
        </w:tc>
      </w:tr>
      <w:tr>
        <w:tc>
          <w:tcPr>
            <w:tcW w:type="dxa" w:w="504"/>
          </w:tcPr>
          <w:p>
            <w:pPr>
              <w:spacing w:after="0" w:line="240" w:lineRule="auto"/>
              <w:jc w:val="left"/>
            </w:pPr>
            <w:r>
              <w:rPr>
                <w:rFonts w:ascii="Times New Roman" w:hAnsi="Times New Roman"/>
                <w:sz w:val="16"/>
              </w:rPr>
              <w:t>2</w:t>
            </w:r>
          </w:p>
        </w:tc>
        <w:tc>
          <w:tcPr>
            <w:tcW w:type="dxa" w:w="2160"/>
          </w:tcPr>
          <w:p>
            <w:pPr>
              <w:spacing w:after="0" w:line="240" w:lineRule="auto"/>
              <w:jc w:val="left"/>
            </w:pPr>
            <w:r>
              <w:rPr>
                <w:rFonts w:ascii="Times New Roman" w:hAnsi="Times New Roman"/>
                <w:sz w:val="16"/>
              </w:rPr>
              <w:t>The history of the church was written in a way I could understand.</w:t>
            </w:r>
          </w:p>
        </w:tc>
        <w:tc>
          <w:tcPr>
            <w:tcW w:type="dxa" w:w="1224"/>
          </w:tcPr>
          <w:p>
            <w:pPr>
              <w:spacing w:after="0" w:line="240" w:lineRule="auto"/>
              <w:jc w:val="left"/>
            </w:pPr>
            <w:r>
              <w:rPr>
                <w:rFonts w:ascii="Times New Roman" w:hAnsi="Times New Roman"/>
                <w:sz w:val="16"/>
              </w:rPr>
              <w:t>Objective 1 / RQ1</w:t>
            </w:r>
          </w:p>
        </w:tc>
        <w:tc>
          <w:tcPr>
            <w:tcW w:type="dxa" w:w="1368"/>
          </w:tcPr>
          <w:p>
            <w:pPr>
              <w:spacing w:after="0" w:line="240" w:lineRule="auto"/>
              <w:jc w:val="left"/>
            </w:pPr>
            <w:r>
              <w:rPr>
                <w:rFonts w:ascii="Times New Roman" w:hAnsi="Times New Roman"/>
                <w:sz w:val="16"/>
              </w:rPr>
              <w:t>Comprehensibility of content</w:t>
            </w:r>
          </w:p>
        </w:tc>
        <w:tc>
          <w:tcPr>
            <w:tcW w:type="dxa" w:w="2736"/>
          </w:tcPr>
          <w:p>
            <w:pPr>
              <w:spacing w:after="0" w:line="240" w:lineRule="auto"/>
              <w:jc w:val="left"/>
            </w:pPr>
            <w:r>
              <w:rPr>
                <w:rFonts w:ascii="Times New Roman" w:hAnsi="Times New Roman"/>
                <w:sz w:val="16"/>
              </w:rPr>
              <w:t>RQ1 names 'understanding'. Accessibility is worthless if the text is not understandable to an ordinary visitor, so readability is measured separately from findability.</w:t>
            </w:r>
          </w:p>
        </w:tc>
        <w:tc>
          <w:tcPr>
            <w:tcW w:type="dxa" w:w="2304"/>
          </w:tcPr>
          <w:p>
            <w:pPr>
              <w:spacing w:after="0" w:line="240" w:lineRule="auto"/>
              <w:jc w:val="left"/>
            </w:pPr>
            <w:r>
              <w:rPr>
                <w:rFonts w:ascii="Times New Roman" w:hAnsi="Times New Roman"/>
                <w:sz w:val="16"/>
              </w:rPr>
              <w:t>Higher: the writing suits its audience. Lower: the history is present but pitched wrongly.</w:t>
            </w:r>
          </w:p>
        </w:tc>
        <w:tc>
          <w:tcPr>
            <w:tcW w:type="dxa" w:w="1224"/>
          </w:tcPr>
          <w:p>
            <w:pPr>
              <w:spacing w:after="0" w:line="240" w:lineRule="auto"/>
              <w:jc w:val="left"/>
            </w:pPr>
            <w:r>
              <w:rPr>
                <w:rFonts w:ascii="Times New Roman" w:hAnsi="Times New Roman"/>
                <w:sz w:val="16"/>
              </w:rPr>
              <w:t>Frequency, percentage, weighted mean, SD</w:t>
            </w:r>
          </w:p>
        </w:tc>
      </w:tr>
      <w:tr>
        <w:tc>
          <w:tcPr>
            <w:tcW w:type="dxa" w:w="504"/>
          </w:tcPr>
          <w:p>
            <w:pPr>
              <w:spacing w:after="0" w:line="240" w:lineRule="auto"/>
              <w:jc w:val="left"/>
            </w:pPr>
            <w:r>
              <w:rPr>
                <w:rFonts w:ascii="Times New Roman" w:hAnsi="Times New Roman"/>
                <w:sz w:val="16"/>
              </w:rPr>
              <w:t>3</w:t>
            </w:r>
          </w:p>
        </w:tc>
        <w:tc>
          <w:tcPr>
            <w:tcW w:type="dxa" w:w="2160"/>
          </w:tcPr>
          <w:p>
            <w:pPr>
              <w:spacing w:after="0" w:line="240" w:lineRule="auto"/>
              <w:jc w:val="left"/>
            </w:pPr>
            <w:r>
              <w:rPr>
                <w:rFonts w:ascii="Times New Roman" w:hAnsi="Times New Roman"/>
                <w:sz w:val="16"/>
              </w:rPr>
              <w:t>Scanning a marker with my phone showed me information about the part of the church I was standing in front of.</w:t>
            </w:r>
          </w:p>
        </w:tc>
        <w:tc>
          <w:tcPr>
            <w:tcW w:type="dxa" w:w="1224"/>
          </w:tcPr>
          <w:p>
            <w:pPr>
              <w:spacing w:after="0" w:line="240" w:lineRule="auto"/>
              <w:jc w:val="left"/>
            </w:pPr>
            <w:r>
              <w:rPr>
                <w:rFonts w:ascii="Times New Roman" w:hAnsi="Times New Roman"/>
                <w:sz w:val="16"/>
              </w:rPr>
              <w:t>Objective 1 / RQ1</w:t>
            </w:r>
          </w:p>
        </w:tc>
        <w:tc>
          <w:tcPr>
            <w:tcW w:type="dxa" w:w="1368"/>
          </w:tcPr>
          <w:p>
            <w:pPr>
              <w:spacing w:after="0" w:line="240" w:lineRule="auto"/>
              <w:jc w:val="left"/>
            </w:pPr>
            <w:r>
              <w:rPr>
                <w:rFonts w:ascii="Times New Roman" w:hAnsi="Times New Roman"/>
                <w:sz w:val="16"/>
              </w:rPr>
              <w:t>Augmented reality: usefulness in place</w:t>
            </w:r>
          </w:p>
        </w:tc>
        <w:tc>
          <w:tcPr>
            <w:tcW w:type="dxa" w:w="2736"/>
          </w:tcPr>
          <w:p>
            <w:pPr>
              <w:spacing w:after="0" w:line="240" w:lineRule="auto"/>
              <w:jc w:val="left"/>
            </w:pPr>
            <w:r>
              <w:rPr>
                <w:rFonts w:ascii="Times New Roman" w:hAnsi="Times New Roman"/>
                <w:sz w:val="16"/>
              </w:rPr>
              <w:t>Objective 1 names augmented reality explicitly. This asks whether the marker tour actually delivered information about the right object, which is the thing the AR exists to do.</w:t>
            </w:r>
          </w:p>
        </w:tc>
        <w:tc>
          <w:tcPr>
            <w:tcW w:type="dxa" w:w="2304"/>
          </w:tcPr>
          <w:p>
            <w:pPr>
              <w:spacing w:after="0" w:line="240" w:lineRule="auto"/>
              <w:jc w:val="left"/>
            </w:pPr>
            <w:r>
              <w:rPr>
                <w:rFonts w:ascii="Times New Roman" w:hAnsi="Times New Roman"/>
                <w:sz w:val="16"/>
              </w:rPr>
              <w:t>Higher: the marker tour worked where it was used. Lower: markers failed, or gave content unrelated to the object.</w:t>
            </w:r>
          </w:p>
        </w:tc>
        <w:tc>
          <w:tcPr>
            <w:tcW w:type="dxa" w:w="1224"/>
          </w:tcPr>
          <w:p>
            <w:pPr>
              <w:spacing w:after="0" w:line="240" w:lineRule="auto"/>
              <w:jc w:val="left"/>
            </w:pPr>
            <w:r>
              <w:rPr>
                <w:rFonts w:ascii="Times New Roman" w:hAnsi="Times New Roman"/>
                <w:sz w:val="16"/>
              </w:rPr>
              <w:t>Frequency, percentage, weighted mean, SD. Report the number answering at all.</w:t>
            </w:r>
          </w:p>
        </w:tc>
      </w:tr>
      <w:tr>
        <w:tc>
          <w:tcPr>
            <w:tcW w:type="dxa" w:w="504"/>
          </w:tcPr>
          <w:p>
            <w:pPr>
              <w:spacing w:after="0" w:line="240" w:lineRule="auto"/>
              <w:jc w:val="left"/>
            </w:pPr>
            <w:r>
              <w:rPr>
                <w:rFonts w:ascii="Times New Roman" w:hAnsi="Times New Roman"/>
                <w:sz w:val="16"/>
              </w:rPr>
              <w:t>4</w:t>
            </w:r>
          </w:p>
        </w:tc>
        <w:tc>
          <w:tcPr>
            <w:tcW w:type="dxa" w:w="2160"/>
          </w:tcPr>
          <w:p>
            <w:pPr>
              <w:spacing w:after="0" w:line="240" w:lineRule="auto"/>
              <w:jc w:val="left"/>
            </w:pPr>
            <w:r>
              <w:rPr>
                <w:rFonts w:ascii="Times New Roman" w:hAnsi="Times New Roman"/>
                <w:sz w:val="16"/>
              </w:rPr>
              <w:t>Using the camera to scan a saint, image, or religious object gave me useful information about it.</w:t>
            </w:r>
          </w:p>
        </w:tc>
        <w:tc>
          <w:tcPr>
            <w:tcW w:type="dxa" w:w="1224"/>
          </w:tcPr>
          <w:p>
            <w:pPr>
              <w:spacing w:after="0" w:line="240" w:lineRule="auto"/>
              <w:jc w:val="left"/>
            </w:pPr>
            <w:r>
              <w:rPr>
                <w:rFonts w:ascii="Times New Roman" w:hAnsi="Times New Roman"/>
                <w:sz w:val="16"/>
              </w:rPr>
              <w:t>Objective 1 / RQ1</w:t>
            </w:r>
          </w:p>
        </w:tc>
        <w:tc>
          <w:tcPr>
            <w:tcW w:type="dxa" w:w="1368"/>
          </w:tcPr>
          <w:p>
            <w:pPr>
              <w:spacing w:after="0" w:line="240" w:lineRule="auto"/>
              <w:jc w:val="left"/>
            </w:pPr>
            <w:r>
              <w:rPr>
                <w:rFonts w:ascii="Times New Roman" w:hAnsi="Times New Roman"/>
                <w:sz w:val="16"/>
              </w:rPr>
              <w:t>Image recognition: usefulness</w:t>
            </w:r>
          </w:p>
        </w:tc>
        <w:tc>
          <w:tcPr>
            <w:tcW w:type="dxa" w:w="2736"/>
          </w:tcPr>
          <w:p>
            <w:pPr>
              <w:spacing w:after="0" w:line="240" w:lineRule="auto"/>
              <w:jc w:val="left"/>
            </w:pPr>
            <w:r>
              <w:rPr>
                <w:rFonts w:ascii="Times New Roman" w:hAnsi="Times New Roman"/>
                <w:sz w:val="16"/>
              </w:rPr>
              <w:t>Objective 1 names image recognition as a second, separate facility from the marker tour. It answers a different need - an object the parish did not mark - so it is measured separately.</w:t>
            </w:r>
          </w:p>
        </w:tc>
        <w:tc>
          <w:tcPr>
            <w:tcW w:type="dxa" w:w="2304"/>
          </w:tcPr>
          <w:p>
            <w:pPr>
              <w:spacing w:after="0" w:line="240" w:lineRule="auto"/>
              <w:jc w:val="left"/>
            </w:pPr>
            <w:r>
              <w:rPr>
                <w:rFonts w:ascii="Times New Roman" w:hAnsi="Times New Roman"/>
                <w:sz w:val="16"/>
              </w:rPr>
              <w:t>Higher: the scanner identified things usefully. Lower: it failed, or its answers were not useful.</w:t>
            </w:r>
          </w:p>
        </w:tc>
        <w:tc>
          <w:tcPr>
            <w:tcW w:type="dxa" w:w="1224"/>
          </w:tcPr>
          <w:p>
            <w:pPr>
              <w:spacing w:after="0" w:line="240" w:lineRule="auto"/>
              <w:jc w:val="left"/>
            </w:pPr>
            <w:r>
              <w:rPr>
                <w:rFonts w:ascii="Times New Roman" w:hAnsi="Times New Roman"/>
                <w:sz w:val="16"/>
              </w:rPr>
              <w:t>Frequency, percentage, weighted mean, SD. Report the number answering at all.</w:t>
            </w:r>
          </w:p>
        </w:tc>
      </w:tr>
      <w:tr>
        <w:tc>
          <w:tcPr>
            <w:tcW w:type="dxa" w:w="504"/>
          </w:tcPr>
          <w:p>
            <w:pPr>
              <w:spacing w:after="0" w:line="240" w:lineRule="auto"/>
              <w:jc w:val="left"/>
            </w:pPr>
            <w:r>
              <w:rPr>
                <w:rFonts w:ascii="Times New Roman" w:hAnsi="Times New Roman"/>
                <w:sz w:val="16"/>
              </w:rPr>
              <w:t>5</w:t>
            </w:r>
          </w:p>
        </w:tc>
        <w:tc>
          <w:tcPr>
            <w:tcW w:type="dxa" w:w="2160"/>
          </w:tcPr>
          <w:p>
            <w:pPr>
              <w:spacing w:after="0" w:line="240" w:lineRule="auto"/>
              <w:jc w:val="left"/>
            </w:pPr>
            <w:r>
              <w:rPr>
                <w:rFonts w:ascii="Times New Roman" w:hAnsi="Times New Roman"/>
                <w:sz w:val="16"/>
              </w:rPr>
              <w:t>After using SanctiWalk, I felt I understood more about the religious and cultural meaning of the things inside the church.</w:t>
            </w:r>
          </w:p>
        </w:tc>
        <w:tc>
          <w:tcPr>
            <w:tcW w:type="dxa" w:w="1224"/>
          </w:tcPr>
          <w:p>
            <w:pPr>
              <w:spacing w:after="0" w:line="240" w:lineRule="auto"/>
              <w:jc w:val="left"/>
            </w:pPr>
            <w:r>
              <w:rPr>
                <w:rFonts w:ascii="Times New Roman" w:hAnsi="Times New Roman"/>
                <w:sz w:val="16"/>
              </w:rPr>
              <w:t>Objective 1 / RQ1</w:t>
            </w:r>
          </w:p>
        </w:tc>
        <w:tc>
          <w:tcPr>
            <w:tcW w:type="dxa" w:w="1368"/>
          </w:tcPr>
          <w:p>
            <w:pPr>
              <w:spacing w:after="0" w:line="240" w:lineRule="auto"/>
              <w:jc w:val="left"/>
            </w:pPr>
            <w:r>
              <w:rPr>
                <w:rFonts w:ascii="Times New Roman" w:hAnsi="Times New Roman"/>
                <w:sz w:val="16"/>
              </w:rPr>
              <w:t>Perceived understanding of significance</w:t>
            </w:r>
          </w:p>
        </w:tc>
        <w:tc>
          <w:tcPr>
            <w:tcW w:type="dxa" w:w="2736"/>
          </w:tcPr>
          <w:p>
            <w:pPr>
              <w:spacing w:after="0" w:line="240" w:lineRule="auto"/>
              <w:jc w:val="left"/>
            </w:pPr>
            <w:r>
              <w:rPr>
                <w:rFonts w:ascii="Times New Roman" w:hAnsi="Times New Roman"/>
                <w:sz w:val="16"/>
              </w:rPr>
              <w:t>RQ1's stated outcome is understanding of the religious and cultural significance of saints, images and religious objects. This is the summary item for the objective.</w:t>
            </w:r>
          </w:p>
        </w:tc>
        <w:tc>
          <w:tcPr>
            <w:tcW w:type="dxa" w:w="2304"/>
          </w:tcPr>
          <w:p>
            <w:pPr>
              <w:spacing w:after="0" w:line="240" w:lineRule="auto"/>
              <w:jc w:val="left"/>
            </w:pPr>
            <w:r>
              <w:rPr>
                <w:rFonts w:ascii="Times New Roman" w:hAnsi="Times New Roman"/>
                <w:sz w:val="16"/>
              </w:rPr>
              <w:t>Higher: visitors report understanding more than before. Lower: the module informed without being understood.</w:t>
            </w:r>
          </w:p>
        </w:tc>
        <w:tc>
          <w:tcPr>
            <w:tcW w:type="dxa" w:w="1224"/>
          </w:tcPr>
          <w:p>
            <w:pPr>
              <w:spacing w:after="0" w:line="240" w:lineRule="auto"/>
              <w:jc w:val="left"/>
            </w:pPr>
            <w:r>
              <w:rPr>
                <w:rFonts w:ascii="Times New Roman" w:hAnsi="Times New Roman"/>
                <w:sz w:val="16"/>
              </w:rPr>
              <w:t>Frequency, percentage, weighted mean, SD</w:t>
            </w:r>
          </w:p>
        </w:tc>
      </w:tr>
      <w:tr>
        <w:tc>
          <w:tcPr>
            <w:tcW w:type="dxa" w:w="504"/>
          </w:tcPr>
          <w:p>
            <w:pPr>
              <w:spacing w:after="0" w:line="240" w:lineRule="auto"/>
              <w:jc w:val="left"/>
            </w:pPr>
            <w:r>
              <w:rPr>
                <w:rFonts w:ascii="Times New Roman" w:hAnsi="Times New Roman"/>
                <w:sz w:val="16"/>
              </w:rPr>
              <w:t>6</w:t>
            </w:r>
          </w:p>
        </w:tc>
        <w:tc>
          <w:tcPr>
            <w:tcW w:type="dxa" w:w="2160"/>
          </w:tcPr>
          <w:p>
            <w:pPr>
              <w:spacing w:after="0" w:line="240" w:lineRule="auto"/>
              <w:jc w:val="left"/>
            </w:pPr>
            <w:r>
              <w:rPr>
                <w:rFonts w:ascii="Times New Roman" w:hAnsi="Times New Roman"/>
                <w:sz w:val="16"/>
              </w:rPr>
              <w:t>The Mass schedule was easy to find in the application.</w:t>
            </w:r>
          </w:p>
        </w:tc>
        <w:tc>
          <w:tcPr>
            <w:tcW w:type="dxa" w:w="1224"/>
          </w:tcPr>
          <w:p>
            <w:pPr>
              <w:spacing w:after="0" w:line="240" w:lineRule="auto"/>
              <w:jc w:val="left"/>
            </w:pPr>
            <w:r>
              <w:rPr>
                <w:rFonts w:ascii="Times New Roman" w:hAnsi="Times New Roman"/>
                <w:sz w:val="16"/>
              </w:rPr>
              <w:t>Objective 2 / RQ2</w:t>
            </w:r>
          </w:p>
        </w:tc>
        <w:tc>
          <w:tcPr>
            <w:tcW w:type="dxa" w:w="1368"/>
          </w:tcPr>
          <w:p>
            <w:pPr>
              <w:spacing w:after="0" w:line="240" w:lineRule="auto"/>
              <w:jc w:val="left"/>
            </w:pPr>
            <w:r>
              <w:rPr>
                <w:rFonts w:ascii="Times New Roman" w:hAnsi="Times New Roman"/>
                <w:sz w:val="16"/>
              </w:rPr>
              <w:t>Information accessibility (schedules)</w:t>
            </w:r>
          </w:p>
        </w:tc>
        <w:tc>
          <w:tcPr>
            <w:tcW w:type="dxa" w:w="2736"/>
          </w:tcPr>
          <w:p>
            <w:pPr>
              <w:spacing w:after="0" w:line="240" w:lineRule="auto"/>
              <w:jc w:val="left"/>
            </w:pPr>
            <w:r>
              <w:rPr>
                <w:rFonts w:ascii="Times New Roman" w:hAnsi="Times New Roman"/>
                <w:sz w:val="16"/>
              </w:rPr>
              <w:t>RQ2 names centralized Mass schedules first. The Mass time is the single most commonly sought piece of parish information, so it is asked about on its own.</w:t>
            </w:r>
          </w:p>
        </w:tc>
        <w:tc>
          <w:tcPr>
            <w:tcW w:type="dxa" w:w="2304"/>
          </w:tcPr>
          <w:p>
            <w:pPr>
              <w:spacing w:after="0" w:line="240" w:lineRule="auto"/>
              <w:jc w:val="left"/>
            </w:pPr>
            <w:r>
              <w:rPr>
                <w:rFonts w:ascii="Times New Roman" w:hAnsi="Times New Roman"/>
                <w:sz w:val="16"/>
              </w:rPr>
              <w:t>Higher: schedules are where people look for them. Lower: the centralisation has not helped.</w:t>
            </w:r>
          </w:p>
        </w:tc>
        <w:tc>
          <w:tcPr>
            <w:tcW w:type="dxa" w:w="1224"/>
          </w:tcPr>
          <w:p>
            <w:pPr>
              <w:spacing w:after="0" w:line="240" w:lineRule="auto"/>
              <w:jc w:val="left"/>
            </w:pPr>
            <w:r>
              <w:rPr>
                <w:rFonts w:ascii="Times New Roman" w:hAnsi="Times New Roman"/>
                <w:sz w:val="16"/>
              </w:rPr>
              <w:t>Frequency, percentage, weighted mean, SD</w:t>
            </w:r>
          </w:p>
        </w:tc>
      </w:tr>
      <w:tr>
        <w:tc>
          <w:tcPr>
            <w:tcW w:type="dxa" w:w="504"/>
          </w:tcPr>
          <w:p>
            <w:pPr>
              <w:spacing w:after="0" w:line="240" w:lineRule="auto"/>
              <w:jc w:val="left"/>
            </w:pPr>
            <w:r>
              <w:rPr>
                <w:rFonts w:ascii="Times New Roman" w:hAnsi="Times New Roman"/>
                <w:sz w:val="16"/>
              </w:rPr>
              <w:t>7</w:t>
            </w:r>
          </w:p>
        </w:tc>
        <w:tc>
          <w:tcPr>
            <w:tcW w:type="dxa" w:w="2160"/>
          </w:tcPr>
          <w:p>
            <w:pPr>
              <w:spacing w:after="0" w:line="240" w:lineRule="auto"/>
              <w:jc w:val="left"/>
            </w:pPr>
            <w:r>
              <w:rPr>
                <w:rFonts w:ascii="Times New Roman" w:hAnsi="Times New Roman"/>
                <w:sz w:val="16"/>
              </w:rPr>
              <w:t>The parish information I read in the application matched what the parish actually announced.</w:t>
            </w:r>
          </w:p>
        </w:tc>
        <w:tc>
          <w:tcPr>
            <w:tcW w:type="dxa" w:w="1224"/>
          </w:tcPr>
          <w:p>
            <w:pPr>
              <w:spacing w:after="0" w:line="240" w:lineRule="auto"/>
              <w:jc w:val="left"/>
            </w:pPr>
            <w:r>
              <w:rPr>
                <w:rFonts w:ascii="Times New Roman" w:hAnsi="Times New Roman"/>
                <w:sz w:val="16"/>
              </w:rPr>
              <w:t>Objective 2 / RQ2</w:t>
            </w:r>
          </w:p>
        </w:tc>
        <w:tc>
          <w:tcPr>
            <w:tcW w:type="dxa" w:w="1368"/>
          </w:tcPr>
          <w:p>
            <w:pPr>
              <w:spacing w:after="0" w:line="240" w:lineRule="auto"/>
              <w:jc w:val="left"/>
            </w:pPr>
            <w:r>
              <w:rPr>
                <w:rFonts w:ascii="Times New Roman" w:hAnsi="Times New Roman"/>
                <w:sz w:val="16"/>
              </w:rPr>
              <w:t>Accuracy of information</w:t>
            </w:r>
          </w:p>
        </w:tc>
        <w:tc>
          <w:tcPr>
            <w:tcW w:type="dxa" w:w="2736"/>
          </w:tcPr>
          <w:p>
            <w:pPr>
              <w:spacing w:after="0" w:line="240" w:lineRule="auto"/>
              <w:jc w:val="left"/>
            </w:pPr>
            <w:r>
              <w:rPr>
                <w:rFonts w:ascii="Times New Roman" w:hAnsi="Times New Roman"/>
                <w:sz w:val="16"/>
              </w:rPr>
              <w:t>RQ2 names accuracy as a measured aspect. Accuracy is distinct from accessibility: information can be easy to find and wrong, which is worse than absent.</w:t>
            </w:r>
          </w:p>
        </w:tc>
        <w:tc>
          <w:tcPr>
            <w:tcW w:type="dxa" w:w="2304"/>
          </w:tcPr>
          <w:p>
            <w:pPr>
              <w:spacing w:after="0" w:line="240" w:lineRule="auto"/>
              <w:jc w:val="left"/>
            </w:pPr>
            <w:r>
              <w:rPr>
                <w:rFonts w:ascii="Times New Roman" w:hAnsi="Times New Roman"/>
                <w:sz w:val="16"/>
              </w:rPr>
              <w:t>Higher: what the app says matches the parish. Lower: the admin content is going stale, which points at the portal rather than the app.</w:t>
            </w:r>
          </w:p>
        </w:tc>
        <w:tc>
          <w:tcPr>
            <w:tcW w:type="dxa" w:w="1224"/>
          </w:tcPr>
          <w:p>
            <w:pPr>
              <w:spacing w:after="0" w:line="240" w:lineRule="auto"/>
              <w:jc w:val="left"/>
            </w:pPr>
            <w:r>
              <w:rPr>
                <w:rFonts w:ascii="Times New Roman" w:hAnsi="Times New Roman"/>
                <w:sz w:val="16"/>
              </w:rPr>
              <w:t>Frequency, percentage, weighted mean, SD</w:t>
            </w:r>
          </w:p>
        </w:tc>
      </w:tr>
      <w:tr>
        <w:tc>
          <w:tcPr>
            <w:tcW w:type="dxa" w:w="504"/>
          </w:tcPr>
          <w:p>
            <w:pPr>
              <w:spacing w:after="0" w:line="240" w:lineRule="auto"/>
              <w:jc w:val="left"/>
            </w:pPr>
            <w:r>
              <w:rPr>
                <w:rFonts w:ascii="Times New Roman" w:hAnsi="Times New Roman"/>
                <w:sz w:val="16"/>
              </w:rPr>
              <w:t>8</w:t>
            </w:r>
          </w:p>
        </w:tc>
        <w:tc>
          <w:tcPr>
            <w:tcW w:type="dxa" w:w="2160"/>
          </w:tcPr>
          <w:p>
            <w:pPr>
              <w:spacing w:after="0" w:line="240" w:lineRule="auto"/>
              <w:jc w:val="left"/>
            </w:pPr>
            <w:r>
              <w:rPr>
                <w:rFonts w:ascii="Times New Roman" w:hAnsi="Times New Roman"/>
                <w:sz w:val="16"/>
              </w:rPr>
              <w:t>The feast days and announcements shown in the application were up to date.</w:t>
            </w:r>
          </w:p>
        </w:tc>
        <w:tc>
          <w:tcPr>
            <w:tcW w:type="dxa" w:w="1224"/>
          </w:tcPr>
          <w:p>
            <w:pPr>
              <w:spacing w:after="0" w:line="240" w:lineRule="auto"/>
              <w:jc w:val="left"/>
            </w:pPr>
            <w:r>
              <w:rPr>
                <w:rFonts w:ascii="Times New Roman" w:hAnsi="Times New Roman"/>
                <w:sz w:val="16"/>
              </w:rPr>
              <w:t>Objective 2 / RQ2</w:t>
            </w:r>
          </w:p>
        </w:tc>
        <w:tc>
          <w:tcPr>
            <w:tcW w:type="dxa" w:w="1368"/>
          </w:tcPr>
          <w:p>
            <w:pPr>
              <w:spacing w:after="0" w:line="240" w:lineRule="auto"/>
              <w:jc w:val="left"/>
            </w:pPr>
            <w:r>
              <w:rPr>
                <w:rFonts w:ascii="Times New Roman" w:hAnsi="Times New Roman"/>
                <w:sz w:val="16"/>
              </w:rPr>
              <w:t>Currency of announcements and feast days</w:t>
            </w:r>
          </w:p>
        </w:tc>
        <w:tc>
          <w:tcPr>
            <w:tcW w:type="dxa" w:w="2736"/>
          </w:tcPr>
          <w:p>
            <w:pPr>
              <w:spacing w:after="0" w:line="240" w:lineRule="auto"/>
              <w:jc w:val="left"/>
            </w:pPr>
            <w:r>
              <w:rPr>
                <w:rFonts w:ascii="Times New Roman" w:hAnsi="Times New Roman"/>
                <w:sz w:val="16"/>
              </w:rPr>
              <w:t>Objective 2 names feast days and announcements. These change more often than anything else in the system, so currency is the aspect worth measuring rather than mere presence.</w:t>
            </w:r>
          </w:p>
        </w:tc>
        <w:tc>
          <w:tcPr>
            <w:tcW w:type="dxa" w:w="2304"/>
          </w:tcPr>
          <w:p>
            <w:pPr>
              <w:spacing w:after="0" w:line="240" w:lineRule="auto"/>
              <w:jc w:val="left"/>
            </w:pPr>
            <w:r>
              <w:rPr>
                <w:rFonts w:ascii="Times New Roman" w:hAnsi="Times New Roman"/>
                <w:sz w:val="16"/>
              </w:rPr>
              <w:t>Higher: the parish is maintaining them and they reach visitors. Lower: the portal is not being used, not that the feature is absent.</w:t>
            </w:r>
          </w:p>
        </w:tc>
        <w:tc>
          <w:tcPr>
            <w:tcW w:type="dxa" w:w="1224"/>
          </w:tcPr>
          <w:p>
            <w:pPr>
              <w:spacing w:after="0" w:line="240" w:lineRule="auto"/>
              <w:jc w:val="left"/>
            </w:pPr>
            <w:r>
              <w:rPr>
                <w:rFonts w:ascii="Times New Roman" w:hAnsi="Times New Roman"/>
                <w:sz w:val="16"/>
              </w:rPr>
              <w:t>Frequency, percentage, weighted mean, SD</w:t>
            </w:r>
          </w:p>
        </w:tc>
      </w:tr>
      <w:tr>
        <w:tc>
          <w:tcPr>
            <w:tcW w:type="dxa" w:w="504"/>
          </w:tcPr>
          <w:p>
            <w:pPr>
              <w:spacing w:after="0" w:line="240" w:lineRule="auto"/>
              <w:jc w:val="left"/>
            </w:pPr>
            <w:r>
              <w:rPr>
                <w:rFonts w:ascii="Times New Roman" w:hAnsi="Times New Roman"/>
                <w:sz w:val="16"/>
              </w:rPr>
              <w:t>9</w:t>
            </w:r>
          </w:p>
        </w:tc>
        <w:tc>
          <w:tcPr>
            <w:tcW w:type="dxa" w:w="2160"/>
          </w:tcPr>
          <w:p>
            <w:pPr>
              <w:spacing w:after="0" w:line="240" w:lineRule="auto"/>
              <w:jc w:val="left"/>
            </w:pPr>
            <w:r>
              <w:rPr>
                <w:rFonts w:ascii="Times New Roman" w:hAnsi="Times New Roman"/>
                <w:sz w:val="16"/>
              </w:rPr>
              <w:t>The map made it easy to see where the participating churches are located.</w:t>
            </w:r>
          </w:p>
        </w:tc>
        <w:tc>
          <w:tcPr>
            <w:tcW w:type="dxa" w:w="1224"/>
          </w:tcPr>
          <w:p>
            <w:pPr>
              <w:spacing w:after="0" w:line="240" w:lineRule="auto"/>
              <w:jc w:val="left"/>
            </w:pPr>
            <w:r>
              <w:rPr>
                <w:rFonts w:ascii="Times New Roman" w:hAnsi="Times New Roman"/>
                <w:sz w:val="16"/>
              </w:rPr>
              <w:t>Objective 2 / RQ2</w:t>
            </w:r>
          </w:p>
        </w:tc>
        <w:tc>
          <w:tcPr>
            <w:tcW w:type="dxa" w:w="1368"/>
          </w:tcPr>
          <w:p>
            <w:pPr>
              <w:spacing w:after="0" w:line="240" w:lineRule="auto"/>
              <w:jc w:val="left"/>
            </w:pPr>
            <w:r>
              <w:rPr>
                <w:rFonts w:ascii="Times New Roman" w:hAnsi="Times New Roman"/>
                <w:sz w:val="16"/>
              </w:rPr>
              <w:t>Locatability of parishes</w:t>
            </w:r>
          </w:p>
        </w:tc>
        <w:tc>
          <w:tcPr>
            <w:tcW w:type="dxa" w:w="2736"/>
          </w:tcPr>
          <w:p>
            <w:pPr>
              <w:spacing w:after="0" w:line="240" w:lineRule="auto"/>
              <w:jc w:val="left"/>
            </w:pPr>
            <w:r>
              <w:rPr>
                <w:rFonts w:ascii="Times New Roman" w:hAnsi="Times New Roman"/>
                <w:sz w:val="16"/>
              </w:rPr>
              <w:t>Objective 2 names locating the participating parishes. This is the 'where is it' half of navigation, separate from the 'how do I get there' half in item 10.</w:t>
            </w:r>
          </w:p>
        </w:tc>
        <w:tc>
          <w:tcPr>
            <w:tcW w:type="dxa" w:w="2304"/>
          </w:tcPr>
          <w:p>
            <w:pPr>
              <w:spacing w:after="0" w:line="240" w:lineRule="auto"/>
              <w:jc w:val="left"/>
            </w:pPr>
            <w:r>
              <w:rPr>
                <w:rFonts w:ascii="Times New Roman" w:hAnsi="Times New Roman"/>
                <w:sz w:val="16"/>
              </w:rPr>
              <w:t>Higher: the map answers where the churches are. Lower: the map is present but not legible as an answer.</w:t>
            </w:r>
          </w:p>
        </w:tc>
        <w:tc>
          <w:tcPr>
            <w:tcW w:type="dxa" w:w="1224"/>
          </w:tcPr>
          <w:p>
            <w:pPr>
              <w:spacing w:after="0" w:line="240" w:lineRule="auto"/>
              <w:jc w:val="left"/>
            </w:pPr>
            <w:r>
              <w:rPr>
                <w:rFonts w:ascii="Times New Roman" w:hAnsi="Times New Roman"/>
                <w:sz w:val="16"/>
              </w:rPr>
              <w:t>Frequency, percentage, weighted mean, SD</w:t>
            </w:r>
          </w:p>
        </w:tc>
      </w:tr>
      <w:tr>
        <w:tc>
          <w:tcPr>
            <w:tcW w:type="dxa" w:w="504"/>
          </w:tcPr>
          <w:p>
            <w:pPr>
              <w:spacing w:after="0" w:line="240" w:lineRule="auto"/>
              <w:jc w:val="left"/>
            </w:pPr>
            <w:r>
              <w:rPr>
                <w:rFonts w:ascii="Times New Roman" w:hAnsi="Times New Roman"/>
                <w:sz w:val="16"/>
              </w:rPr>
              <w:t>10</w:t>
            </w:r>
          </w:p>
        </w:tc>
        <w:tc>
          <w:tcPr>
            <w:tcW w:type="dxa" w:w="2160"/>
          </w:tcPr>
          <w:p>
            <w:pPr>
              <w:spacing w:after="0" w:line="240" w:lineRule="auto"/>
              <w:jc w:val="left"/>
            </w:pPr>
            <w:r>
              <w:rPr>
                <w:rFonts w:ascii="Times New Roman" w:hAnsi="Times New Roman"/>
                <w:sz w:val="16"/>
              </w:rPr>
              <w:t>The walking directions were clear enough to follow on the way to a church.</w:t>
            </w:r>
          </w:p>
        </w:tc>
        <w:tc>
          <w:tcPr>
            <w:tcW w:type="dxa" w:w="1224"/>
          </w:tcPr>
          <w:p>
            <w:pPr>
              <w:spacing w:after="0" w:line="240" w:lineRule="auto"/>
              <w:jc w:val="left"/>
            </w:pPr>
            <w:r>
              <w:rPr>
                <w:rFonts w:ascii="Times New Roman" w:hAnsi="Times New Roman"/>
                <w:sz w:val="16"/>
              </w:rPr>
              <w:t>Objective 2 / RQ2</w:t>
            </w:r>
          </w:p>
        </w:tc>
        <w:tc>
          <w:tcPr>
            <w:tcW w:type="dxa" w:w="1368"/>
          </w:tcPr>
          <w:p>
            <w:pPr>
              <w:spacing w:after="0" w:line="240" w:lineRule="auto"/>
              <w:jc w:val="left"/>
            </w:pPr>
            <w:r>
              <w:rPr>
                <w:rFonts w:ascii="Times New Roman" w:hAnsi="Times New Roman"/>
                <w:sz w:val="16"/>
              </w:rPr>
              <w:t>Ease of navigation (walking routes)</w:t>
            </w:r>
          </w:p>
        </w:tc>
        <w:tc>
          <w:tcPr>
            <w:tcW w:type="dxa" w:w="2736"/>
          </w:tcPr>
          <w:p>
            <w:pPr>
              <w:spacing w:after="0" w:line="240" w:lineRule="auto"/>
              <w:jc w:val="left"/>
            </w:pPr>
            <w:r>
              <w:rPr>
                <w:rFonts w:ascii="Times New Roman" w:hAnsi="Times New Roman"/>
                <w:sz w:val="16"/>
              </w:rPr>
              <w:t>RQ2 names walking routes and ease of navigation. A route that is drawn but not followable fails the objective, so the item asks about following it, not seeing it.</w:t>
            </w:r>
          </w:p>
        </w:tc>
        <w:tc>
          <w:tcPr>
            <w:tcW w:type="dxa" w:w="2304"/>
          </w:tcPr>
          <w:p>
            <w:pPr>
              <w:spacing w:after="0" w:line="240" w:lineRule="auto"/>
              <w:jc w:val="left"/>
            </w:pPr>
            <w:r>
              <w:rPr>
                <w:rFonts w:ascii="Times New Roman" w:hAnsi="Times New Roman"/>
                <w:sz w:val="16"/>
              </w:rPr>
              <w:t>Higher: the directions worked on foot. Lower: routes were unclear or wrong on the ground.</w:t>
            </w:r>
          </w:p>
        </w:tc>
        <w:tc>
          <w:tcPr>
            <w:tcW w:type="dxa" w:w="1224"/>
          </w:tcPr>
          <w:p>
            <w:pPr>
              <w:spacing w:after="0" w:line="240" w:lineRule="auto"/>
              <w:jc w:val="left"/>
            </w:pPr>
            <w:r>
              <w:rPr>
                <w:rFonts w:ascii="Times New Roman" w:hAnsi="Times New Roman"/>
                <w:sz w:val="16"/>
              </w:rPr>
              <w:t>Frequency, percentage, weighted mean, SD</w:t>
            </w:r>
          </w:p>
        </w:tc>
      </w:tr>
      <w:tr>
        <w:tc>
          <w:tcPr>
            <w:tcW w:type="dxa" w:w="504"/>
          </w:tcPr>
          <w:p>
            <w:pPr>
              <w:spacing w:after="0" w:line="240" w:lineRule="auto"/>
              <w:jc w:val="left"/>
            </w:pPr>
            <w:r>
              <w:rPr>
                <w:rFonts w:ascii="Times New Roman" w:hAnsi="Times New Roman"/>
                <w:sz w:val="16"/>
              </w:rPr>
              <w:t>11</w:t>
            </w:r>
          </w:p>
        </w:tc>
        <w:tc>
          <w:tcPr>
            <w:tcW w:type="dxa" w:w="2160"/>
          </w:tcPr>
          <w:p>
            <w:pPr>
              <w:spacing w:after="0" w:line="240" w:lineRule="auto"/>
              <w:jc w:val="left"/>
            </w:pPr>
            <w:r>
              <w:rPr>
                <w:rFonts w:ascii="Times New Roman" w:hAnsi="Times New Roman"/>
                <w:sz w:val="16"/>
              </w:rPr>
              <w:t>Being able to read the application in English or Filipino made it easier for me to use.</w:t>
            </w:r>
          </w:p>
        </w:tc>
        <w:tc>
          <w:tcPr>
            <w:tcW w:type="dxa" w:w="1224"/>
          </w:tcPr>
          <w:p>
            <w:pPr>
              <w:spacing w:after="0" w:line="240" w:lineRule="auto"/>
              <w:jc w:val="left"/>
            </w:pPr>
            <w:r>
              <w:rPr>
                <w:rFonts w:ascii="Times New Roman" w:hAnsi="Times New Roman"/>
                <w:sz w:val="16"/>
              </w:rPr>
              <w:t>Objective 2 / RQ2</w:t>
            </w:r>
          </w:p>
        </w:tc>
        <w:tc>
          <w:tcPr>
            <w:tcW w:type="dxa" w:w="1368"/>
          </w:tcPr>
          <w:p>
            <w:pPr>
              <w:spacing w:after="0" w:line="240" w:lineRule="auto"/>
              <w:jc w:val="left"/>
            </w:pPr>
            <w:r>
              <w:rPr>
                <w:rFonts w:ascii="Times New Roman" w:hAnsi="Times New Roman"/>
                <w:sz w:val="16"/>
              </w:rPr>
              <w:t>Language accessibility</w:t>
            </w:r>
          </w:p>
        </w:tc>
        <w:tc>
          <w:tcPr>
            <w:tcW w:type="dxa" w:w="2736"/>
          </w:tcPr>
          <w:p>
            <w:pPr>
              <w:spacing w:after="0" w:line="240" w:lineRule="auto"/>
              <w:jc w:val="left"/>
            </w:pPr>
            <w:r>
              <w:rPr>
                <w:rFonts w:ascii="Times New Roman" w:hAnsi="Times New Roman"/>
                <w:sz w:val="16"/>
              </w:rPr>
              <w:t>RQ2 names English or Filipino language options. The construct is whether the choice removed a barrier, which is what the option is for.</w:t>
            </w:r>
          </w:p>
        </w:tc>
        <w:tc>
          <w:tcPr>
            <w:tcW w:type="dxa" w:w="2304"/>
          </w:tcPr>
          <w:p>
            <w:pPr>
              <w:spacing w:after="0" w:line="240" w:lineRule="auto"/>
              <w:jc w:val="left"/>
            </w:pPr>
            <w:r>
              <w:rPr>
                <w:rFonts w:ascii="Times New Roman" w:hAnsi="Times New Roman"/>
                <w:sz w:val="16"/>
              </w:rPr>
              <w:t>Higher: the language choice helped. Lower: either the translation is poor, or respondents did not need it - the open comment in F will tell you which.</w:t>
            </w:r>
          </w:p>
        </w:tc>
        <w:tc>
          <w:tcPr>
            <w:tcW w:type="dxa" w:w="1224"/>
          </w:tcPr>
          <w:p>
            <w:pPr>
              <w:spacing w:after="0" w:line="240" w:lineRule="auto"/>
              <w:jc w:val="left"/>
            </w:pPr>
            <w:r>
              <w:rPr>
                <w:rFonts w:ascii="Times New Roman" w:hAnsi="Times New Roman"/>
                <w:sz w:val="16"/>
              </w:rPr>
              <w:t>Frequency, percentage, weighted mean, SD</w:t>
            </w:r>
          </w:p>
        </w:tc>
      </w:tr>
      <w:tr>
        <w:tc>
          <w:tcPr>
            <w:tcW w:type="dxa" w:w="504"/>
          </w:tcPr>
          <w:p>
            <w:pPr>
              <w:spacing w:after="0" w:line="240" w:lineRule="auto"/>
              <w:jc w:val="left"/>
            </w:pPr>
            <w:r>
              <w:rPr>
                <w:rFonts w:ascii="Times New Roman" w:hAnsi="Times New Roman"/>
                <w:sz w:val="16"/>
              </w:rPr>
              <w:t>12</w:t>
            </w:r>
          </w:p>
        </w:tc>
        <w:tc>
          <w:tcPr>
            <w:tcW w:type="dxa" w:w="2160"/>
          </w:tcPr>
          <w:p>
            <w:pPr>
              <w:spacing w:after="0" w:line="240" w:lineRule="auto"/>
              <w:jc w:val="left"/>
            </w:pPr>
            <w:r>
              <w:rPr>
                <w:rFonts w:ascii="Times New Roman" w:hAnsi="Times New Roman"/>
                <w:sz w:val="16"/>
              </w:rPr>
              <w:t>Submitting an application for a ministry or a sacrament through the application was easy to do.</w:t>
            </w:r>
          </w:p>
        </w:tc>
        <w:tc>
          <w:tcPr>
            <w:tcW w:type="dxa" w:w="1224"/>
          </w:tcPr>
          <w:p>
            <w:pPr>
              <w:spacing w:after="0" w:line="240" w:lineRule="auto"/>
              <w:jc w:val="left"/>
            </w:pPr>
            <w:r>
              <w:rPr>
                <w:rFonts w:ascii="Times New Roman" w:hAnsi="Times New Roman"/>
                <w:sz w:val="16"/>
              </w:rPr>
              <w:t>Objective 3 / RQ3</w:t>
            </w:r>
          </w:p>
        </w:tc>
        <w:tc>
          <w:tcPr>
            <w:tcW w:type="dxa" w:w="1368"/>
          </w:tcPr>
          <w:p>
            <w:pPr>
              <w:spacing w:after="0" w:line="240" w:lineRule="auto"/>
              <w:jc w:val="left"/>
            </w:pPr>
            <w:r>
              <w:rPr>
                <w:rFonts w:ascii="Times New Roman" w:hAnsi="Times New Roman"/>
                <w:sz w:val="16"/>
              </w:rPr>
              <w:t>Ease of application</w:t>
            </w:r>
          </w:p>
        </w:tc>
        <w:tc>
          <w:tcPr>
            <w:tcW w:type="dxa" w:w="2736"/>
          </w:tcPr>
          <w:p>
            <w:pPr>
              <w:spacing w:after="0" w:line="240" w:lineRule="auto"/>
              <w:jc w:val="left"/>
            </w:pPr>
            <w:r>
              <w:rPr>
                <w:rFonts w:ascii="Times New Roman" w:hAnsi="Times New Roman"/>
                <w:sz w:val="16"/>
              </w:rPr>
              <w:t>RQ3 names ease of application first. This is the core of the applicant's side of Objective 3.</w:t>
            </w:r>
          </w:p>
        </w:tc>
        <w:tc>
          <w:tcPr>
            <w:tcW w:type="dxa" w:w="2304"/>
          </w:tcPr>
          <w:p>
            <w:pPr>
              <w:spacing w:after="0" w:line="240" w:lineRule="auto"/>
              <w:jc w:val="left"/>
            </w:pPr>
            <w:r>
              <w:rPr>
                <w:rFonts w:ascii="Times New Roman" w:hAnsi="Times New Roman"/>
                <w:sz w:val="16"/>
              </w:rPr>
              <w:t>Higher: the form was manageable without help. Lower: the digital route is not easier than the counter it replaces.</w:t>
            </w:r>
          </w:p>
        </w:tc>
        <w:tc>
          <w:tcPr>
            <w:tcW w:type="dxa" w:w="1224"/>
          </w:tcPr>
          <w:p>
            <w:pPr>
              <w:spacing w:after="0" w:line="240" w:lineRule="auto"/>
              <w:jc w:val="left"/>
            </w:pPr>
            <w:r>
              <w:rPr>
                <w:rFonts w:ascii="Times New Roman" w:hAnsi="Times New Roman"/>
                <w:sz w:val="16"/>
              </w:rPr>
              <w:t>Frequency, percentage, weighted mean, SD. Applicants only.</w:t>
            </w:r>
          </w:p>
        </w:tc>
      </w:tr>
      <w:tr>
        <w:tc>
          <w:tcPr>
            <w:tcW w:type="dxa" w:w="504"/>
          </w:tcPr>
          <w:p>
            <w:pPr>
              <w:spacing w:after="0" w:line="240" w:lineRule="auto"/>
              <w:jc w:val="left"/>
            </w:pPr>
            <w:r>
              <w:rPr>
                <w:rFonts w:ascii="Times New Roman" w:hAnsi="Times New Roman"/>
                <w:sz w:val="16"/>
              </w:rPr>
              <w:t>13</w:t>
            </w:r>
          </w:p>
        </w:tc>
        <w:tc>
          <w:tcPr>
            <w:tcW w:type="dxa" w:w="2160"/>
          </w:tcPr>
          <w:p>
            <w:pPr>
              <w:spacing w:after="0" w:line="240" w:lineRule="auto"/>
              <w:jc w:val="left"/>
            </w:pPr>
            <w:r>
              <w:rPr>
                <w:rFonts w:ascii="Times New Roman" w:hAnsi="Times New Roman"/>
                <w:sz w:val="16"/>
              </w:rPr>
              <w:t>The requirements for the ministry or sacrament I applied for were clearly explained before I applied.</w:t>
            </w:r>
          </w:p>
        </w:tc>
        <w:tc>
          <w:tcPr>
            <w:tcW w:type="dxa" w:w="1224"/>
          </w:tcPr>
          <w:p>
            <w:pPr>
              <w:spacing w:after="0" w:line="240" w:lineRule="auto"/>
              <w:jc w:val="left"/>
            </w:pPr>
            <w:r>
              <w:rPr>
                <w:rFonts w:ascii="Times New Roman" w:hAnsi="Times New Roman"/>
                <w:sz w:val="16"/>
              </w:rPr>
              <w:t>Objective 3 / RQ3</w:t>
            </w:r>
          </w:p>
        </w:tc>
        <w:tc>
          <w:tcPr>
            <w:tcW w:type="dxa" w:w="1368"/>
          </w:tcPr>
          <w:p>
            <w:pPr>
              <w:spacing w:after="0" w:line="240" w:lineRule="auto"/>
              <w:jc w:val="left"/>
            </w:pPr>
            <w:r>
              <w:rPr>
                <w:rFonts w:ascii="Times New Roman" w:hAnsi="Times New Roman"/>
                <w:sz w:val="16"/>
              </w:rPr>
              <w:t>Transparency of requirements</w:t>
            </w:r>
          </w:p>
        </w:tc>
        <w:tc>
          <w:tcPr>
            <w:tcW w:type="dxa" w:w="2736"/>
          </w:tcPr>
          <w:p>
            <w:pPr>
              <w:spacing w:after="0" w:line="240" w:lineRule="auto"/>
              <w:jc w:val="left"/>
            </w:pPr>
            <w:r>
              <w:rPr>
                <w:rFonts w:ascii="Times New Roman" w:hAnsi="Times New Roman"/>
                <w:sz w:val="16"/>
              </w:rPr>
              <w:t>RQ3 names transparency of the application process. Knowing what is required BEFORE applying is the part of transparency the applicant meets first.</w:t>
            </w:r>
          </w:p>
        </w:tc>
        <w:tc>
          <w:tcPr>
            <w:tcW w:type="dxa" w:w="2304"/>
          </w:tcPr>
          <w:p>
            <w:pPr>
              <w:spacing w:after="0" w:line="240" w:lineRule="auto"/>
              <w:jc w:val="left"/>
            </w:pPr>
            <w:r>
              <w:rPr>
                <w:rFonts w:ascii="Times New Roman" w:hAnsi="Times New Roman"/>
                <w:sz w:val="16"/>
              </w:rPr>
              <w:t>Higher: requirements were clear up front. Lower: people applied without knowing what to bring, which is the manual process's own failing carried over.</w:t>
            </w:r>
          </w:p>
        </w:tc>
        <w:tc>
          <w:tcPr>
            <w:tcW w:type="dxa" w:w="1224"/>
          </w:tcPr>
          <w:p>
            <w:pPr>
              <w:spacing w:after="0" w:line="240" w:lineRule="auto"/>
              <w:jc w:val="left"/>
            </w:pPr>
            <w:r>
              <w:rPr>
                <w:rFonts w:ascii="Times New Roman" w:hAnsi="Times New Roman"/>
                <w:sz w:val="16"/>
              </w:rPr>
              <w:t>Frequency, percentage, weighted mean, SD. Applicants only.</w:t>
            </w:r>
          </w:p>
        </w:tc>
      </w:tr>
      <w:tr>
        <w:tc>
          <w:tcPr>
            <w:tcW w:type="dxa" w:w="504"/>
          </w:tcPr>
          <w:p>
            <w:pPr>
              <w:spacing w:after="0" w:line="240" w:lineRule="auto"/>
              <w:jc w:val="left"/>
            </w:pPr>
            <w:r>
              <w:rPr>
                <w:rFonts w:ascii="Times New Roman" w:hAnsi="Times New Roman"/>
                <w:sz w:val="16"/>
              </w:rPr>
              <w:t>14</w:t>
            </w:r>
          </w:p>
        </w:tc>
        <w:tc>
          <w:tcPr>
            <w:tcW w:type="dxa" w:w="2160"/>
          </w:tcPr>
          <w:p>
            <w:pPr>
              <w:spacing w:after="0" w:line="240" w:lineRule="auto"/>
              <w:jc w:val="left"/>
            </w:pPr>
            <w:r>
              <w:rPr>
                <w:rFonts w:ascii="Times New Roman" w:hAnsi="Times New Roman"/>
                <w:sz w:val="16"/>
              </w:rPr>
              <w:t>I was able to check the status of my application without going to the parish office.</w:t>
            </w:r>
          </w:p>
        </w:tc>
        <w:tc>
          <w:tcPr>
            <w:tcW w:type="dxa" w:w="1224"/>
          </w:tcPr>
          <w:p>
            <w:pPr>
              <w:spacing w:after="0" w:line="240" w:lineRule="auto"/>
              <w:jc w:val="left"/>
            </w:pPr>
            <w:r>
              <w:rPr>
                <w:rFonts w:ascii="Times New Roman" w:hAnsi="Times New Roman"/>
                <w:sz w:val="16"/>
              </w:rPr>
              <w:t>Objective 3 / RQ3</w:t>
            </w:r>
          </w:p>
        </w:tc>
        <w:tc>
          <w:tcPr>
            <w:tcW w:type="dxa" w:w="1368"/>
          </w:tcPr>
          <w:p>
            <w:pPr>
              <w:spacing w:after="0" w:line="240" w:lineRule="auto"/>
              <w:jc w:val="left"/>
            </w:pPr>
            <w:r>
              <w:rPr>
                <w:rFonts w:ascii="Times New Roman" w:hAnsi="Times New Roman"/>
                <w:sz w:val="16"/>
              </w:rPr>
              <w:t>Accessibility of status updates</w:t>
            </w:r>
          </w:p>
        </w:tc>
        <w:tc>
          <w:tcPr>
            <w:tcW w:type="dxa" w:w="2736"/>
          </w:tcPr>
          <w:p>
            <w:pPr>
              <w:spacing w:after="0" w:line="240" w:lineRule="auto"/>
              <w:jc w:val="left"/>
            </w:pPr>
            <w:r>
              <w:rPr>
                <w:rFonts w:ascii="Times New Roman" w:hAnsi="Times New Roman"/>
                <w:sz w:val="16"/>
              </w:rPr>
              <w:t>RQ3 names accessibility of status updates. The general problem states applicants cannot follow the progress of their requests, so this item is the direct test of whether that changed.</w:t>
            </w:r>
          </w:p>
        </w:tc>
        <w:tc>
          <w:tcPr>
            <w:tcW w:type="dxa" w:w="2304"/>
          </w:tcPr>
          <w:p>
            <w:pPr>
              <w:spacing w:after="0" w:line="240" w:lineRule="auto"/>
              <w:jc w:val="left"/>
            </w:pPr>
            <w:r>
              <w:rPr>
                <w:rFonts w:ascii="Times New Roman" w:hAnsi="Times New Roman"/>
                <w:sz w:val="16"/>
              </w:rPr>
              <w:t>Higher: status could be checked remotely. Lower: people still had to go to the office, and the objective is unmet.</w:t>
            </w:r>
          </w:p>
        </w:tc>
        <w:tc>
          <w:tcPr>
            <w:tcW w:type="dxa" w:w="1224"/>
          </w:tcPr>
          <w:p>
            <w:pPr>
              <w:spacing w:after="0" w:line="240" w:lineRule="auto"/>
              <w:jc w:val="left"/>
            </w:pPr>
            <w:r>
              <w:rPr>
                <w:rFonts w:ascii="Times New Roman" w:hAnsi="Times New Roman"/>
                <w:sz w:val="16"/>
              </w:rPr>
              <w:t>Frequency, percentage, weighted mean, SD. Applicants only.</w:t>
            </w:r>
          </w:p>
        </w:tc>
      </w:tr>
      <w:tr>
        <w:tc>
          <w:tcPr>
            <w:tcW w:type="dxa" w:w="504"/>
          </w:tcPr>
          <w:p>
            <w:pPr>
              <w:spacing w:after="0" w:line="240" w:lineRule="auto"/>
              <w:jc w:val="left"/>
            </w:pPr>
            <w:r>
              <w:rPr>
                <w:rFonts w:ascii="Times New Roman" w:hAnsi="Times New Roman"/>
                <w:sz w:val="16"/>
              </w:rPr>
              <w:t>15</w:t>
            </w:r>
          </w:p>
        </w:tc>
        <w:tc>
          <w:tcPr>
            <w:tcW w:type="dxa" w:w="2160"/>
          </w:tcPr>
          <w:p>
            <w:pPr>
              <w:spacing w:after="0" w:line="240" w:lineRule="auto"/>
              <w:jc w:val="left"/>
            </w:pPr>
            <w:r>
              <w:rPr>
                <w:rFonts w:ascii="Times New Roman" w:hAnsi="Times New Roman"/>
                <w:sz w:val="16"/>
              </w:rPr>
              <w:t>I was kept informed about what was happening with my application.</w:t>
            </w:r>
          </w:p>
        </w:tc>
        <w:tc>
          <w:tcPr>
            <w:tcW w:type="dxa" w:w="1224"/>
          </w:tcPr>
          <w:p>
            <w:pPr>
              <w:spacing w:after="0" w:line="240" w:lineRule="auto"/>
              <w:jc w:val="left"/>
            </w:pPr>
            <w:r>
              <w:rPr>
                <w:rFonts w:ascii="Times New Roman" w:hAnsi="Times New Roman"/>
                <w:sz w:val="16"/>
              </w:rPr>
              <w:t>Objective 3 / RQ3</w:t>
            </w:r>
          </w:p>
        </w:tc>
        <w:tc>
          <w:tcPr>
            <w:tcW w:type="dxa" w:w="1368"/>
          </w:tcPr>
          <w:p>
            <w:pPr>
              <w:spacing w:after="0" w:line="240" w:lineRule="auto"/>
              <w:jc w:val="left"/>
            </w:pPr>
            <w:r>
              <w:rPr>
                <w:rFonts w:ascii="Times New Roman" w:hAnsi="Times New Roman"/>
                <w:sz w:val="16"/>
              </w:rPr>
              <w:t>Perceived transparency of progress</w:t>
            </w:r>
          </w:p>
        </w:tc>
        <w:tc>
          <w:tcPr>
            <w:tcW w:type="dxa" w:w="2736"/>
          </w:tcPr>
          <w:p>
            <w:pPr>
              <w:spacing w:after="0" w:line="240" w:lineRule="auto"/>
              <w:jc w:val="left"/>
            </w:pPr>
            <w:r>
              <w:rPr>
                <w:rFonts w:ascii="Times New Roman" w:hAnsi="Times New Roman"/>
                <w:sz w:val="16"/>
              </w:rPr>
              <w:t>RQ3 names transparency of the application process as an outcome. Item 14 asks whether status COULD be checked; this asks whether the applicant felt informed, which is the experience the objective is really about.</w:t>
            </w:r>
          </w:p>
        </w:tc>
        <w:tc>
          <w:tcPr>
            <w:tcW w:type="dxa" w:w="2304"/>
          </w:tcPr>
          <w:p>
            <w:pPr>
              <w:spacing w:after="0" w:line="240" w:lineRule="auto"/>
              <w:jc w:val="left"/>
            </w:pPr>
            <w:r>
              <w:rPr>
                <w:rFonts w:ascii="Times New Roman" w:hAnsi="Times New Roman"/>
                <w:sz w:val="16"/>
              </w:rPr>
              <w:t>Higher: applicants felt kept in the picture. Lower: the status existed but did not communicate.</w:t>
            </w:r>
          </w:p>
        </w:tc>
        <w:tc>
          <w:tcPr>
            <w:tcW w:type="dxa" w:w="1224"/>
          </w:tcPr>
          <w:p>
            <w:pPr>
              <w:spacing w:after="0" w:line="240" w:lineRule="auto"/>
              <w:jc w:val="left"/>
            </w:pPr>
            <w:r>
              <w:rPr>
                <w:rFonts w:ascii="Times New Roman" w:hAnsi="Times New Roman"/>
                <w:sz w:val="16"/>
              </w:rPr>
              <w:t>Frequency, percentage, weighted mean, SD. Applicants only.</w:t>
            </w:r>
          </w:p>
        </w:tc>
      </w:tr>
    </w:tbl>
    <w:p/>
    <w:p>
      <w:r>
        <w:br w:type="page"/>
      </w:r>
    </w:p>
    <w:p>
      <w:pPr>
        <w:pStyle w:val="Heading1"/>
      </w:pPr>
      <w:r>
        <w:rPr>
          <w:rFonts w:ascii="Times New Roman" w:hAnsi="Times New Roman"/>
          <w:color w:val="000000"/>
          <w:sz w:val="30"/>
        </w:rPr>
        <w:t>D. Objective-to-Question Mapping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736"/>
          </w:tcPr>
          <w:p>
            <w:pPr>
              <w:spacing w:after="0"/>
            </w:pPr>
            <w:r>
              <w:rPr>
                <w:rFonts w:ascii="Times New Roman" w:hAnsi="Times New Roman"/>
                <w:b/>
                <w:sz w:val="18"/>
              </w:rPr>
              <w:t>Objective (abridged)</w:t>
            </w:r>
          </w:p>
        </w:tc>
        <w:tc>
          <w:tcPr>
            <w:tcW w:type="dxa" w:w="1152"/>
          </w:tcPr>
          <w:p>
            <w:pPr>
              <w:spacing w:after="0"/>
            </w:pPr>
            <w:r>
              <w:rPr>
                <w:rFonts w:ascii="Times New Roman" w:hAnsi="Times New Roman"/>
                <w:b/>
                <w:sz w:val="18"/>
              </w:rPr>
              <w:t>Research Question</w:t>
            </w:r>
          </w:p>
        </w:tc>
        <w:tc>
          <w:tcPr>
            <w:tcW w:type="dxa" w:w="1584"/>
          </w:tcPr>
          <w:p>
            <w:pPr>
              <w:spacing w:after="0"/>
            </w:pPr>
            <w:r>
              <w:rPr>
                <w:rFonts w:ascii="Times New Roman" w:hAnsi="Times New Roman"/>
                <w:b/>
                <w:sz w:val="18"/>
              </w:rPr>
              <w:t>Items</w:t>
            </w:r>
          </w:p>
        </w:tc>
        <w:tc>
          <w:tcPr>
            <w:tcW w:type="dxa" w:w="936"/>
          </w:tcPr>
          <w:p>
            <w:pPr>
              <w:spacing w:after="0"/>
            </w:pPr>
            <w:r>
              <w:rPr>
                <w:rFonts w:ascii="Times New Roman" w:hAnsi="Times New Roman"/>
                <w:b/>
                <w:sz w:val="18"/>
              </w:rPr>
              <w:t>No. of Items</w:t>
            </w:r>
          </w:p>
        </w:tc>
        <w:tc>
          <w:tcPr>
            <w:tcW w:type="dxa" w:w="3024"/>
          </w:tcPr>
          <w:p>
            <w:pPr>
              <w:spacing w:after="0"/>
            </w:pPr>
            <w:r>
              <w:rPr>
                <w:rFonts w:ascii="Times New Roman" w:hAnsi="Times New Roman"/>
                <w:b/>
                <w:sz w:val="18"/>
              </w:rPr>
              <w:t>Why this many</w:t>
            </w:r>
          </w:p>
        </w:tc>
      </w:tr>
      <w:tr>
        <w:tc>
          <w:tcPr>
            <w:tcW w:type="dxa" w:w="2736"/>
          </w:tcPr>
          <w:p>
            <w:pPr>
              <w:spacing w:after="0" w:line="240" w:lineRule="auto"/>
              <w:jc w:val="left"/>
            </w:pPr>
            <w:r>
              <w:rPr>
                <w:rFonts w:ascii="Times New Roman" w:hAnsi="Times New Roman"/>
                <w:sz w:val="18"/>
              </w:rPr>
              <w:t>Objective 1 — church history module, explored interactively through augmented reality and image recognition</w:t>
            </w:r>
          </w:p>
        </w:tc>
        <w:tc>
          <w:tcPr>
            <w:tcW w:type="dxa" w:w="1152"/>
          </w:tcPr>
          <w:p>
            <w:pPr>
              <w:spacing w:after="0" w:line="240" w:lineRule="auto"/>
              <w:jc w:val="left"/>
            </w:pPr>
            <w:r>
              <w:rPr>
                <w:rFonts w:ascii="Times New Roman" w:hAnsi="Times New Roman"/>
                <w:sz w:val="18"/>
              </w:rPr>
              <w:t>RQ1</w:t>
            </w:r>
          </w:p>
        </w:tc>
        <w:tc>
          <w:tcPr>
            <w:tcW w:type="dxa" w:w="1584"/>
          </w:tcPr>
          <w:p>
            <w:pPr>
              <w:spacing w:after="0" w:line="240" w:lineRule="auto"/>
              <w:jc w:val="left"/>
            </w:pPr>
            <w:r>
              <w:rPr>
                <w:rFonts w:ascii="Times New Roman" w:hAnsi="Times New Roman"/>
                <w:sz w:val="18"/>
              </w:rPr>
              <w:t>1, 2, 3, 4, 5</w:t>
            </w:r>
          </w:p>
        </w:tc>
        <w:tc>
          <w:tcPr>
            <w:tcW w:type="dxa" w:w="936"/>
          </w:tcPr>
          <w:p>
            <w:pPr>
              <w:spacing w:after="0" w:line="240" w:lineRule="auto"/>
              <w:jc w:val="left"/>
            </w:pPr>
            <w:r>
              <w:rPr>
                <w:rFonts w:ascii="Times New Roman" w:hAnsi="Times New Roman"/>
                <w:sz w:val="18"/>
              </w:rPr>
              <w:t>5</w:t>
            </w:r>
          </w:p>
        </w:tc>
        <w:tc>
          <w:tcPr>
            <w:tcW w:type="dxa" w:w="3024"/>
          </w:tcPr>
          <w:p>
            <w:pPr>
              <w:spacing w:after="0" w:line="240" w:lineRule="auto"/>
              <w:jc w:val="left"/>
            </w:pPr>
            <w:r>
              <w:rPr>
                <w:rFonts w:ascii="Times New Roman" w:hAnsi="Times New Roman"/>
                <w:sz w:val="18"/>
              </w:rPr>
              <w:t>Three distinct facilities (history section, marker tour, image scanner) plus the two constructs RQ1 names, accessibility and understanding. Fewer than five would leave either a facility or a construct unmeasured.</w:t>
            </w:r>
          </w:p>
        </w:tc>
      </w:tr>
      <w:tr>
        <w:tc>
          <w:tcPr>
            <w:tcW w:type="dxa" w:w="2736"/>
          </w:tcPr>
          <w:p>
            <w:pPr>
              <w:spacing w:after="0" w:line="240" w:lineRule="auto"/>
              <w:jc w:val="left"/>
            </w:pPr>
            <w:r>
              <w:rPr>
                <w:rFonts w:ascii="Times New Roman" w:hAnsi="Times New Roman"/>
                <w:sz w:val="18"/>
              </w:rPr>
              <w:t>Objective 2 — parish information and navigation module: locations, walking directions, Mass schedule, feast days, announcements, and English or Filipino</w:t>
            </w:r>
          </w:p>
        </w:tc>
        <w:tc>
          <w:tcPr>
            <w:tcW w:type="dxa" w:w="1152"/>
          </w:tcPr>
          <w:p>
            <w:pPr>
              <w:spacing w:after="0" w:line="240" w:lineRule="auto"/>
              <w:jc w:val="left"/>
            </w:pPr>
            <w:r>
              <w:rPr>
                <w:rFonts w:ascii="Times New Roman" w:hAnsi="Times New Roman"/>
                <w:sz w:val="18"/>
              </w:rPr>
              <w:t>RQ2</w:t>
            </w:r>
          </w:p>
        </w:tc>
        <w:tc>
          <w:tcPr>
            <w:tcW w:type="dxa" w:w="1584"/>
          </w:tcPr>
          <w:p>
            <w:pPr>
              <w:spacing w:after="0" w:line="240" w:lineRule="auto"/>
              <w:jc w:val="left"/>
            </w:pPr>
            <w:r>
              <w:rPr>
                <w:rFonts w:ascii="Times New Roman" w:hAnsi="Times New Roman"/>
                <w:sz w:val="18"/>
              </w:rPr>
              <w:t>6, 7, 8, 9, 10, 11</w:t>
            </w:r>
          </w:p>
        </w:tc>
        <w:tc>
          <w:tcPr>
            <w:tcW w:type="dxa" w:w="936"/>
          </w:tcPr>
          <w:p>
            <w:pPr>
              <w:spacing w:after="0" w:line="240" w:lineRule="auto"/>
              <w:jc w:val="left"/>
            </w:pPr>
            <w:r>
              <w:rPr>
                <w:rFonts w:ascii="Times New Roman" w:hAnsi="Times New Roman"/>
                <w:sz w:val="18"/>
              </w:rPr>
              <w:t>6</w:t>
            </w:r>
          </w:p>
        </w:tc>
        <w:tc>
          <w:tcPr>
            <w:tcW w:type="dxa" w:w="3024"/>
          </w:tcPr>
          <w:p>
            <w:pPr>
              <w:spacing w:after="0" w:line="240" w:lineRule="auto"/>
              <w:jc w:val="left"/>
            </w:pPr>
            <w:r>
              <w:rPr>
                <w:rFonts w:ascii="Times New Roman" w:hAnsi="Times New Roman"/>
                <w:sz w:val="18"/>
              </w:rPr>
              <w:t>The widest objective. It carries two separable halves - information and navigation - and RQ2 names three constructs (accessibility, accuracy, ease of navigation) plus the language option, which is a fourth aspect of its own.</w:t>
            </w:r>
          </w:p>
        </w:tc>
      </w:tr>
      <w:tr>
        <w:tc>
          <w:tcPr>
            <w:tcW w:type="dxa" w:w="2736"/>
          </w:tcPr>
          <w:p>
            <w:pPr>
              <w:spacing w:after="0" w:line="240" w:lineRule="auto"/>
              <w:jc w:val="left"/>
            </w:pPr>
            <w:r>
              <w:rPr>
                <w:rFonts w:ascii="Times New Roman" w:hAnsi="Times New Roman"/>
                <w:sz w:val="18"/>
              </w:rPr>
              <w:t>Objective 3 — application and administration module: parishioners submit and follow applications; administrators manage content and decide them</w:t>
            </w:r>
          </w:p>
        </w:tc>
        <w:tc>
          <w:tcPr>
            <w:tcW w:type="dxa" w:w="1152"/>
          </w:tcPr>
          <w:p>
            <w:pPr>
              <w:spacing w:after="0" w:line="240" w:lineRule="auto"/>
              <w:jc w:val="left"/>
            </w:pPr>
            <w:r>
              <w:rPr>
                <w:rFonts w:ascii="Times New Roman" w:hAnsi="Times New Roman"/>
                <w:sz w:val="18"/>
              </w:rPr>
              <w:t>RQ3</w:t>
            </w:r>
          </w:p>
        </w:tc>
        <w:tc>
          <w:tcPr>
            <w:tcW w:type="dxa" w:w="1584"/>
          </w:tcPr>
          <w:p>
            <w:pPr>
              <w:spacing w:after="0" w:line="240" w:lineRule="auto"/>
              <w:jc w:val="left"/>
            </w:pPr>
            <w:r>
              <w:rPr>
                <w:rFonts w:ascii="Times New Roman" w:hAnsi="Times New Roman"/>
                <w:sz w:val="18"/>
              </w:rPr>
              <w:t>12, 13, 14, 15</w:t>
            </w:r>
          </w:p>
        </w:tc>
        <w:tc>
          <w:tcPr>
            <w:tcW w:type="dxa" w:w="936"/>
          </w:tcPr>
          <w:p>
            <w:pPr>
              <w:spacing w:after="0" w:line="240" w:lineRule="auto"/>
              <w:jc w:val="left"/>
            </w:pPr>
            <w:r>
              <w:rPr>
                <w:rFonts w:ascii="Times New Roman" w:hAnsi="Times New Roman"/>
                <w:sz w:val="18"/>
              </w:rPr>
              <w:t>4</w:t>
            </w:r>
          </w:p>
        </w:tc>
        <w:tc>
          <w:tcPr>
            <w:tcW w:type="dxa" w:w="3024"/>
          </w:tcPr>
          <w:p>
            <w:pPr>
              <w:spacing w:after="0" w:line="240" w:lineRule="auto"/>
              <w:jc w:val="left"/>
            </w:pPr>
            <w:r>
              <w:rPr>
                <w:rFonts w:ascii="Times New Roman" w:hAnsi="Times New Roman"/>
                <w:sz w:val="18"/>
              </w:rPr>
              <w:t>Covers the applicant's side in full. The administrator's side is deliberately absent - see the limitation below.</w:t>
            </w:r>
          </w:p>
        </w:tc>
      </w:tr>
    </w:tbl>
    <w:p/>
    <w:p>
      <w:pPr>
        <w:pStyle w:val="Heading2"/>
      </w:pPr>
      <w:r>
        <w:rPr>
          <w:rFonts w:ascii="Times New Roman" w:hAnsi="Times New Roman"/>
          <w:color w:val="000000"/>
          <w:sz w:val="25"/>
        </w:rPr>
        <w:t>Limitation: the administrator's side of Objective 3</w:t>
      </w:r>
    </w:p>
    <w:p>
      <w:r>
        <w:rPr>
          <w:b w:val="0"/>
          <w:i w:val="0"/>
        </w:rPr>
        <w:t>RQ3 names administrative processing, and Objective 3 names the administrator's management of schedules, announcements, content and application decisions. No ordinary respondent can evaluate any of that. A pilgrim never sees the parish portal, and asking them about it would produce answers about something they have not used.</w:t>
      </w:r>
    </w:p>
    <w:p>
      <w:r>
        <w:rPr>
          <w:b w:val="0"/>
          <w:i w:val="0"/>
        </w:rPr>
        <w:t>Two ways to resolve it, in order of preference:</w:t>
      </w:r>
    </w:p>
    <w:p>
      <w:pPr>
        <w:pStyle w:val="ListBullet"/>
      </w:pPr>
      <w:r>
        <w:t>Administer a short separate instrument to the parish administrators themselves - there are only a handful, so a brief structured interview or a five-item form is proportionate. Report it as a second respondent group rather than pooling it with the pilgrims' means, because the groups answer different questions.</w:t>
      </w:r>
    </w:p>
    <w:p>
      <w:pPr>
        <w:pStyle w:val="ListBullet"/>
      </w:pPr>
      <w:r>
        <w:t>If a separate instrument is not possible, state plainly in your limitations that the administrative half of Objective 3 was evaluated by functional testing and demonstration rather than by user survey, and show the portal working during the defense.</w:t>
      </w:r>
    </w:p>
    <w:p>
      <w:pPr>
        <w:ind w:left="432"/>
      </w:pPr>
      <w:r>
        <w:rPr>
          <w:i/>
          <w:color w:val="C00000"/>
        </w:rPr>
        <w:t>[NOTE] Do not solve this by adding admin items to this form. Fifteen is your limit, and items that most respondents cannot answer damage the whole instrument rather than just themselves.</w:t>
      </w:r>
    </w:p>
    <w:p>
      <w:r>
        <w:br w:type="page"/>
      </w:r>
    </w:p>
    <w:p>
      <w:pPr>
        <w:pStyle w:val="Heading1"/>
      </w:pPr>
      <w:r>
        <w:rPr>
          <w:rFonts w:ascii="Times New Roman" w:hAnsi="Times New Roman"/>
          <w:color w:val="000000"/>
          <w:sz w:val="30"/>
        </w:rPr>
        <w:t>E. Quantitative Data Analysis Guide</w:t>
      </w:r>
    </w:p>
    <w:p>
      <w:pPr>
        <w:pStyle w:val="Heading2"/>
      </w:pPr>
      <w:r>
        <w:rPr>
          <w:rFonts w:ascii="Times New Roman" w:hAnsi="Times New Roman"/>
          <w:color w:val="000000"/>
          <w:sz w:val="25"/>
        </w:rPr>
        <w:t>1. Encoding responses</w:t>
      </w:r>
    </w:p>
    <w:p>
      <w:r>
        <w:rPr>
          <w:b w:val="0"/>
          <w:i w:val="0"/>
        </w:rPr>
        <w:t>Enter each response as the number already printed beside it: Strongly Agree = 5, Agree = 4, Neither Agree nor Disagree = 3, Disagree = 2, Strongly Disagree = 1. No item on this form is negatively worded, so no reverse coding is needed. Leave a blank item blank; do not enter 3 for it, which would turn a non-answer into an opinion.</w:t>
      </w:r>
    </w:p>
    <w:p>
      <w:pPr>
        <w:pStyle w:val="Heading2"/>
      </w:pPr>
      <w:r>
        <w:rPr>
          <w:rFonts w:ascii="Times New Roman" w:hAnsi="Times New Roman"/>
          <w:color w:val="000000"/>
          <w:sz w:val="25"/>
        </w:rPr>
        <w:t>2. Frequency and percentage</w:t>
      </w:r>
    </w:p>
    <w:p>
      <w:r>
        <w:rPr>
          <w:b w:val="0"/>
          <w:i w:val="0"/>
        </w:rPr>
        <w:t>For each item, count how many respondents chose each of the five options. The percentage is that count divided by the number of respondents who answered THAT item, times 100 - not by the total number of respondents, if some items were left blank. State which denominator you used.</w:t>
      </w:r>
    </w:p>
    <w:p>
      <w:pPr>
        <w:pStyle w:val="Heading2"/>
      </w:pPr>
      <w:r>
        <w:rPr>
          <w:rFonts w:ascii="Times New Roman" w:hAnsi="Times New Roman"/>
          <w:color w:val="000000"/>
          <w:sz w:val="25"/>
        </w:rPr>
        <w:t>3. Weighted mean per item</w:t>
      </w:r>
    </w:p>
    <w:p>
      <w:r>
        <w:rPr>
          <w:b w:val="0"/>
          <w:i w:val="0"/>
        </w:rPr>
        <w:t>Multiply each rating by the number of respondents who chose it, add the products, and divide by the number who answered the item:</w:t>
      </w:r>
    </w:p>
    <w:p>
      <w:r>
        <w:rPr>
          <w:b w:val="0"/>
          <w:i/>
        </w:rPr>
        <w:t xml:space="preserve">        Weighted mean = Σ (rating × frequency) ÷ n</w:t>
      </w:r>
    </w:p>
    <w:p>
      <w:r>
        <w:rPr>
          <w:b w:val="0"/>
          <w:i w:val="0"/>
        </w:rPr>
        <w:t>Worked example. For 30 respondents answering 5, 4, 3, 2, 1 with frequencies 12, 10, 5, 2, 1: [(5×12) + (4×10) + (3×5) + (2×2) + (1×1)] ÷ 30 = (60 + 40 + 15 + 4 + 1) ÷ 30 = 120 ÷ 30 = 4.00.</w:t>
      </w:r>
    </w:p>
    <w:p>
      <w:pPr>
        <w:pStyle w:val="Heading2"/>
      </w:pPr>
      <w:r>
        <w:rPr>
          <w:rFonts w:ascii="Times New Roman" w:hAnsi="Times New Roman"/>
          <w:color w:val="000000"/>
          <w:sz w:val="25"/>
        </w:rPr>
        <w:t>4. Summarising items under an objective</w:t>
      </w:r>
    </w:p>
    <w:p>
      <w:r>
        <w:rPr>
          <w:b w:val="0"/>
          <w:i w:val="0"/>
        </w:rPr>
        <w:t>An objective's overall mean is the average of its item means - the mean of items 1 to 5 for Objective 1, 6 to 11 for Objective 2, and 12 to 15 for Objective 3. Report the item means as well as the overall figure. A single average can hide one weak item inside five strong ones, and that weak item is usually the most useful thing the survey tells you.</w:t>
      </w:r>
    </w:p>
    <w:p>
      <w:pPr>
        <w:pStyle w:val="Heading2"/>
      </w:pPr>
      <w:r>
        <w:rPr>
          <w:rFonts w:ascii="Times New Roman" w:hAnsi="Times New Roman"/>
          <w:color w:val="000000"/>
          <w:sz w:val="25"/>
        </w:rPr>
        <w:t>5. Standard deviation</w:t>
      </w:r>
    </w:p>
    <w:p>
      <w:r>
        <w:rPr>
          <w:b w:val="0"/>
          <w:i w:val="0"/>
        </w:rPr>
        <w:t>The standard deviation says how much the respondents disagreed with each other. Report it alongside every mean. It matters most when a mean sits in the middle: a mean of 3.0 with a low SD means everybody was lukewarm, while a mean of 3.0 with a high SD means the application worked well for some people and badly for others, which is a different finding and a more interesting one.</w:t>
      </w:r>
    </w:p>
    <w:p>
      <w:pPr>
        <w:pStyle w:val="Heading2"/>
      </w:pPr>
      <w:r>
        <w:rPr>
          <w:rFonts w:ascii="Times New Roman" w:hAnsi="Times New Roman"/>
          <w:color w:val="000000"/>
          <w:sz w:val="25"/>
        </w:rPr>
        <w:t>6. The interpretation scale, and where it comes from</w:t>
      </w:r>
    </w:p>
    <w:p>
      <w:r>
        <w:rPr>
          <w:b w:val="0"/>
          <w:i w:val="0"/>
        </w:rPr>
        <w:t>The scale below is derived, not quoted from a standard. The scale runs from 1 to 5, so its range is 4. Dividing that range by the five response categories gives a class width of 0.80, and the intervals follow from that:</w:t>
      </w:r>
    </w:p>
    <w:tbl>
      <w:tblPr>
        <w:tblStyle w:val="TableGrid"/>
        <w:tblW w:type="auto" w:w="0"/>
        <w:jc w:val="center"/>
        <w:tblLook w:firstColumn="1" w:firstRow="1" w:lastColumn="0" w:lastRow="0" w:noHBand="0" w:noVBand="1" w:val="04A0"/>
      </w:tblPr>
      <w:tblGrid>
        <w:gridCol w:w="4680"/>
        <w:gridCol w:w="4680"/>
      </w:tblGrid>
      <w:tr>
        <w:tc>
          <w:tcPr>
            <w:tcW w:type="dxa" w:w="2160"/>
          </w:tcPr>
          <w:p>
            <w:pPr>
              <w:spacing w:after="0"/>
            </w:pPr>
            <w:r>
              <w:rPr>
                <w:rFonts w:ascii="Times New Roman" w:hAnsi="Times New Roman"/>
                <w:b/>
                <w:sz w:val="22"/>
              </w:rPr>
              <w:t>Mean range</w:t>
            </w:r>
          </w:p>
        </w:tc>
        <w:tc>
          <w:tcPr>
            <w:tcW w:type="dxa" w:w="3744"/>
          </w:tcPr>
          <w:p>
            <w:pPr>
              <w:spacing w:after="0"/>
            </w:pPr>
            <w:r>
              <w:rPr>
                <w:rFonts w:ascii="Times New Roman" w:hAnsi="Times New Roman"/>
                <w:b/>
                <w:sz w:val="22"/>
              </w:rPr>
              <w:t>Verbal interpretation</w:t>
            </w:r>
          </w:p>
        </w:tc>
      </w:tr>
      <w:tr>
        <w:tc>
          <w:tcPr>
            <w:tcW w:type="dxa" w:w="2160"/>
          </w:tcPr>
          <w:p>
            <w:pPr>
              <w:spacing w:after="0" w:line="240" w:lineRule="auto"/>
              <w:jc w:val="left"/>
            </w:pPr>
            <w:r>
              <w:rPr>
                <w:rFonts w:ascii="Times New Roman" w:hAnsi="Times New Roman"/>
                <w:sz w:val="22"/>
              </w:rPr>
              <w:t>4.21 – 5.00</w:t>
            </w:r>
          </w:p>
        </w:tc>
        <w:tc>
          <w:tcPr>
            <w:tcW w:type="dxa" w:w="3744"/>
          </w:tcPr>
          <w:p>
            <w:pPr>
              <w:spacing w:after="0" w:line="240" w:lineRule="auto"/>
              <w:jc w:val="left"/>
            </w:pPr>
            <w:r>
              <w:rPr>
                <w:rFonts w:ascii="Times New Roman" w:hAnsi="Times New Roman"/>
                <w:sz w:val="22"/>
              </w:rPr>
              <w:t>Strongly Agree</w:t>
            </w:r>
          </w:p>
        </w:tc>
      </w:tr>
      <w:tr>
        <w:tc>
          <w:tcPr>
            <w:tcW w:type="dxa" w:w="2160"/>
          </w:tcPr>
          <w:p>
            <w:pPr>
              <w:spacing w:after="0" w:line="240" w:lineRule="auto"/>
              <w:jc w:val="left"/>
            </w:pPr>
            <w:r>
              <w:rPr>
                <w:rFonts w:ascii="Times New Roman" w:hAnsi="Times New Roman"/>
                <w:sz w:val="22"/>
              </w:rPr>
              <w:t>3.41 – 4.20</w:t>
            </w:r>
          </w:p>
        </w:tc>
        <w:tc>
          <w:tcPr>
            <w:tcW w:type="dxa" w:w="3744"/>
          </w:tcPr>
          <w:p>
            <w:pPr>
              <w:spacing w:after="0" w:line="240" w:lineRule="auto"/>
              <w:jc w:val="left"/>
            </w:pPr>
            <w:r>
              <w:rPr>
                <w:rFonts w:ascii="Times New Roman" w:hAnsi="Times New Roman"/>
                <w:sz w:val="22"/>
              </w:rPr>
              <w:t>Agree</w:t>
            </w:r>
          </w:p>
        </w:tc>
      </w:tr>
      <w:tr>
        <w:tc>
          <w:tcPr>
            <w:tcW w:type="dxa" w:w="2160"/>
          </w:tcPr>
          <w:p>
            <w:pPr>
              <w:spacing w:after="0" w:line="240" w:lineRule="auto"/>
              <w:jc w:val="left"/>
            </w:pPr>
            <w:r>
              <w:rPr>
                <w:rFonts w:ascii="Times New Roman" w:hAnsi="Times New Roman"/>
                <w:sz w:val="22"/>
              </w:rPr>
              <w:t>2.61 – 3.40</w:t>
            </w:r>
          </w:p>
        </w:tc>
        <w:tc>
          <w:tcPr>
            <w:tcW w:type="dxa" w:w="3744"/>
          </w:tcPr>
          <w:p>
            <w:pPr>
              <w:spacing w:after="0" w:line="240" w:lineRule="auto"/>
              <w:jc w:val="left"/>
            </w:pPr>
            <w:r>
              <w:rPr>
                <w:rFonts w:ascii="Times New Roman" w:hAnsi="Times New Roman"/>
                <w:sz w:val="22"/>
              </w:rPr>
              <w:t>Neither Agree nor Disagree</w:t>
            </w:r>
          </w:p>
        </w:tc>
      </w:tr>
      <w:tr>
        <w:tc>
          <w:tcPr>
            <w:tcW w:type="dxa" w:w="2160"/>
          </w:tcPr>
          <w:p>
            <w:pPr>
              <w:spacing w:after="0" w:line="240" w:lineRule="auto"/>
              <w:jc w:val="left"/>
            </w:pPr>
            <w:r>
              <w:rPr>
                <w:rFonts w:ascii="Times New Roman" w:hAnsi="Times New Roman"/>
                <w:sz w:val="22"/>
              </w:rPr>
              <w:t>1.81 – 2.60</w:t>
            </w:r>
          </w:p>
        </w:tc>
        <w:tc>
          <w:tcPr>
            <w:tcW w:type="dxa" w:w="3744"/>
          </w:tcPr>
          <w:p>
            <w:pPr>
              <w:spacing w:after="0" w:line="240" w:lineRule="auto"/>
              <w:jc w:val="left"/>
            </w:pPr>
            <w:r>
              <w:rPr>
                <w:rFonts w:ascii="Times New Roman" w:hAnsi="Times New Roman"/>
                <w:sz w:val="22"/>
              </w:rPr>
              <w:t>Disagree</w:t>
            </w:r>
          </w:p>
        </w:tc>
      </w:tr>
      <w:tr>
        <w:tc>
          <w:tcPr>
            <w:tcW w:type="dxa" w:w="2160"/>
          </w:tcPr>
          <w:p>
            <w:pPr>
              <w:spacing w:after="0" w:line="240" w:lineRule="auto"/>
              <w:jc w:val="left"/>
            </w:pPr>
            <w:r>
              <w:rPr>
                <w:rFonts w:ascii="Times New Roman" w:hAnsi="Times New Roman"/>
                <w:sz w:val="22"/>
              </w:rPr>
              <w:t>1.00 – 1.80</w:t>
            </w:r>
          </w:p>
        </w:tc>
        <w:tc>
          <w:tcPr>
            <w:tcW w:type="dxa" w:w="3744"/>
          </w:tcPr>
          <w:p>
            <w:pPr>
              <w:spacing w:after="0" w:line="240" w:lineRule="auto"/>
              <w:jc w:val="left"/>
            </w:pPr>
            <w:r>
              <w:rPr>
                <w:rFonts w:ascii="Times New Roman" w:hAnsi="Times New Roman"/>
                <w:sz w:val="22"/>
              </w:rPr>
              <w:t>Strongly Disagree</w:t>
            </w:r>
          </w:p>
        </w:tc>
      </w:tr>
    </w:tbl>
    <w:p/>
    <w:p>
      <w:r>
        <w:rPr>
          <w:b w:val="0"/>
          <w:i w:val="0"/>
        </w:rPr>
        <w:t>State that derivation in your paper when you first use the table. It is a common convention in Philippine undergraduate research and it is defensible as an equal-interval division, but it is not an authority, and presenting it as one invites a question you cannot answer.</w:t>
      </w:r>
    </w:p>
    <w:p>
      <w:pPr>
        <w:pStyle w:val="Heading2"/>
      </w:pPr>
      <w:r>
        <w:rPr>
          <w:rFonts w:ascii="Times New Roman" w:hAnsi="Times New Roman"/>
          <w:color w:val="000000"/>
          <w:sz w:val="25"/>
        </w:rPr>
        <w:t>7. Presenting results</w:t>
      </w:r>
    </w:p>
    <w:p>
      <w:r>
        <w:rPr>
          <w:b w:val="0"/>
          <w:i w:val="0"/>
        </w:rPr>
        <w:t>One table per objective, one row per item, with these columns: item number, the statement, the five frequencies, the weighted mean, the standard deviation, and the verbal interpretation. Close each table with the objective's overall mean. Discuss the highest and lowest item in each table rather than restating every number - the table carries the numbers, and the prose should carry what they mean.</w:t>
      </w:r>
    </w:p>
    <w:p>
      <w:pPr>
        <w:pStyle w:val="Heading2"/>
      </w:pPr>
      <w:r>
        <w:rPr>
          <w:rFonts w:ascii="Times New Roman" w:hAnsi="Times New Roman"/>
          <w:color w:val="000000"/>
          <w:sz w:val="25"/>
        </w:rPr>
        <w:t>8. What these results cannot say</w:t>
      </w:r>
    </w:p>
    <w:p>
      <w:r>
        <w:rPr>
          <w:b w:val="0"/>
          <w:i w:val="0"/>
        </w:rPr>
        <w:t>These are descriptive statistics from self-reported perceptions, and the wording of your findings has to respect that.</w:t>
      </w:r>
    </w:p>
    <w:p>
      <w:pPr>
        <w:pStyle w:val="ListBullet"/>
      </w:pPr>
      <w:r>
        <w:t>They describe this group of respondents. They do not generalise to all visitors unless the sample was drawn to allow it.</w:t>
      </w:r>
    </w:p>
    <w:p>
      <w:pPr>
        <w:pStyle w:val="ListBullet"/>
      </w:pPr>
      <w:r>
        <w:t>They show no causation. A high mean on item 5 means respondents report understanding more; it does not establish that SanctiWalk caused it, and it is not a measure of learning. Measuring learning would need a knowledge test before and after.</w:t>
      </w:r>
    </w:p>
    <w:p>
      <w:pPr>
        <w:pStyle w:val="ListBullet"/>
      </w:pPr>
      <w:r>
        <w:t>Nothing here is statistically significant or not significant. Significance belongs to hypothesis tests, and this design has no hypothesis to test. Do not use the word.</w:t>
      </w:r>
    </w:p>
    <w:p>
      <w:pPr>
        <w:pStyle w:val="ListBullet"/>
      </w:pPr>
      <w:r>
        <w:t>A mean is conventionally computed on Likert items in this field, but the scale is ordinal and the convention is contested. Reporting the frequencies beside every mean is what makes the finding defensible whichever view your panel takes.</w:t>
      </w:r>
    </w:p>
    <w:p>
      <w:r>
        <w:br w:type="page"/>
      </w:r>
    </w:p>
    <w:p>
      <w:pPr>
        <w:pStyle w:val="Heading1"/>
      </w:pPr>
      <w:r>
        <w:rPr>
          <w:rFonts w:ascii="Times New Roman" w:hAnsi="Times New Roman"/>
          <w:color w:val="000000"/>
          <w:sz w:val="30"/>
        </w:rPr>
        <w:t>F. Quality Review and Recommendations</w:t>
      </w:r>
    </w:p>
    <w:p>
      <w:pPr>
        <w:pStyle w:val="Heading2"/>
      </w:pPr>
      <w:r>
        <w:rPr>
          <w:rFonts w:ascii="Times New Roman" w:hAnsi="Times New Roman"/>
          <w:color w:val="000000"/>
          <w:sz w:val="25"/>
        </w:rPr>
        <w:t>What was checked</w:t>
      </w:r>
    </w:p>
    <w:p>
      <w:pPr>
        <w:pStyle w:val="ListBullet"/>
      </w:pPr>
      <w:r>
        <w:t>Every item traces to a named construct in RQ1, RQ2 or RQ3. No item introduces a variable the SOP does not name.</w:t>
      </w:r>
    </w:p>
    <w:p>
      <w:pPr>
        <w:pStyle w:val="ListBullet"/>
      </w:pPr>
      <w:r>
        <w:t>Each item asks one thing. No item joins two ideas with 'and' in a way that would make a single answer ambiguous.</w:t>
      </w:r>
    </w:p>
    <w:p>
      <w:pPr>
        <w:pStyle w:val="ListBullet"/>
      </w:pPr>
      <w:r>
        <w:t>No item is leading. None says 'improved', 'better than before', or assumes the application succeeded.</w:t>
      </w:r>
    </w:p>
    <w:p>
      <w:pPr>
        <w:pStyle w:val="ListBullet"/>
      </w:pPr>
      <w:r>
        <w:t>No two items measure the same thing. The closest pair is 14 and 15, and they are deliberately distinct: 14 asks whether status COULD be checked, 15 whether the applicant FELT informed. A system can pass the first and fail the second.</w:t>
      </w:r>
    </w:p>
    <w:p>
      <w:pPr>
        <w:pStyle w:val="ListBullet"/>
      </w:pPr>
      <w:r>
        <w:t>Every item is answerable from experience rather than opinion about the idea of the application.</w:t>
      </w:r>
    </w:p>
    <w:p>
      <w:pPr>
        <w:pStyle w:val="Heading2"/>
      </w:pPr>
      <w:r>
        <w:rPr>
          <w:rFonts w:ascii="Times New Roman" w:hAnsi="Times New Roman"/>
          <w:color w:val="000000"/>
          <w:sz w:val="25"/>
        </w:rPr>
        <w:t>Known weaknesses, and what to do about them</w:t>
      </w:r>
    </w:p>
    <w:p>
      <w:r>
        <w:rPr>
          <w:b w:val="0"/>
          <w:i w:val="0"/>
        </w:rPr>
        <w:t>Three. Deal with each before administering the form.</w:t>
      </w:r>
    </w:p>
    <w:p>
      <w:r>
        <w:rPr>
          <w:b/>
          <w:i w:val="0"/>
        </w:rPr>
        <w:t>1. Items that not everyone can answer.</w:t>
      </w:r>
    </w:p>
    <w:p>
      <w:r>
        <w:rPr>
          <w:b w:val="0"/>
          <w:i w:val="0"/>
        </w:rPr>
        <w:t>Items 3 and 4 need someone who used the AR tour or the scanner; items 12 to 15 need someone who actually applied for something. Either add a filter question before each block ("Did you use the camera scanner? If No, skip to item 5") and report those items with their own smaller n, or recruit respondents who have done these things. The first is easier and more honest. What you must not do is let non-users answer 3, because that pulls every mean towards the middle and makes a feature look mediocre when it was simply not used.</w:t>
      </w:r>
    </w:p>
    <w:p>
      <w:r>
        <w:rPr>
          <w:b/>
          <w:i w:val="0"/>
        </w:rPr>
        <w:t>2. The image scanner needs its backend deployed.</w:t>
      </w:r>
    </w:p>
    <w:p>
      <w:r>
        <w:rPr>
          <w:b w:val="0"/>
          <w:i w:val="0"/>
        </w:rPr>
        <w:t>Item 4 cannot be answered honestly if the recognition service is not running on the day. Confirm it is live before you administer the survey, or drop item 4 and state why - a fourteen-item instrument honestly administered is worth more than fifteen with one that nobody could use.</w:t>
      </w:r>
    </w:p>
    <w:p>
      <w:r>
        <w:rPr>
          <w:b/>
          <w:i w:val="0"/>
        </w:rPr>
        <w:t>3. Item 5 measures perception, not learning.</w:t>
      </w:r>
    </w:p>
    <w:p>
      <w:r>
        <w:rPr>
          <w:b w:val="0"/>
          <w:i w:val="0"/>
        </w:rPr>
        <w:t>"I felt I understood more" is a self-report. Word your finding as perceived understanding throughout, and do not let it become "SanctiWalk improved understanding" in the discussion.</w:t>
      </w:r>
    </w:p>
    <w:p>
      <w:pPr>
        <w:pStyle w:val="Heading2"/>
      </w:pPr>
      <w:r>
        <w:rPr>
          <w:rFonts w:ascii="Times New Roman" w:hAnsi="Times New Roman"/>
          <w:color w:val="000000"/>
          <w:sz w:val="25"/>
        </w:rPr>
        <w:t>Before this is administered</w:t>
      </w:r>
    </w:p>
    <w:p>
      <w:pPr>
        <w:pStyle w:val="ListBullet"/>
      </w:pPr>
      <w:r>
        <w:t>Have your adviser and at least two content experts review the items for relevance and clarity - for a parish heritage instrument, one should be from the Office of Cultural Heritage. Record their comments; that record is your evidence of content validity.</w:t>
      </w:r>
    </w:p>
    <w:p>
      <w:pPr>
        <w:pStyle w:val="ListBullet"/>
      </w:pPr>
      <w:r>
        <w:t>Pilot it with five to ten people who are not in your final sample. Watch where they hesitate or ask what an item means; those are the items to rewrite.</w:t>
      </w:r>
    </w:p>
    <w:p>
      <w:pPr>
        <w:pStyle w:val="ListBullet"/>
      </w:pPr>
      <w:r>
        <w:t>If your programme requires a reliability figure, compute Cronbach's alpha per objective rather than across all fifteen items, since the three objectives measure different things. Report it with the sample size.</w:t>
      </w:r>
    </w:p>
    <w:p>
      <w:pPr>
        <w:pStyle w:val="ListBullet"/>
      </w:pPr>
      <w:r>
        <w:t>Prepare the ethics paperwork your programme requires: informed consent, the right to withdraw, and a statement that responses are anonymous. Add an optional free-text comment box at the end - it costs nothing and it is usually where you learn why a mean was low.</w:t>
      </w:r>
    </w:p>
    <w:p>
      <w:pPr>
        <w:ind w:left="432"/>
      </w:pPr>
      <w:r>
        <w:rPr>
          <w:i/>
          <w:color w:val="C00000"/>
        </w:rPr>
        <w:t>[NOTE] Until the review and pilot above are done, describe this in your paper as a researcher-made instrument submitted for expert review - not as a validated or reliable one. Those words require evidence, and a panel may ask for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