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b w:val="1"/>
          <w:bCs w:val="1"/>
          <w:color w:val="1f4e78"/>
          <w:sz w:val="44"/>
          <w:szCs w:val="44"/>
          <w:rtl w:val="0"/>
        </w:rPr>
        <w:t xml:space="preserve">GLOBAL TRADE INSIGHT:</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b w:val="1"/>
          <w:bCs w:val="1"/>
          <w:color w:val="1f4e78"/>
          <w:sz w:val="44"/>
          <w:szCs w:val="44"/>
          <w:rtl w:val="0"/>
        </w:rPr>
        <w:t xml:space="preserve">Impact on GDP</w:t>
      </w:r>
      <w:r w:rsidDel="00000000" w:rsidR="00000000" w:rsidRPr="00000000">
        <w:rPr>
          <w:rtl w:val="0"/>
        </w:rPr>
      </w:r>
    </w:p>
    <w:p w:rsidR="00000000" w:rsidDel="00000000" w:rsidP="00000000" w:rsidRDefault="00000000" w:rsidRPr="00000000" w14:paraId="00000003">
      <w:pPr>
        <w:spacing w:after="1800" w:lineRule="auto"/>
        <w:jc w:val="center"/>
        <w:rPr/>
      </w:pPr>
      <w:r w:rsidDel="00000000" w:rsidR="00000000" w:rsidRPr="00000000">
        <w:rPr>
          <w:sz w:val="24"/>
          <w:szCs w:val="24"/>
          <w:rtl w:val="0"/>
        </w:rPr>
        <w:t xml:space="preserve">AnalystLab Africa Capstone Project</w:t>
      </w:r>
      <w:r w:rsidDel="00000000" w:rsidR="00000000" w:rsidRPr="00000000">
        <w:rPr>
          <w:rtl w:val="0"/>
        </w:rPr>
      </w:r>
    </w:p>
    <w:p w:rsidR="00000000" w:rsidDel="00000000" w:rsidP="00000000" w:rsidRDefault="00000000" w:rsidRPr="00000000" w14:paraId="00000004">
      <w:pPr>
        <w:spacing w:after="120" w:before="600" w:lineRule="auto"/>
        <w:jc w:val="center"/>
        <w:rPr/>
      </w:pPr>
      <w:r w:rsidDel="00000000" w:rsidR="00000000" w:rsidRPr="00000000">
        <w:rPr>
          <w:sz w:val="22"/>
          <w:szCs w:val="22"/>
          <w:rtl w:val="0"/>
        </w:rPr>
        <w:t xml:space="preserve">Week 8: Data Analytics Capstone Project</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sz w:val="22"/>
          <w:szCs w:val="22"/>
          <w:rtl w:val="0"/>
        </w:rPr>
        <w:t xml:space="preserve">June 2026</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Executive Summary</w:t>
      </w:r>
    </w:p>
    <w:p w:rsidR="00000000" w:rsidDel="00000000" w:rsidP="00000000" w:rsidRDefault="00000000" w:rsidRPr="00000000" w14:paraId="00000007">
      <w:pPr>
        <w:spacing w:after="200" w:lineRule="auto"/>
        <w:rPr/>
      </w:pPr>
      <w:r w:rsidDel="00000000" w:rsidR="00000000" w:rsidRPr="00000000">
        <w:rPr>
          <w:rtl w:val="0"/>
        </w:rPr>
        <w:t xml:space="preserve">This comprehensive analysis evaluates global trade performance and its direct impact on macroeconomic velocity (GDP growth). Using World Bank World Development Indicators data spanning multiple decades across 200+ countries, this project investigates the relationship between trade openness and national economic growth.</w:t>
      </w:r>
    </w:p>
    <w:p w:rsidR="00000000" w:rsidDel="00000000" w:rsidP="00000000" w:rsidRDefault="00000000" w:rsidRPr="00000000" w14:paraId="00000008">
      <w:pPr>
        <w:spacing w:after="200" w:lineRule="auto"/>
        <w:rPr/>
      </w:pPr>
      <w:r w:rsidDel="00000000" w:rsidR="00000000" w:rsidRPr="00000000">
        <w:rPr>
          <w:rtl w:val="0"/>
        </w:rPr>
        <w:t xml:space="preserve">Key Finding: Global average GDP growth stands at 3.67%, with global trade openness measured at 801.27K (combined exports and imports as % of GDP). The analysis reveals a weak positive correlation (0.08) between trade openness and GDP growth, suggesting that while international market integration is a factor in economic expansion, it is not the sole driver of growth.</w:t>
      </w:r>
    </w:p>
    <w:p w:rsidR="00000000" w:rsidDel="00000000" w:rsidP="00000000" w:rsidRDefault="00000000" w:rsidRPr="00000000" w14:paraId="00000009">
      <w:pPr>
        <w:spacing w:after="400" w:lineRule="auto"/>
        <w:rPr/>
      </w:pPr>
      <w:r w:rsidDel="00000000" w:rsidR="00000000" w:rsidRPr="00000000">
        <w:rPr>
          <w:rtl w:val="0"/>
        </w:rPr>
        <w:t xml:space="preserve">The dashboard visualization demonstrates that countries with higher trade openness do not automatically experience accelerated GDP growth, indicating that institutional quality, infrastructure, human capital, and domestic policy frameworks are equally critical determinants of economic performance.</w:t>
      </w:r>
    </w:p>
    <w:p w:rsidR="00000000" w:rsidDel="00000000" w:rsidP="00000000" w:rsidRDefault="00000000" w:rsidRPr="00000000" w14:paraId="0000000A">
      <w:pPr>
        <w:pStyle w:val="Heading1"/>
        <w:rPr/>
      </w:pPr>
      <w:r w:rsidDel="00000000" w:rsidR="00000000" w:rsidRPr="00000000">
        <w:rPr>
          <w:rtl w:val="0"/>
        </w:rPr>
        <w:t xml:space="preserve">Objective &amp; Problem Statement</w:t>
      </w:r>
    </w:p>
    <w:p w:rsidR="00000000" w:rsidDel="00000000" w:rsidP="00000000" w:rsidRDefault="00000000" w:rsidRPr="00000000" w14:paraId="0000000B">
      <w:pPr>
        <w:spacing w:after="200" w:lineRule="auto"/>
        <w:rPr/>
      </w:pPr>
      <w:r w:rsidDel="00000000" w:rsidR="00000000" w:rsidRPr="00000000">
        <w:rPr>
          <w:b w:val="1"/>
          <w:bCs w:val="1"/>
          <w:rtl w:val="0"/>
        </w:rPr>
        <w:t xml:space="preserve">Primary Research Question: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quantifiable relationship between international trade openness (exports + imports as % of GDP) and national economic growth (annual GDP growth %) across different countries and time periods?</w:t>
      </w:r>
    </w:p>
    <w:p w:rsidR="00000000" w:rsidDel="00000000" w:rsidP="00000000" w:rsidRDefault="00000000" w:rsidRPr="00000000" w14:paraId="0000000D">
      <w:pPr>
        <w:spacing w:after="200" w:before="200" w:lineRule="auto"/>
        <w:rPr/>
      </w:pPr>
      <w:r w:rsidDel="00000000" w:rsidR="00000000" w:rsidRPr="00000000">
        <w:rPr>
          <w:b w:val="1"/>
          <w:bCs w:val="1"/>
          <w:rtl w:val="0"/>
        </w:rPr>
        <w:t xml:space="preserve">Secondary Questions: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developed economies exhibit different trade-growth relationships compared to developing economies?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has the trade-growth nexus evolved over time, particularly post-2008 financial crisis?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countries demonstrate optimal trade-growth outcomes and why?</w:t>
      </w:r>
    </w:p>
    <w:p w:rsidR="00000000" w:rsidDel="00000000" w:rsidP="00000000" w:rsidRDefault="00000000" w:rsidRPr="00000000" w14:paraId="00000011">
      <w:pPr>
        <w:pStyle w:val="Heading1"/>
        <w:rPr/>
      </w:pPr>
      <w:r w:rsidDel="00000000" w:rsidR="00000000" w:rsidRPr="00000000">
        <w:rPr>
          <w:rtl w:val="0"/>
        </w:rPr>
        <w:t xml:space="preserve">Dataset Description</w:t>
      </w:r>
    </w:p>
    <w:p w:rsidR="00000000" w:rsidDel="00000000" w:rsidP="00000000" w:rsidRDefault="00000000" w:rsidRPr="00000000" w14:paraId="00000012">
      <w:pPr>
        <w:spacing w:after="200" w:lineRule="auto"/>
        <w:rPr/>
      </w:pPr>
      <w:r w:rsidDel="00000000" w:rsidR="00000000" w:rsidRPr="00000000">
        <w:rPr>
          <w:b w:val="1"/>
          <w:bCs w:val="1"/>
          <w:rtl w:val="0"/>
        </w:rPr>
        <w:t xml:space="preserve">Data Source: World Bank World Development Indicators (WDI)</w:t>
      </w:r>
      <w:r w:rsidDel="00000000" w:rsidR="00000000" w:rsidRPr="00000000">
        <w:rPr>
          <w:rtl w:val="0"/>
        </w:rPr>
      </w:r>
    </w:p>
    <w:p w:rsidR="00000000" w:rsidDel="00000000" w:rsidP="00000000" w:rsidRDefault="00000000" w:rsidRPr="00000000" w14:paraId="00000013">
      <w:pPr>
        <w:spacing w:after="300" w:lineRule="auto"/>
        <w:rPr/>
      </w:pPr>
      <w:r w:rsidDel="00000000" w:rsidR="00000000" w:rsidRPr="00000000">
        <w:rPr>
          <w:rtl w:val="0"/>
        </w:rPr>
        <w:t xml:space="preserve">The World Development Indicators dataset is the World Bank's flagship collection of development statistics, containing 395,277 total records across 200+ countries and territories. The dataset covers themes including economy, poverty, education, health, environment, infrastructure, trade, technology, and governance.</w:t>
      </w:r>
    </w:p>
    <w:p w:rsidR="00000000" w:rsidDel="00000000" w:rsidP="00000000" w:rsidRDefault="00000000" w:rsidRPr="00000000" w14:paraId="00000014">
      <w:pPr>
        <w:spacing w:after="200" w:lineRule="auto"/>
        <w:rPr/>
      </w:pPr>
      <w:r w:rsidDel="00000000" w:rsidR="00000000" w:rsidRPr="00000000">
        <w:rPr>
          <w:b w:val="1"/>
          <w:bCs w:val="1"/>
          <w:rtl w:val="0"/>
        </w:rPr>
        <w:t xml:space="preserve">Indicators Selected for Analysis: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ffffff"/>
                <w:rtl w:val="0"/>
              </w:rPr>
              <w:t xml:space="preserve">Indicator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b w:val="1"/>
                <w:bCs w:val="1"/>
                <w:color w:val="ffffff"/>
                <w:rtl w:val="0"/>
              </w:rPr>
              <w:t xml:space="preserve">Indicator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tl w:val="0"/>
              </w:rPr>
              <w:t xml:space="preserve">NY.GDP.MKTP.CD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tl w:val="0"/>
              </w:rPr>
              <w:t xml:space="preserve">GDP (current USD)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tl w:val="0"/>
              </w:rPr>
              <w:t xml:space="preserve">Gross Domestic Product in current US dollars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tl w:val="0"/>
              </w:rPr>
              <w:t xml:space="preserve">NY.GDP.MKTP.KD.ZG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tl w:val="0"/>
              </w:rPr>
              <w:t xml:space="preserve">GDP growth (annual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tl w:val="0"/>
              </w:rPr>
              <w:t xml:space="preserve">Annual percentage change in real GDP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NE.EXP.GNFS.ZS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tl w:val="0"/>
              </w:rPr>
              <w:t xml:space="preserve">Exports (% of GDP)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tl w:val="0"/>
              </w:rPr>
              <w:t xml:space="preserve">Total exports of goods and services as % of GDP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tl w:val="0"/>
              </w:rPr>
              <w:t xml:space="preserve">NE.IMP.GNFS.ZS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t xml:space="preserve">Imports (% of GDP)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tl w:val="0"/>
              </w:rPr>
              <w:t xml:space="preserve">Total imports of goods and services as % of GDP</w:t>
            </w:r>
          </w:p>
        </w:tc>
      </w:tr>
    </w:tbl>
    <w:p w:rsidR="00000000" w:rsidDel="00000000" w:rsidP="00000000" w:rsidRDefault="00000000" w:rsidRPr="00000000" w14:paraId="00000024">
      <w:pPr>
        <w:spacing w:after="300" w:lineRule="auto"/>
        <w:rPr/>
      </w:pPr>
      <w:r w:rsidDel="00000000" w:rsidR="00000000" w:rsidRPr="00000000">
        <w:rPr>
          <w:rtl w:val="0"/>
        </w:rPr>
      </w:r>
    </w:p>
    <w:p w:rsidR="00000000" w:rsidDel="00000000" w:rsidP="00000000" w:rsidRDefault="00000000" w:rsidRPr="00000000" w14:paraId="00000025">
      <w:pPr>
        <w:spacing w:after="200" w:lineRule="auto"/>
        <w:rPr/>
      </w:pPr>
      <w:r w:rsidDel="00000000" w:rsidR="00000000" w:rsidRPr="00000000">
        <w:rPr>
          <w:b w:val="1"/>
          <w:bCs w:val="1"/>
          <w:rtl w:val="0"/>
        </w:rPr>
        <w:t xml:space="preserve">Data Characteristics: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Records: 395,277</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Countries/Territories: 200+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Temporal Coverage: 1960-Present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Update Frequency: Annual</w:t>
      </w:r>
    </w:p>
    <w:p w:rsidR="00000000" w:rsidDel="00000000" w:rsidP="00000000" w:rsidRDefault="00000000" w:rsidRPr="00000000" w14:paraId="0000002A">
      <w:pPr>
        <w:pStyle w:val="Heading1"/>
        <w:rPr/>
      </w:pPr>
      <w:r w:rsidDel="00000000" w:rsidR="00000000" w:rsidRPr="00000000">
        <w:rPr>
          <w:rtl w:val="0"/>
        </w:rPr>
        <w:t xml:space="preserve">Data Cleaning &amp; Transformation Process</w:t>
      </w:r>
    </w:p>
    <w:p w:rsidR="00000000" w:rsidDel="00000000" w:rsidP="00000000" w:rsidRDefault="00000000" w:rsidRPr="00000000" w14:paraId="0000002B">
      <w:pPr>
        <w:spacing w:after="200" w:lineRule="auto"/>
        <w:rPr/>
      </w:pPr>
      <w:r w:rsidDel="00000000" w:rsidR="00000000" w:rsidRPr="00000000">
        <w:rPr>
          <w:rtl w:val="0"/>
        </w:rPr>
        <w:t xml:space="preserve">The raw WDI dataset required substantial preprocessing before analysis. All transformations were performed in Power BI using Power Query (M language).</w:t>
      </w:r>
    </w:p>
    <w:p w:rsidR="00000000" w:rsidDel="00000000" w:rsidP="00000000" w:rsidRDefault="00000000" w:rsidRPr="00000000" w14:paraId="0000002C">
      <w:pPr>
        <w:pStyle w:val="Heading2"/>
        <w:spacing w:before="200" w:lineRule="auto"/>
        <w:rPr/>
      </w:pPr>
      <w:r w:rsidDel="00000000" w:rsidR="00000000" w:rsidRPr="00000000">
        <w:rPr>
          <w:rtl w:val="0"/>
        </w:rPr>
        <w:t xml:space="preserve">Step 1: Header Identification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original CSV did not recognize the first row as headers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Promoted first row to header using Power Query transformation</w:t>
      </w:r>
    </w:p>
    <w:p w:rsidR="00000000" w:rsidDel="00000000" w:rsidP="00000000" w:rsidRDefault="00000000" w:rsidRPr="00000000" w14:paraId="0000002F">
      <w:pPr>
        <w:pStyle w:val="Heading2"/>
        <w:spacing w:before="200" w:lineRule="auto"/>
        <w:rPr/>
      </w:pPr>
      <w:r w:rsidDel="00000000" w:rsidR="00000000" w:rsidRPr="00000000">
        <w:rPr>
          <w:rtl w:val="0"/>
        </w:rPr>
        <w:t xml:space="preserve">Step 2: Indicator Filtering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Isolated four key trade and GDP indicators from 395,277 total indicator codes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non-essential indicators to reduce dataset complexity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Focused on economically comparable metrics</w:t>
      </w:r>
    </w:p>
    <w:p w:rsidR="00000000" w:rsidDel="00000000" w:rsidP="00000000" w:rsidRDefault="00000000" w:rsidRPr="00000000" w14:paraId="00000033">
      <w:pPr>
        <w:pStyle w:val="Heading2"/>
        <w:spacing w:before="200" w:lineRule="auto"/>
        <w:rPr/>
      </w:pPr>
      <w:r w:rsidDel="00000000" w:rsidR="00000000" w:rsidRPr="00000000">
        <w:rPr>
          <w:rtl w:val="0"/>
        </w:rPr>
        <w:t xml:space="preserve">Step 3: Data Structure Optimization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Unpivoted years from column headers to a single Year column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Year data type from text to Date (using Jan 1 of each year)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Converted Value column from text to Decimal Number to enable calculations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Pivoted indicators back as columns for analysis</w:t>
      </w:r>
    </w:p>
    <w:p w:rsidR="00000000" w:rsidDel="00000000" w:rsidP="00000000" w:rsidRDefault="00000000" w:rsidRPr="00000000" w14:paraId="00000038">
      <w:pPr>
        <w:pStyle w:val="Heading2"/>
        <w:spacing w:before="200" w:lineRule="auto"/>
        <w:rPr/>
      </w:pPr>
      <w:r w:rsidDel="00000000" w:rsidR="00000000" w:rsidRPr="00000000">
        <w:rPr>
          <w:rtl w:val="0"/>
        </w:rPr>
        <w:t xml:space="preserve">Step 4: Quality Assurance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blank rows created during transformation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Validated data consistency across all country-year combinations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Confirmed no loss of critical data through the transformation pipeline</w:t>
      </w:r>
    </w:p>
    <w:p w:rsidR="00000000" w:rsidDel="00000000" w:rsidP="00000000" w:rsidRDefault="00000000" w:rsidRPr="00000000" w14:paraId="0000003C">
      <w:pPr>
        <w:pStyle w:val="Heading1"/>
        <w:rPr/>
      </w:pPr>
      <w:r w:rsidDel="00000000" w:rsidR="00000000" w:rsidRPr="00000000">
        <w:rPr>
          <w:rtl w:val="0"/>
        </w:rPr>
        <w:t xml:space="preserve">Analysis Methodology</w:t>
      </w:r>
    </w:p>
    <w:p w:rsidR="00000000" w:rsidDel="00000000" w:rsidP="00000000" w:rsidRDefault="00000000" w:rsidRPr="00000000" w14:paraId="0000003D">
      <w:pPr>
        <w:pStyle w:val="Heading2"/>
        <w:spacing w:before="200" w:lineRule="auto"/>
        <w:rPr/>
      </w:pPr>
      <w:r w:rsidDel="00000000" w:rsidR="00000000" w:rsidRPr="00000000">
        <w:rPr>
          <w:rtl w:val="0"/>
        </w:rPr>
        <w:t xml:space="preserve">Derived Metrics</w:t>
      </w:r>
    </w:p>
    <w:p w:rsidR="00000000" w:rsidDel="00000000" w:rsidP="00000000" w:rsidRDefault="00000000" w:rsidRPr="00000000" w14:paraId="0000003E">
      <w:pPr>
        <w:spacing w:after="200" w:lineRule="auto"/>
        <w:rPr/>
      </w:pPr>
      <w:r w:rsidDel="00000000" w:rsidR="00000000" w:rsidRPr="00000000">
        <w:rPr>
          <w:b w:val="1"/>
          <w:bCs w:val="1"/>
          <w:rtl w:val="0"/>
        </w:rPr>
        <w:t xml:space="preserve">Trade Openness Index (% of GDP):</w:t>
      </w:r>
      <w:r w:rsidDel="00000000" w:rsidR="00000000" w:rsidRPr="00000000">
        <w:rPr>
          <w:rtl w:val="0"/>
        </w:rPr>
      </w:r>
    </w:p>
    <w:p w:rsidR="00000000" w:rsidDel="00000000" w:rsidP="00000000" w:rsidRDefault="00000000" w:rsidRPr="00000000" w14:paraId="0000003F">
      <w:pPr>
        <w:spacing w:after="300" w:lineRule="auto"/>
        <w:ind w:left="720" w:firstLine="0"/>
        <w:rPr/>
      </w:pPr>
      <w:r w:rsidDel="00000000" w:rsidR="00000000" w:rsidRPr="00000000">
        <w:rPr>
          <w:rtl w:val="0"/>
        </w:rPr>
        <w:t xml:space="preserve">Trade Openness = Exports (% of GDP) + Imports (% of GDP)</w:t>
      </w:r>
    </w:p>
    <w:p w:rsidR="00000000" w:rsidDel="00000000" w:rsidP="00000000" w:rsidRDefault="00000000" w:rsidRPr="00000000" w14:paraId="00000040">
      <w:pPr>
        <w:spacing w:after="200" w:lineRule="auto"/>
        <w:rPr/>
      </w:pPr>
      <w:r w:rsidDel="00000000" w:rsidR="00000000" w:rsidRPr="00000000">
        <w:rPr>
          <w:rtl w:val="0"/>
        </w:rPr>
        <w:t xml:space="preserve">This metric quantifies the degree to which a country participates in international trade relative to its domestic economic output. Higher values indicate greater integration into global markets.</w:t>
      </w:r>
    </w:p>
    <w:p w:rsidR="00000000" w:rsidDel="00000000" w:rsidP="00000000" w:rsidRDefault="00000000" w:rsidRPr="00000000" w14:paraId="00000041">
      <w:pPr>
        <w:pStyle w:val="Heading2"/>
        <w:spacing w:before="200" w:lineRule="auto"/>
        <w:rPr/>
      </w:pPr>
      <w:r w:rsidDel="00000000" w:rsidR="00000000" w:rsidRPr="00000000">
        <w:rPr>
          <w:rtl w:val="0"/>
        </w:rPr>
        <w:t xml:space="preserve">Statistical Analysis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Calculated Pearson correlation coefficient between Trade Openness and GDP Growth</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Performed time-series trend analysis using rolling averages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Segmented analysis by country development status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Identified outlier countries with exceptional trade-growth dynamics</w:t>
      </w:r>
    </w:p>
    <w:p w:rsidR="00000000" w:rsidDel="00000000" w:rsidP="00000000" w:rsidRDefault="00000000" w:rsidRPr="00000000" w14:paraId="00000046">
      <w:pPr>
        <w:pStyle w:val="Heading2"/>
        <w:spacing w:before="200" w:lineRule="auto"/>
        <w:rPr/>
      </w:pPr>
      <w:r w:rsidDel="00000000" w:rsidR="00000000" w:rsidRPr="00000000">
        <w:rPr>
          <w:rtl w:val="0"/>
        </w:rPr>
        <w:t xml:space="preserve">Visualization Approach</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 chart: Global GDP vs. Trade Openness trends (1960-2024)</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Scatter plot: Trade Openness vs. Annual GDP Growth correlation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Dual-axis chart: Import/Export performance comparison over time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Horizontal bar chart: Total GDP ranking by country</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Tabular display: Historical trade metrics for top trading nations</w:t>
      </w:r>
    </w:p>
    <w:p w:rsidR="00000000" w:rsidDel="00000000" w:rsidP="00000000" w:rsidRDefault="00000000" w:rsidRPr="00000000" w14:paraId="0000004C">
      <w:pPr>
        <w:pStyle w:val="Heading1"/>
        <w:rPr/>
      </w:pPr>
      <w:r w:rsidDel="00000000" w:rsidR="00000000" w:rsidRPr="00000000">
        <w:rPr>
          <w:rtl w:val="0"/>
        </w:rPr>
        <w:t xml:space="preserve">Key Insights &amp; Findings</w:t>
      </w:r>
    </w:p>
    <w:p w:rsidR="00000000" w:rsidDel="00000000" w:rsidP="00000000" w:rsidRDefault="00000000" w:rsidRPr="00000000" w14:paraId="0000004D">
      <w:pPr>
        <w:pStyle w:val="Heading2"/>
        <w:spacing w:before="200" w:lineRule="auto"/>
        <w:rPr/>
      </w:pPr>
      <w:r w:rsidDel="00000000" w:rsidR="00000000" w:rsidRPr="00000000">
        <w:rPr>
          <w:rtl w:val="0"/>
        </w:rPr>
        <w:t xml:space="preserve">Finding 1: Weak Trade-Growth Correlation</w:t>
      </w:r>
    </w:p>
    <w:p w:rsidR="00000000" w:rsidDel="00000000" w:rsidP="00000000" w:rsidRDefault="00000000" w:rsidRPr="00000000" w14:paraId="0000004E">
      <w:pPr>
        <w:spacing w:after="300" w:lineRule="auto"/>
        <w:rPr/>
      </w:pPr>
      <w:r w:rsidDel="00000000" w:rsidR="00000000" w:rsidRPr="00000000">
        <w:rPr>
          <w:rtl w:val="0"/>
        </w:rPr>
        <w:t xml:space="preserve">The global correlation coefficient between Trade Openness and GDP Growth is 0.08, indicating a statistically weak relationship. This suggests that while trade integration is a contributing factor to economic growth, it is neither necessary nor sufficient for sustained GDP expansion. Other determinants—institutional quality, education, infrastructure, and macroeconomic stability—play equally significant roles.</w:t>
      </w:r>
    </w:p>
    <w:p w:rsidR="00000000" w:rsidDel="00000000" w:rsidP="00000000" w:rsidRDefault="00000000" w:rsidRPr="00000000" w14:paraId="0000004F">
      <w:pPr>
        <w:pStyle w:val="Heading2"/>
        <w:spacing w:before="200" w:lineRule="auto"/>
        <w:rPr/>
      </w:pPr>
      <w:r w:rsidDel="00000000" w:rsidR="00000000" w:rsidRPr="00000000">
        <w:rPr>
          <w:rtl w:val="0"/>
        </w:rPr>
        <w:t xml:space="preserve">Finding 2: Divergent Country Trajectories</w:t>
      </w:r>
    </w:p>
    <w:p w:rsidR="00000000" w:rsidDel="00000000" w:rsidP="00000000" w:rsidRDefault="00000000" w:rsidRPr="00000000" w14:paraId="00000050">
      <w:pPr>
        <w:spacing w:after="300" w:lineRule="auto"/>
        <w:rPr/>
      </w:pPr>
      <w:r w:rsidDel="00000000" w:rsidR="00000000" w:rsidRPr="00000000">
        <w:rPr>
          <w:rtl w:val="0"/>
        </w:rPr>
        <w:t xml:space="preserve">Countries with similar trade openness levels exhibit vastly different GDP growth rates. For example, Singapore (Trade Openness: 377.22%) achieved GDP growth of 4.55% in 2003, while Luxembourg (Trade Openness: 381.87%) recorded 3.61% in 2018. This variance highlights the importance of complementary structural factors beyond trade exposure.</w:t>
      </w:r>
    </w:p>
    <w:p w:rsidR="00000000" w:rsidDel="00000000" w:rsidP="00000000" w:rsidRDefault="00000000" w:rsidRPr="00000000" w14:paraId="00000051">
      <w:pPr>
        <w:pStyle w:val="Heading2"/>
        <w:spacing w:before="200" w:lineRule="auto"/>
        <w:rPr/>
      </w:pPr>
      <w:r w:rsidDel="00000000" w:rsidR="00000000" w:rsidRPr="00000000">
        <w:rPr>
          <w:rtl w:val="0"/>
        </w:rPr>
        <w:t xml:space="preserve">Finding 3: Developed Nations Lead in Trade Volume</w:t>
      </w:r>
    </w:p>
    <w:p w:rsidR="00000000" w:rsidDel="00000000" w:rsidP="00000000" w:rsidRDefault="00000000" w:rsidRPr="00000000" w14:paraId="00000052">
      <w:pPr>
        <w:spacing w:after="300" w:lineRule="auto"/>
        <w:rPr/>
      </w:pPr>
      <w:r w:rsidDel="00000000" w:rsidR="00000000" w:rsidRPr="00000000">
        <w:rPr>
          <w:rtl w:val="0"/>
        </w:rPr>
        <w:t xml:space="preserve">The United States, China, Japan, Germany, and United Kingdom dominate global GDP rankings. However, their combined 30%+ share of global trade does not translate proportionally into growth acceleration, suggesting market saturation and competitive pressures in developed economies.</w:t>
      </w:r>
    </w:p>
    <w:p w:rsidR="00000000" w:rsidDel="00000000" w:rsidP="00000000" w:rsidRDefault="00000000" w:rsidRPr="00000000" w14:paraId="00000053">
      <w:pPr>
        <w:pStyle w:val="Heading2"/>
        <w:spacing w:before="200" w:lineRule="auto"/>
        <w:rPr/>
      </w:pPr>
      <w:r w:rsidDel="00000000" w:rsidR="00000000" w:rsidRPr="00000000">
        <w:rPr>
          <w:rtl w:val="0"/>
        </w:rPr>
        <w:t xml:space="preserve">Finding 4: Structural Break Post-2008</w:t>
      </w:r>
    </w:p>
    <w:p w:rsidR="00000000" w:rsidDel="00000000" w:rsidP="00000000" w:rsidRDefault="00000000" w:rsidRPr="00000000" w14:paraId="00000054">
      <w:pPr>
        <w:spacing w:after="300" w:lineRule="auto"/>
        <w:rPr/>
      </w:pPr>
      <w:r w:rsidDel="00000000" w:rsidR="00000000" w:rsidRPr="00000000">
        <w:rPr>
          <w:rtl w:val="0"/>
        </w:rPr>
        <w:t xml:space="preserve">The global financial crisis of 2008 created a structural break in trade-growth dynamics. Pre-2008 periods showed moderate trade growth correlating with GDP expansion; post-2008 recovery was protracted despite sustained trade volume, reflecting sluggish aggregate demand and secular stagnation in developed economies.</w:t>
      </w:r>
    </w:p>
    <w:p w:rsidR="00000000" w:rsidDel="00000000" w:rsidP="00000000" w:rsidRDefault="00000000" w:rsidRPr="00000000" w14:paraId="00000055">
      <w:pPr>
        <w:pStyle w:val="Heading2"/>
        <w:spacing w:before="200" w:lineRule="auto"/>
        <w:rPr/>
      </w:pPr>
      <w:r w:rsidDel="00000000" w:rsidR="00000000" w:rsidRPr="00000000">
        <w:rPr>
          <w:rtl w:val="0"/>
        </w:rPr>
        <w:t xml:space="preserve">Finding 5: Emerging Markets' Mixed Performance</w:t>
      </w:r>
    </w:p>
    <w:p w:rsidR="00000000" w:rsidDel="00000000" w:rsidP="00000000" w:rsidRDefault="00000000" w:rsidRPr="00000000" w14:paraId="00000056">
      <w:pPr>
        <w:spacing w:after="300" w:lineRule="auto"/>
        <w:rPr/>
      </w:pPr>
      <w:r w:rsidDel="00000000" w:rsidR="00000000" w:rsidRPr="00000000">
        <w:rPr>
          <w:rtl w:val="0"/>
        </w:rPr>
        <w:t xml:space="preserve">Singapore consistently demonstrates high trade openness (&gt;300%) paired with strong GDP growth, serving as an exemplar of trade-led development. Conversely, several trade-intensive nations in sub-Saharan Africa show modest growth, indicating that trade channel effectiveness is mediated by institutional capacity and human capital absorption.</w:t>
      </w:r>
    </w:p>
    <w:p w:rsidR="00000000" w:rsidDel="00000000" w:rsidP="00000000" w:rsidRDefault="00000000" w:rsidRPr="00000000" w14:paraId="00000057">
      <w:pPr>
        <w:pStyle w:val="Heading1"/>
        <w:rPr/>
      </w:pPr>
      <w:r w:rsidDel="00000000" w:rsidR="00000000" w:rsidRPr="00000000">
        <w:rPr>
          <w:rtl w:val="0"/>
        </w:rPr>
        <w:t xml:space="preserve">Recommendations &amp; Strategic Implications</w:t>
      </w:r>
    </w:p>
    <w:p w:rsidR="00000000" w:rsidDel="00000000" w:rsidP="00000000" w:rsidRDefault="00000000" w:rsidRPr="00000000" w14:paraId="00000058">
      <w:pPr>
        <w:pStyle w:val="Heading2"/>
        <w:spacing w:before="200" w:lineRule="auto"/>
        <w:rPr/>
      </w:pPr>
      <w:r w:rsidDel="00000000" w:rsidR="00000000" w:rsidRPr="00000000">
        <w:rPr>
          <w:rtl w:val="0"/>
        </w:rPr>
        <w:t xml:space="preserve">For Policymakers in Developing Nations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Trade liberalization should be pursued as part of a comprehensive development strategy, not as an isolated policy. Concurrent investments in education, infrastructure, and governance are essential to unlock trade's growth potential.</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Study peer countries with similar trade profiles but superior growth outcomes (e.g., Vietnam's rapid growth despite moderate trade openness in early 2000s) to identify complementary policy bundles.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Prioritize value-added exports and industrial diversification over commodity-dependence to enhance the growth impact of trade integration.</w:t>
      </w:r>
    </w:p>
    <w:p w:rsidR="00000000" w:rsidDel="00000000" w:rsidP="00000000" w:rsidRDefault="00000000" w:rsidRPr="00000000" w14:paraId="0000005C">
      <w:pPr>
        <w:pStyle w:val="Heading2"/>
        <w:spacing w:before="200" w:lineRule="auto"/>
        <w:rPr/>
      </w:pPr>
      <w:r w:rsidDel="00000000" w:rsidR="00000000" w:rsidRPr="00000000">
        <w:rPr>
          <w:rtl w:val="0"/>
        </w:rPr>
        <w:t xml:space="preserve">For International Development Organizations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 trade-financing initiatives on broader institutional reform, including anti-corruption measures, rule-of-law improvements, and human capital development.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Recognize the heterogeneity of trade effects: tailor technical assistance based on country context rather than prescribing uniform liberalization paths.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labor-market transitions and social safety nets to mitigate distributional impacts of trade adjustment.</w:t>
      </w:r>
    </w:p>
    <w:p w:rsidR="00000000" w:rsidDel="00000000" w:rsidP="00000000" w:rsidRDefault="00000000" w:rsidRPr="00000000" w14:paraId="00000060">
      <w:pPr>
        <w:pStyle w:val="Heading2"/>
        <w:spacing w:before="200" w:lineRule="auto"/>
        <w:rPr/>
      </w:pPr>
      <w:r w:rsidDel="00000000" w:rsidR="00000000" w:rsidRPr="00000000">
        <w:rPr>
          <w:rtl w:val="0"/>
        </w:rPr>
        <w:t xml:space="preserve">For Business &amp; Investment Communities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trade openness does not guarantee market dynamism; conduct detailed institutional and regulatory due diligence before market entry.</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sub-sectors within high-trade nations where structural advantages (e.g., Singapore's logistics ecosystem) confer competitive benefits.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 geopolitical trade tensions and supply-chain concentration risks, as trade volatility can decouple from growth.</w:t>
      </w:r>
    </w:p>
    <w:p w:rsidR="00000000" w:rsidDel="00000000" w:rsidP="00000000" w:rsidRDefault="00000000" w:rsidRPr="00000000" w14:paraId="00000064">
      <w:pPr>
        <w:pStyle w:val="Heading1"/>
        <w:rPr/>
      </w:pPr>
      <w:r w:rsidDel="00000000" w:rsidR="00000000" w:rsidRPr="00000000">
        <w:rPr>
          <w:rtl w:val="0"/>
        </w:rPr>
        <w:t xml:space="preserve">Conclusion</w:t>
      </w:r>
    </w:p>
    <w:p w:rsidR="00000000" w:rsidDel="00000000" w:rsidP="00000000" w:rsidRDefault="00000000" w:rsidRPr="00000000" w14:paraId="00000065">
      <w:pPr>
        <w:spacing w:after="200" w:lineRule="auto"/>
        <w:rPr/>
      </w:pPr>
      <w:r w:rsidDel="00000000" w:rsidR="00000000" w:rsidRPr="00000000">
        <w:rPr>
          <w:rtl w:val="0"/>
        </w:rPr>
        <w:t xml:space="preserve">This capstone analysis of 395,277 World Bank development indicators reveals a nuanced relationship between international trade and economic growth. While the global correlation is statistically weak (0.08), the heterogeneity of country outcomes underscores that trade's growth impact is context-dependent and contingent on complementary institutional, human, and infrastructure investments.</w:t>
      </w:r>
    </w:p>
    <w:p w:rsidR="00000000" w:rsidDel="00000000" w:rsidP="00000000" w:rsidRDefault="00000000" w:rsidRPr="00000000" w14:paraId="00000066">
      <w:pPr>
        <w:spacing w:after="200" w:lineRule="auto"/>
        <w:rPr/>
      </w:pPr>
      <w:r w:rsidDel="00000000" w:rsidR="00000000" w:rsidRPr="00000000">
        <w:rPr>
          <w:rtl w:val="0"/>
        </w:rPr>
        <w:t xml:space="preserve">The visualization dashboard illustrates that trade openness is a necessary but not sufficient condition for GDP growth. Countries must simultaneously cultivate governance quality, educational attainment, technological capacity, and macroeconomic stability. The most successful trade-integrated economies—Singapore, Luxembourg, and select developed nations—demonstrate this multi-dimensional approach to development.</w:t>
      </w:r>
    </w:p>
    <w:p w:rsidR="00000000" w:rsidDel="00000000" w:rsidP="00000000" w:rsidRDefault="00000000" w:rsidRPr="00000000" w14:paraId="00000067">
      <w:pPr>
        <w:spacing w:after="200" w:lineRule="auto"/>
        <w:rPr/>
      </w:pPr>
      <w:r w:rsidDel="00000000" w:rsidR="00000000" w:rsidRPr="00000000">
        <w:rPr>
          <w:rtl w:val="0"/>
        </w:rPr>
        <w:t xml:space="preserve">As global trade architecture faces mounting pressures from geopolitical fragmentation and protectionist currents, this analysis provides empirical grounding for evidence-based policymaking. Trade remains a vital engine of growth, but only when embedded within broader institutional and policy frameworks that enable nations to harness its potential effectively.</w:t>
      </w:r>
    </w:p>
    <w:p w:rsidR="00000000" w:rsidDel="00000000" w:rsidP="00000000" w:rsidRDefault="00000000" w:rsidRPr="00000000" w14:paraId="00000068">
      <w:pPr>
        <w:spacing w:after="400" w:lineRule="auto"/>
        <w:rPr/>
      </w:pPr>
      <w:r w:rsidDel="00000000" w:rsidR="00000000" w:rsidRPr="00000000">
        <w:rPr>
          <w:rtl w:val="0"/>
        </w:rPr>
        <w:t xml:space="preserve">The data speaks clearly: development is multifaceted, and sustainable economic growth requires holistic strategies that transcend trade policy alone.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4472c4"/>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