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b4332" w:val="clear"/>
        <w:jc w:val="center"/>
        <w:rPr/>
      </w:pPr>
      <w:r w:rsidDel="00000000" w:rsidR="00000000" w:rsidRPr="00000000">
        <w:rPr>
          <w:b w:val="1"/>
          <w:bCs w:val="1"/>
          <w:color w:val="ffffff"/>
          <w:sz w:val="44"/>
          <w:szCs w:val="44"/>
          <w:rtl w:val="0"/>
        </w:rPr>
        <w:t xml:space="preserve">TELCO CUSTOMER CHURN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40916c" w:val="clear"/>
        <w:spacing w:after="20" w:lineRule="auto"/>
        <w:jc w:val="center"/>
        <w:rPr/>
      </w:pPr>
      <w:r w:rsidDel="00000000" w:rsidR="00000000" w:rsidRPr="00000000">
        <w:rPr>
          <w:i w:val="1"/>
          <w:iCs w:val="1"/>
          <w:color w:val="ffffff"/>
          <w:sz w:val="22"/>
          <w:szCs w:val="22"/>
          <w:rtl w:val="0"/>
        </w:rPr>
        <w:t xml:space="preserve">Business Analytics Case Study Report  |  Excel-Based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" w:before="1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25"/>
        <w:gridCol w:w="1547"/>
        <w:gridCol w:w="1290"/>
        <w:gridCol w:w="1569"/>
        <w:gridCol w:w="1911"/>
        <w:gridCol w:w="1718"/>
        <w:tblGridChange w:id="0">
          <w:tblGrid>
            <w:gridCol w:w="1325"/>
            <w:gridCol w:w="1547"/>
            <w:gridCol w:w="1290"/>
            <w:gridCol w:w="1569"/>
            <w:gridCol w:w="1911"/>
            <w:gridCol w:w="17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110.0" w:type="dxa"/>
              <w:left w:w="80.0" w:type="dxa"/>
              <w:bottom w:w="11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4332"/>
                <w:sz w:val="28"/>
                <w:szCs w:val="28"/>
                <w:rtl w:val="0"/>
              </w:rPr>
              <w:t xml:space="preserve">7,043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color w:val="40916c"/>
                <w:sz w:val="17"/>
                <w:szCs w:val="17"/>
                <w:rtl w:val="0"/>
              </w:rPr>
              <w:t xml:space="preserve">Total 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110.0" w:type="dxa"/>
              <w:left w:w="80.0" w:type="dxa"/>
              <w:bottom w:w="11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1,869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color w:val="d8f3dc"/>
                <w:sz w:val="17"/>
                <w:szCs w:val="17"/>
                <w:rtl w:val="0"/>
              </w:rPr>
              <w:t xml:space="preserve">Churned 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110.0" w:type="dxa"/>
              <w:left w:w="80.0" w:type="dxa"/>
              <w:bottom w:w="11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26.5%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color w:val="d8f3dc"/>
                <w:sz w:val="17"/>
                <w:szCs w:val="17"/>
                <w:rtl w:val="0"/>
              </w:rPr>
              <w:t xml:space="preserve">Avg Churn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110.0" w:type="dxa"/>
              <w:left w:w="80.0" w:type="dxa"/>
              <w:bottom w:w="11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4332"/>
                <w:sz w:val="28"/>
                <w:szCs w:val="28"/>
                <w:rtl w:val="0"/>
              </w:rPr>
              <w:t xml:space="preserve">5,174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color w:val="40916c"/>
                <w:sz w:val="17"/>
                <w:szCs w:val="17"/>
                <w:rtl w:val="0"/>
              </w:rPr>
              <w:t xml:space="preserve">Retained 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110.0" w:type="dxa"/>
              <w:left w:w="80.0" w:type="dxa"/>
              <w:bottom w:w="11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$139,131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color w:val="d8f3dc"/>
                <w:sz w:val="17"/>
                <w:szCs w:val="17"/>
                <w:rtl w:val="0"/>
              </w:rPr>
              <w:t xml:space="preserve">Monthly Revenue at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110.0" w:type="dxa"/>
              <w:left w:w="80.0" w:type="dxa"/>
              <w:bottom w:w="11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4332"/>
                <w:sz w:val="28"/>
                <w:szCs w:val="28"/>
                <w:rtl w:val="0"/>
              </w:rPr>
              <w:t xml:space="preserve">$16,056,169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color w:val="40916c"/>
                <w:sz w:val="17"/>
                <w:szCs w:val="17"/>
                <w:rtl w:val="0"/>
              </w:rPr>
              <w:t xml:space="preserve">Total Charges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i w:val="1"/>
          <w:iCs w:val="1"/>
          <w:color w:val="888888"/>
          <w:sz w:val="19"/>
          <w:szCs w:val="19"/>
          <w:rtl w:val="0"/>
        </w:rPr>
        <w:t xml:space="preserve">Prepared by: Gift  •  AnalystLab Africa Internship  • 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left w:color="40916c" w:space="0" w:sz="18" w:val="single"/>
        </w:pBdr>
        <w:shd w:fill="2d6a4f" w:val="clear"/>
        <w:spacing w:after="60" w:before="300" w:lineRule="auto"/>
        <w:ind w:left="120" w:firstLine="0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1. 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70" w:before="70" w:lineRule="auto"/>
        <w:jc w:val="both"/>
        <w:rPr/>
      </w:pPr>
      <w:r w:rsidDel="00000000" w:rsidR="00000000" w:rsidRPr="00000000">
        <w:rPr>
          <w:color w:val="1a1a1a"/>
          <w:rtl w:val="0"/>
        </w:rPr>
        <w:t xml:space="preserve">Customer churn — the rate at which subscribers discontinue service with a company — is one of the most consequential metrics in the telecommunications industry. Retaining an existing customer costs significantly less than acquiring a new one, making churn reduction a direct lever on profitability. This report presents a business analytics case study examining churn behaviour for a telecommunications provider, using a structured Excel-based analysis to identify risk patterns, surface actionable insights, and guide strategic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left w:color="40916c" w:space="0" w:sz="18" w:val="single"/>
        </w:pBdr>
        <w:shd w:fill="2d6a4f" w:val="clear"/>
        <w:spacing w:after="60" w:before="300" w:lineRule="auto"/>
        <w:ind w:left="120" w:firstLine="0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2.  Business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70" w:before="70" w:lineRule="auto"/>
        <w:jc w:val="both"/>
        <w:rPr/>
      </w:pPr>
      <w:r w:rsidDel="00000000" w:rsidR="00000000" w:rsidRPr="00000000">
        <w:rPr>
          <w:color w:val="1a1a1a"/>
          <w:rtl w:val="0"/>
        </w:rPr>
        <w:t xml:space="preserve">The company is losing approximately 26.5% of its customer base — more than one in four customers — within the observed period. Monthly revenue directly at risk from churned customers amounts to $139,131, with total charges across all churned accounts reaching $2,862,927. The business needs to understand: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Which customer segments are most likely to churn and 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What contract, service, or billing patterns predict departure?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Where should retention resources be focused for maximum impact?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70" w:before="70" w:lineRule="auto"/>
        <w:jc w:val="both"/>
        <w:rPr/>
      </w:pPr>
      <w:r w:rsidDel="00000000" w:rsidR="00000000" w:rsidRPr="00000000">
        <w:rPr>
          <w:color w:val="1a1a1a"/>
          <w:rtl w:val="0"/>
        </w:rPr>
        <w:t xml:space="preserve">Without these answers, the business risks continued revenue erosion, higher acquisition costs, and deteriorating customer lifetime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left w:color="40916c" w:space="0" w:sz="18" w:val="single"/>
        </w:pBdr>
        <w:shd w:fill="2d6a4f" w:val="clear"/>
        <w:spacing w:after="60" w:before="300" w:lineRule="auto"/>
        <w:ind w:left="120" w:firstLine="0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3.  Dataset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70" w:before="70" w:lineRule="auto"/>
        <w:jc w:val="both"/>
        <w:rPr/>
      </w:pPr>
      <w:r w:rsidDel="00000000" w:rsidR="00000000" w:rsidRPr="00000000">
        <w:rPr>
          <w:color w:val="1a1a1a"/>
          <w:rtl w:val="0"/>
        </w:rPr>
        <w:t xml:space="preserve">The Telco Customer Churn dataset contains 7,043 records representing individual customers of a US telecommunications company. All analysis was performed entirely within Microsoft Excel. The dataset captures four categories of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760"/>
        <w:gridCol w:w="3000"/>
        <w:tblGridChange w:id="0">
          <w:tblGrid>
            <w:gridCol w:w="2600"/>
            <w:gridCol w:w="37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Demographics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Gender, Senior Citizen, Partner, Dependents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Understand who the customer 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Account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Tenure, Contract Type, Paperless Billing, Payment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Understand how the customer engages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Services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Phone, Internet, Streaming, Security, Tech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Understand what the customer subscribes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Financials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Monthly Charges, Total Charges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Quantify revenue contribution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Target 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Churn (Yes / 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Outcome to be analysed and predicted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left w:color="40916c" w:space="0" w:sz="18" w:val="single"/>
        </w:pBdr>
        <w:shd w:fill="2d6a4f" w:val="clear"/>
        <w:spacing w:after="60" w:before="300" w:lineRule="auto"/>
        <w:ind w:left="120" w:firstLine="0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4.  Data Analysis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70" w:before="70" w:lineRule="auto"/>
        <w:jc w:val="both"/>
        <w:rPr/>
      </w:pPr>
      <w:r w:rsidDel="00000000" w:rsidR="00000000" w:rsidRPr="00000000">
        <w:rPr>
          <w:color w:val="1a1a1a"/>
          <w:rtl w:val="0"/>
        </w:rPr>
        <w:t xml:space="preserve">All analysis was conducted in Microsoft Excel using the original dataset. The following steps were taken: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40916c" w:space="3" w:sz="4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1b4332"/>
          <w:sz w:val="24"/>
          <w:szCs w:val="24"/>
          <w:rtl w:val="0"/>
        </w:rPr>
        <w:t xml:space="preserve">4.1  Data Cleaning &amp;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Inspected all 7,043 rows and 21 columns for missing values and data type consistency.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No duplicate rows were </w:t>
      </w:r>
      <w:r w:rsidDel="00000000" w:rsidR="00000000" w:rsidRPr="00000000">
        <w:rPr>
          <w:color w:val="1a1a1a"/>
          <w:rtl w:val="0"/>
        </w:rPr>
        <w:t xml:space="preserve">found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during the process; the raw dataset was kept intact, and all transformations were added as new columns.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Converted the Senior Citizen column (originally 0/1 integer values) into a new descriptive text column labelled 'Senior Citizen Status' with values 'Non-Senior Citizen' and 'Senior Citizen' using an IF formula</w:t>
      </w:r>
      <w:r w:rsidDel="00000000" w:rsidR="00000000" w:rsidRPr="00000000">
        <w:rPr>
          <w:color w:val="1a1a1a"/>
          <w:rtl w:val="0"/>
        </w:rPr>
        <w:t xml:space="preserve">—improving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readability in charts and pivot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Converted the Churn column (Yes/No text values) into a new numeric </w:t>
      </w:r>
      <w:r w:rsidDel="00000000" w:rsidR="00000000" w:rsidRPr="00000000">
        <w:rPr>
          <w:color w:val="1a1a1a"/>
          <w:rtl w:val="0"/>
        </w:rPr>
        <w:t xml:space="preserve">column,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'Churn </w:t>
      </w:r>
      <w:r w:rsidDel="00000000" w:rsidR="00000000" w:rsidRPr="00000000">
        <w:rPr>
          <w:color w:val="1a1a1a"/>
          <w:rtl w:val="0"/>
        </w:rPr>
        <w:t xml:space="preserve">(0/1),'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using an IF formula, enabling mathematical aggregation (counts, averages, sums) in pivot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Verified the TotalCharges column for non-numeric entries and standardised formatting.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40916c" w:space="3" w:sz="4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1b4332"/>
          <w:sz w:val="24"/>
          <w:szCs w:val="24"/>
          <w:rtl w:val="0"/>
        </w:rPr>
        <w:t xml:space="preserve">4.2  Analysis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PivotTables were used to cross-tabulate churn rates against contract type, tenure bands, internet service, payment method, and demographic groups.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Calculated fields and COUNTIF/AVERAGEIF formulas were used to derive segment-level churn percentages.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Charts (bar, line, </w:t>
      </w:r>
      <w:r w:rsidDel="00000000" w:rsidR="00000000" w:rsidRPr="00000000">
        <w:rPr>
          <w:color w:val="1a1a1a"/>
          <w:rtl w:val="0"/>
        </w:rPr>
        <w:t xml:space="preserve">doughnut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and column) were built from PivotTable data and assembled into the final dashboard with a </w:t>
      </w:r>
      <w:r w:rsidDel="00000000" w:rsidR="00000000" w:rsidRPr="00000000">
        <w:rPr>
          <w:color w:val="1a1a1a"/>
          <w:rtl w:val="0"/>
        </w:rPr>
        <w:t xml:space="preserve">contract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slicer for interactive filtering.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KPI cards were created using cell references to summary aggregation cells.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left w:color="40916c" w:space="0" w:sz="18" w:val="single"/>
        </w:pBdr>
        <w:shd w:fill="2d6a4f" w:val="clear"/>
        <w:spacing w:after="60" w:before="300" w:lineRule="auto"/>
        <w:ind w:left="120" w:firstLine="0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5.  Key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70" w:before="70" w:lineRule="auto"/>
        <w:jc w:val="both"/>
        <w:rPr/>
      </w:pPr>
      <w:r w:rsidDel="00000000" w:rsidR="00000000" w:rsidRPr="00000000">
        <w:rPr>
          <w:color w:val="1a1a1a"/>
          <w:rtl w:val="0"/>
        </w:rPr>
        <w:t xml:space="preserve">The Excel dashboard and underlying pivot analysis surfaced the following statistically notable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40916c" w:space="3" w:sz="4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1b4332"/>
          <w:sz w:val="24"/>
          <w:szCs w:val="24"/>
          <w:rtl w:val="0"/>
        </w:rPr>
        <w:t xml:space="preserve">5.1  Contract Type Is the Strongest Churn Predictor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3000"/>
        <w:gridCol w:w="2860"/>
        <w:tblGridChange w:id="0">
          <w:tblGrid>
            <w:gridCol w:w="3500"/>
            <w:gridCol w:w="30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Contract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Churned 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Churn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Month-to-Month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~1,655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42.7%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One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~166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11.3%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Two-Year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~48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 2.8%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70" w:before="70" w:lineRule="auto"/>
        <w:jc w:val="both"/>
        <w:rPr/>
      </w:pPr>
      <w:r w:rsidDel="00000000" w:rsidR="00000000" w:rsidRPr="00000000">
        <w:rPr>
          <w:color w:val="1a1a1a"/>
          <w:rtl w:val="0"/>
        </w:rPr>
        <w:t xml:space="preserve">Month-to-month customers churn at 15 times the rate of two-year contract holders. The dashboard's Contract slicer confirms this pattern holds across every other dimension analyzed.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bottom w:color="40916c" w:space="3" w:sz="4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1b4332"/>
          <w:sz w:val="24"/>
          <w:szCs w:val="24"/>
          <w:rtl w:val="0"/>
        </w:rPr>
        <w:t xml:space="preserve">5.2  Tenure — Early Months Are 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70" w:before="70" w:lineRule="auto"/>
        <w:jc w:val="both"/>
        <w:rPr/>
      </w:pPr>
      <w:r w:rsidDel="00000000" w:rsidR="00000000" w:rsidRPr="00000000">
        <w:rPr>
          <w:color w:val="1a1a1a"/>
          <w:rtl w:val="0"/>
        </w:rPr>
        <w:t xml:space="preserve">The Tenure Churn Trend line chart in the dashboard shows a clear, consistent relationship: churn declines sharply as tenure increases. Customers in the 0–11 month band show a churn rate exceeding 47%, which falls to below 7% for customers with 60–72 months of tenure. Churned customers average only 18 months of tenure versus 37.7 months for retained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bottom w:color="40916c" w:space="3" w:sz="4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1b4332"/>
          <w:sz w:val="24"/>
          <w:szCs w:val="24"/>
          <w:rtl w:val="0"/>
        </w:rPr>
        <w:t xml:space="preserve">5.3  Fiber Optics Generate the Highest Internet Service Churn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2930"/>
        <w:gridCol w:w="2930"/>
        <w:tblGridChange w:id="0">
          <w:tblGrid>
            <w:gridCol w:w="3500"/>
            <w:gridCol w:w="2930"/>
            <w:gridCol w:w="2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Internet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Churned (Count)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Churn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Fiber Optic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1,297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41.9%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  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19.0%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No Internet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  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 7.4%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70" w:before="70" w:lineRule="auto"/>
        <w:jc w:val="both"/>
        <w:rPr/>
      </w:pPr>
      <w:r w:rsidDel="00000000" w:rsidR="00000000" w:rsidRPr="00000000">
        <w:rPr>
          <w:color w:val="1a1a1a"/>
          <w:rtl w:val="0"/>
        </w:rPr>
        <w:t xml:space="preserve">Despite being the premium product, fiber optic customers churn at more than twice the DSL rate—a counterintuitive finding that points to pricing, service reliability, or expectation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bottom w:color="40916c" w:space="3" w:sz="4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1b4332"/>
          <w:sz w:val="24"/>
          <w:szCs w:val="24"/>
          <w:rtl w:val="0"/>
        </w:rPr>
        <w:t xml:space="preserve">5.4  Electronic Check Payers Are the Highest-Risk Payment Segment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70" w:before="70" w:lineRule="auto"/>
        <w:jc w:val="both"/>
        <w:rPr/>
      </w:pPr>
      <w:r w:rsidDel="00000000" w:rsidR="00000000" w:rsidRPr="00000000">
        <w:rPr>
          <w:color w:val="1a1a1a"/>
          <w:rtl w:val="0"/>
        </w:rPr>
        <w:t xml:space="preserve">The Payment Method Churn bar chart shows 1,071 churned customers paid by electronic check—the largest single segment. Electronic check users churn at 45.3%, compared to approximately 15–16% for automatic payment methods (bank transfer and credit card). Customers paying by mailed check show a 19.2% churn 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bottom w:color="40916c" w:space="3" w:sz="4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1b4332"/>
          <w:sz w:val="24"/>
          <w:szCs w:val="24"/>
          <w:rtl w:val="0"/>
        </w:rPr>
        <w:t xml:space="preserve">5.5  Senior Citizens and Solo Customers Churn at Higher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70" w:before="70" w:lineRule="auto"/>
        <w:jc w:val="both"/>
        <w:rPr/>
      </w:pPr>
      <w:r w:rsidDel="00000000" w:rsidR="00000000" w:rsidRPr="00000000">
        <w:rPr>
          <w:color w:val="1a1a1a"/>
          <w:rtl w:val="0"/>
        </w:rPr>
        <w:t xml:space="preserve">The Senior Citizen Churn bar chart records 476 churned senior citizens out of a smaller base, yielding a 41.7% churn rate versus 23.7% for non-seniors. The Partners Churn chart shows customers without a partner churn at 33.0% (1,200 churned) versus 19.7% (669 churned) for those with a partner. Similarly, the Dependants Churn chart shows customers without dependants at 31.3% versus 15.5% for those with dependants.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bottom w:color="40916c" w:space="3" w:sz="4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1b4332"/>
          <w:sz w:val="24"/>
          <w:szCs w:val="24"/>
          <w:rtl w:val="0"/>
        </w:rPr>
        <w:t xml:space="preserve">5.6  Tech Support and Device Protection Reduce Churn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70" w:before="70" w:lineRule="auto"/>
        <w:jc w:val="both"/>
        <w:rPr/>
      </w:pPr>
      <w:r w:rsidDel="00000000" w:rsidR="00000000" w:rsidRPr="00000000">
        <w:rPr>
          <w:color w:val="1a1a1a"/>
          <w:rtl w:val="0"/>
        </w:rPr>
        <w:t xml:space="preserve">The Tech Support Churn bar chart shows 1,446 churned customers had no tech support—a churn rate of 41.6%—versus only 310 churned among those subscribed to tech support (15.2%). The Device Protection Churn chart reflects a similar pattern, confirming that add-on services materially reduce the likelihood of departure.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bottom w:color="40916c" w:space="3" w:sz="4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1b4332"/>
          <w:sz w:val="24"/>
          <w:szCs w:val="24"/>
          <w:rtl w:val="0"/>
        </w:rPr>
        <w:t xml:space="preserve">5.7  Paperless Billing Correlates with Higher Churn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70" w:before="70" w:lineRule="auto"/>
        <w:jc w:val="both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The Paperless Billing Churn donut chart shows 1,400 churned customers (Yes) versus 469 (No). Customers on paperless billing churn at 33.6%, double the 16.4% rate of those on paper billing—likely overlapping with the digitally-engaged, month-to-month, higher-risk segment.</w:t>
      </w:r>
    </w:p>
    <w:p w:rsidR="00000000" w:rsidDel="00000000" w:rsidP="00000000" w:rsidRDefault="00000000" w:rsidRPr="00000000" w14:paraId="0000007B">
      <w:pPr>
        <w:spacing w:after="70" w:before="70" w:lineRule="auto"/>
        <w:jc w:val="both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70" w:before="70" w:lineRule="auto"/>
        <w:jc w:val="both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70" w:before="7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5573134" cy="276111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3134" cy="2761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left w:color="40916c" w:space="0" w:sz="18" w:val="single"/>
        </w:pBdr>
        <w:shd w:fill="2d6a4f" w:val="clear"/>
        <w:spacing w:after="60" w:before="300" w:lineRule="auto"/>
        <w:ind w:left="120" w:firstLine="0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6.  Business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What Patterns Were Discovered?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70.0" w:type="dxa"/>
              <w:left w:w="200.0" w:type="dxa"/>
              <w:bottom w:w="70.0" w:type="dxa"/>
              <w:right w:w="15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• Churn is strongly structural, not random—contract type, tenure, and service type each create predictable risk tiers.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200.0" w:type="dxa"/>
              <w:bottom w:w="70.0" w:type="dxa"/>
              <w:right w:w="15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• Risk declines linearly with time: every additional year of tenure roughly halves the probability of churn.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70.0" w:type="dxa"/>
              <w:left w:w="200.0" w:type="dxa"/>
              <w:bottom w:w="70.0" w:type="dxa"/>
              <w:right w:w="15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• Automatic payment adoption is a reliable proxy for customer commitment—those on auto-pay churn at one-third the rate of manual payers.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200.0" w:type="dxa"/>
              <w:bottom w:w="70.0" w:type="dxa"/>
              <w:right w:w="15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• Add-on services (Tech Support, Device Protection, Online Security) act as loyalty anchors, dramatically reducing churn in each case.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What Customer Behaviours Stood Out?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70.0" w:type="dxa"/>
              <w:left w:w="200.0" w:type="dxa"/>
              <w:bottom w:w="7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• Month-to-month customers exhibit low-commitment, trial-like behavior—42.7% leave, indicating the product has not yet earned long-term loyalty from this group.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200.0" w:type="dxa"/>
              <w:bottom w:w="70.0" w:type="dxa"/>
              <w:right w:w="15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• Fiber optic subscribers, despite paying more, are leaving at the highest rate of any internet service group—a signal of unmet expectations or service dissatisfaction.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70.0" w:type="dxa"/>
              <w:left w:w="200.0" w:type="dxa"/>
              <w:bottom w:w="70.0" w:type="dxa"/>
              <w:right w:w="15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• Electronic check users show the lowest billing automation and the highest churn, suggesting disengagement from the brand.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200.0" w:type="dxa"/>
              <w:bottom w:w="70.0" w:type="dxa"/>
              <w:right w:w="15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•  New customers (0–12 months) are in a high-risk window: nearly half leave before completing their first year.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Which Customer Segments Require Immediate Attention?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70.0" w:type="dxa"/>
              <w:left w:w="200.0" w:type="dxa"/>
              <w:bottom w:w="70.0" w:type="dxa"/>
              <w:right w:w="15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•  Month-to-month contract holders — 42.7% churn rate, representing the largest volume of churned customers.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200.0" w:type="dxa"/>
              <w:bottom w:w="70.0" w:type="dxa"/>
              <w:right w:w="15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•  New customers in months 0–12 — 47.7% churn rate; the onboarding experience is clearly insufficient.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70.0" w:type="dxa"/>
              <w:left w:w="200.0" w:type="dxa"/>
              <w:bottom w:w="70.0" w:type="dxa"/>
              <w:right w:w="15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•  Fiber optic subscribers — 41.9% churn rate despite being the premium product tier.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200.0" w:type="dxa"/>
              <w:bottom w:w="70.0" w:type="dxa"/>
              <w:right w:w="15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•  Senior citizens — 41.7% churn rate, potentially reflecting affordability concerns or service complexity.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70.0" w:type="dxa"/>
              <w:left w:w="200.0" w:type="dxa"/>
              <w:bottom w:w="70.0" w:type="dxa"/>
              <w:right w:w="15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•  Electronic check payers — 45.3% churn rate; the highest of any payment method group.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What Risks and Opportunities Exist?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70.0" w:type="dxa"/>
              <w:left w:w="200.0" w:type="dxa"/>
              <w:bottom w:w="70.0" w:type="dxa"/>
              <w:right w:w="15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•  RISK: $139,131 in monthly recurring revenue is lost each month with no retention mechanism currently in place for high-risk segments.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200.0" w:type="dxa"/>
              <w:bottom w:w="70.0" w:type="dxa"/>
              <w:right w:w="15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•  RISK: Fiber optic churn at 41.9% could generate negative word-of-mouth, harming brand perception in the premium market segment.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70.0" w:type="dxa"/>
              <w:left w:w="200.0" w:type="dxa"/>
              <w:bottom w:w="70.0" w:type="dxa"/>
              <w:right w:w="15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•  OPPORTUNITY: Customers with add-on services churn at ~14–15% — bundling these services more aggressively could lift overall retention significantly.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200.0" w:type="dxa"/>
              <w:bottom w:w="70.0" w:type="dxa"/>
              <w:right w:w="15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•  OPPORTUNITY: Converting electronic check users to auto-pay could reduce their churn by up to 30 percentage points based on observed differentials.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70.0" w:type="dxa"/>
              <w:left w:w="200.0" w:type="dxa"/>
              <w:bottom w:w="70.0" w:type="dxa"/>
              <w:right w:w="15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•  OPPORTUNITY: Long-tenure customers (49–72 months) are highly stable at 9.5% churn — understanding what keeps them loyal can inform new customer programmes.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left w:color="40916c" w:space="0" w:sz="18" w:val="single"/>
        </w:pBdr>
        <w:shd w:fill="2d6a4f" w:val="clear"/>
        <w:spacing w:after="60" w:before="300" w:lineRule="auto"/>
        <w:ind w:left="120" w:firstLine="0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7. 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bottom w:color="40916c" w:space="3" w:sz="4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1b4332"/>
          <w:sz w:val="24"/>
          <w:szCs w:val="24"/>
          <w:rtl w:val="0"/>
        </w:rPr>
        <w:t xml:space="preserve">Recommendation 1: Introduce a Contract Migration Incentive Programme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70" w:before="70" w:lineRule="auto"/>
        <w:jc w:val="both"/>
        <w:rPr/>
      </w:pPr>
      <w:r w:rsidDel="00000000" w:rsidR="00000000" w:rsidRPr="00000000">
        <w:rPr>
          <w:color w:val="1a1a1a"/>
          <w:rtl w:val="0"/>
        </w:rPr>
        <w:t xml:space="preserve">Target: Month-to-month customers  |  Expected Impact: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70" w:before="70" w:lineRule="auto"/>
        <w:jc w:val="both"/>
        <w:rPr/>
      </w:pPr>
      <w:r w:rsidDel="00000000" w:rsidR="00000000" w:rsidRPr="00000000">
        <w:rPr>
          <w:color w:val="1a1a1a"/>
          <w:rtl w:val="0"/>
        </w:rPr>
        <w:t xml:space="preserve">Design a structured incentive for month-to-month customers to upgrade to annual or two-year contracts. Offer a meaningful reward — such as one month free, a discounted monthly rate, or a bundled add-on service — to customers who commit to a longer term. Prioritise customers approaching their 6-month mark, as this appears to be a key decision point. Even converting 25% of month-to-month customers to one-year contracts could reduce total churn by 4–6 percentage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bottom w:color="40916c" w:space="3" w:sz="4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1b4332"/>
          <w:sz w:val="24"/>
          <w:szCs w:val="24"/>
          <w:rtl w:val="0"/>
        </w:rPr>
        <w:t xml:space="preserve">Recommendation 2: Build a Structured First-Year Onboarding 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70" w:before="70" w:lineRule="auto"/>
        <w:jc w:val="both"/>
        <w:rPr/>
      </w:pPr>
      <w:r w:rsidDel="00000000" w:rsidR="00000000" w:rsidRPr="00000000">
        <w:rPr>
          <w:color w:val="1a1a1a"/>
          <w:rtl w:val="0"/>
        </w:rPr>
        <w:t xml:space="preserve">Target: New customers (0–12 months) | Expected Impact: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70" w:before="70" w:lineRule="auto"/>
        <w:jc w:val="both"/>
        <w:rPr/>
      </w:pPr>
      <w:r w:rsidDel="00000000" w:rsidR="00000000" w:rsidRPr="00000000">
        <w:rPr>
          <w:color w:val="1a1a1a"/>
          <w:rtl w:val="0"/>
        </w:rPr>
        <w:t xml:space="preserve">Nearly half of all new customers leave within their first year — a preventable outcome. Implement a 90-day onboarding programme with proactive communication touchpoints at Day 7, Day 30, and Day 60. Ensure new customers understand and actively use at least one add-on service within the first month, as subscribers to Tech Support or Security churn at approximately one-third the rate. Flag customers with no service engagement by Week 3 for personal outreach.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bottom w:color="40916c" w:space="3" w:sz="4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1b4332"/>
          <w:sz w:val="24"/>
          <w:szCs w:val="24"/>
          <w:rtl w:val="0"/>
        </w:rPr>
        <w:t xml:space="preserve">Recommendation 3: Launch an Auto-Pay Conversion Campaign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70" w:before="70" w:lineRule="auto"/>
        <w:jc w:val="both"/>
        <w:rPr/>
      </w:pPr>
      <w:r w:rsidDel="00000000" w:rsidR="00000000" w:rsidRPr="00000000">
        <w:rPr>
          <w:color w:val="1a1a1a"/>
          <w:rtl w:val="0"/>
        </w:rPr>
        <w:t xml:space="preserve">Target: Electronic check payers | Expected Impact: MEDIUM-HIGH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70" w:before="70" w:lineRule="auto"/>
        <w:jc w:val="both"/>
        <w:rPr/>
      </w:pPr>
      <w:r w:rsidDel="00000000" w:rsidR="00000000" w:rsidRPr="00000000">
        <w:rPr>
          <w:color w:val="1a1a1a"/>
          <w:rtl w:val="0"/>
        </w:rPr>
        <w:t xml:space="preserve">Electronic check users churn at 45.3% — nearly three times the rate of automatic payment customers. Offer a small monthly bill credit (e.g., $3–$5/month) as an incentive for customers to switch to bank transfer or credit card auto-pay. Simplify the switch process within the billing portal and include the offer in the next billing cycle communication. This single intervention could recover a meaningful portion of the 1,071 churned electronic check customers annually.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bottom w:color="40916c" w:space="3" w:sz="4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1b4332"/>
          <w:sz w:val="24"/>
          <w:szCs w:val="24"/>
          <w:rtl w:val="0"/>
        </w:rPr>
        <w:t xml:space="preserve">Recommendation 4: Investigate and Address Fiber Optic Dissatisfaction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70" w:before="70" w:lineRule="auto"/>
        <w:jc w:val="both"/>
        <w:rPr/>
      </w:pPr>
      <w:r w:rsidDel="00000000" w:rsidR="00000000" w:rsidRPr="00000000">
        <w:rPr>
          <w:color w:val="1a1a1a"/>
          <w:rtl w:val="0"/>
        </w:rPr>
        <w:t xml:space="preserve">Target: Fiber optic internet subscribers | Expected Impact: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70" w:before="70" w:lineRule="auto"/>
        <w:jc w:val="both"/>
        <w:rPr/>
      </w:pPr>
      <w:r w:rsidDel="00000000" w:rsidR="00000000" w:rsidRPr="00000000">
        <w:rPr>
          <w:color w:val="1a1a1a"/>
          <w:rtl w:val="0"/>
        </w:rPr>
        <w:t xml:space="preserve">The 41.9% churn rate among fiber optic customers is the most strategically dangerous finding in this analysis. Commission a targeted customer satisfaction survey specifically for this group and review service complaint data. If pricing is the issue, consider introducing a loyalty-based rate reduction after 12 months. If reliability is the concern, invest in service-level improvements and consider a proactive service guarantee credit. A fiber customer who stays becomes one of the company's most valuable long-term accounts.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bottom w:color="40916c" w:space="3" w:sz="4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1b4332"/>
          <w:sz w:val="24"/>
          <w:szCs w:val="24"/>
          <w:rtl w:val="0"/>
        </w:rPr>
        <w:t xml:space="preserve">Recommendation 5: Bundle Add-On Services to Increase Stickiness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70" w:before="70" w:lineRule="auto"/>
        <w:jc w:val="both"/>
        <w:rPr/>
      </w:pPr>
      <w:r w:rsidDel="00000000" w:rsidR="00000000" w:rsidRPr="00000000">
        <w:rPr>
          <w:color w:val="1a1a1a"/>
          <w:rtl w:val="0"/>
        </w:rPr>
        <w:t xml:space="preserve">Target: Internet customers without Tech Support or Device Protection | Expected Impact: 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70" w:before="70" w:lineRule="auto"/>
        <w:jc w:val="both"/>
        <w:rPr/>
      </w:pPr>
      <w:r w:rsidDel="00000000" w:rsidR="00000000" w:rsidRPr="00000000">
        <w:rPr>
          <w:color w:val="1a1a1a"/>
          <w:rtl w:val="0"/>
        </w:rPr>
        <w:t xml:space="preserve">Tech Support and Device Protection each reduce churn by roughly 65% in the observed data. Introduce a discounted bundle that combines internet service with at least one of these add-ons and offer a 30-day free trial to high-risk customers at the point of onboarding or contract renewal. Cross-sell these services proactively during customer service interactions and embed prompts in the self-service portal.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left w:color="40916c" w:space="0" w:sz="18" w:val="single"/>
        </w:pBdr>
        <w:shd w:fill="2d6a4f" w:val="clear"/>
        <w:spacing w:after="60" w:before="300" w:lineRule="auto"/>
        <w:ind w:left="120" w:firstLine="0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8. 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70" w:before="70" w:lineRule="auto"/>
        <w:jc w:val="both"/>
        <w:rPr/>
      </w:pPr>
      <w:r w:rsidDel="00000000" w:rsidR="00000000" w:rsidRPr="00000000">
        <w:rPr>
          <w:color w:val="1a1a1a"/>
          <w:rtl w:val="0"/>
        </w:rPr>
        <w:t xml:space="preserve">This Excel-based business analytics case study demonstrates that customer churn at this telecommunications company is not random — it follows predictable, addressable patterns. A 26.5% overall churn rate translating into $139,131 of monthly revenue at risk is a significant but solvable problem, with clear structural drivers identified across contract type, tenure, service type, and payment behaviour.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70" w:before="70" w:lineRule="auto"/>
        <w:jc w:val="both"/>
        <w:rPr/>
      </w:pPr>
      <w:r w:rsidDel="00000000" w:rsidR="00000000" w:rsidRPr="00000000">
        <w:rPr>
          <w:color w:val="1a1a1a"/>
          <w:rtl w:val="0"/>
        </w:rPr>
        <w:t xml:space="preserve">The analysis confirms that long-term contract commitment, early customer engagement, add-on service adoption, and automatic billing are the four strongest predictors of customer retention. Conversely, month-to-month contracts, the first year of service, Fiber optic subscriptions, and electronic check payment each represent concentrated risk zones requiring targeted intervention.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70" w:before="70" w:lineRule="auto"/>
        <w:jc w:val="both"/>
        <w:rPr/>
      </w:pPr>
      <w:r w:rsidDel="00000000" w:rsidR="00000000" w:rsidRPr="00000000">
        <w:rPr>
          <w:color w:val="1a1a1a"/>
          <w:rtl w:val="0"/>
        </w:rPr>
        <w:t xml:space="preserve">If the five recommendations in this report are implemented in sequence — starting with the contract migration programme and first-year onboarding redesign — the company has a realistic pathway to reducing its overall churn rate by 8–12 percentage points, recovering hundreds of thousands of dollars in monthly recurring revenue, and building a more loyal, higher-value customer base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Key Takeaway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1b4332"/>
                <w:sz w:val="20"/>
                <w:szCs w:val="20"/>
                <w:rtl w:val="0"/>
              </w:rPr>
              <w:t xml:space="preserve">7,043 customers analysed • 1,869 churned (26.5%)  •  $139,131 monthly revenue at risk  •  Month-to-month contracts (42.7%) and first-year customers (47.7%) are the highest-risk groups.  •  Add-on services reduce churn by up to 65% • Auto-pay adoption is the simplest, fastest win available.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/>
      </w:pPr>
      <w:r w:rsidDel="00000000" w:rsidR="00000000" w:rsidRPr="00000000">
        <w:rPr>
          <w:i w:val="1"/>
          <w:iCs w:val="1"/>
          <w:color w:val="888888"/>
          <w:sz w:val="19"/>
          <w:szCs w:val="19"/>
          <w:rtl w:val="0"/>
        </w:rPr>
        <w:t xml:space="preserve">—  End of Report  —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pBdr>
        <w:top w:color="40916c" w:space="4" w:sz="4" w:val="single"/>
      </w:pBdr>
      <w:jc w:val="center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AnalystLab Africa Internship |  June 2026 |  Page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88888"/>
        <w:sz w:val="16"/>
        <w:szCs w:val="16"/>
        <w:rtl w:val="0"/>
      </w:rPr>
      <w:t xml:space="preserve"> of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pBdr>
        <w:bottom w:color="40916c" w:space="4" w:sz="4" w:val="single"/>
      </w:pBdr>
      <w:rPr/>
    </w:pPr>
    <w:r w:rsidDel="00000000" w:rsidR="00000000" w:rsidRPr="00000000">
      <w:rPr>
        <w:b w:val="1"/>
        <w:bCs w:val="1"/>
        <w:color w:val="40916c"/>
        <w:sz w:val="18"/>
        <w:szCs w:val="18"/>
        <w:rtl w:val="0"/>
      </w:rPr>
      <w:t xml:space="preserve">Telco Customer Churn Analysis |</w:t>
    </w:r>
    <w:r w:rsidDel="00000000" w:rsidR="00000000" w:rsidRPr="00000000">
      <w:rPr>
        <w:color w:val="888888"/>
        <w:sz w:val="18"/>
        <w:szCs w:val="18"/>
        <w:rtl w:val="0"/>
      </w:rPr>
      <w:t xml:space="preserve">  Business Analytics Case Study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-N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TpvmzuJhQYAj2H++EHrtvMPGg==">CgMxLjA4AHIhMThmZG5RbVZINXBCMldMWUVyZmhpRGhXX2FxT3hhWFNY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