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63D10" w14:textId="77777777" w:rsidR="008B7332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Week 6 Analysis Report</w:t>
      </w:r>
    </w:p>
    <w:p w14:paraId="5DC160DC" w14:textId="77777777" w:rsidR="008B7332" w:rsidRDefault="00000000">
      <w:pPr>
        <w:spacing w:after="60"/>
        <w:jc w:val="center"/>
      </w:pPr>
      <w:r>
        <w:rPr>
          <w:color w:val="2E75B6"/>
          <w:sz w:val="24"/>
          <w:szCs w:val="24"/>
        </w:rPr>
        <w:t>Apple Inc. (AAPL) Historical Stock Market Analysis</w:t>
      </w:r>
    </w:p>
    <w:p w14:paraId="5EADADCA" w14:textId="77777777" w:rsidR="008B7332" w:rsidRDefault="00000000">
      <w:pPr>
        <w:spacing w:after="320"/>
        <w:jc w:val="center"/>
      </w:pPr>
      <w:r>
        <w:rPr>
          <w:color w:val="7F7F7F"/>
          <w:sz w:val="20"/>
          <w:szCs w:val="20"/>
        </w:rPr>
        <w:t>AnalystLab Africa Internship Programme  |  June 2026</w:t>
      </w:r>
    </w:p>
    <w:p w14:paraId="47F0FE5E" w14:textId="77777777" w:rsidR="008B7332" w:rsidRDefault="00000000">
      <w:pPr>
        <w:pStyle w:val="Heading1"/>
        <w:pBdr>
          <w:bottom w:val="single" w:sz="6" w:space="1" w:color="2E75B6"/>
        </w:pBdr>
      </w:pPr>
      <w:r>
        <w:t>1. Dataset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B7332" w14:paraId="513B4D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29C7" w14:textId="77777777" w:rsidR="008B7332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71A9" w14:textId="77777777" w:rsidR="008B733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8B7332" w14:paraId="4A4C22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E07D" w14:textId="77777777" w:rsidR="008B7332" w:rsidRDefault="00000000">
            <w:r>
              <w:rPr>
                <w:sz w:val="20"/>
                <w:szCs w:val="20"/>
              </w:rPr>
              <w:t>Data 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0C1A" w14:textId="77777777" w:rsidR="008B7332" w:rsidRDefault="00000000">
            <w:r>
              <w:rPr>
                <w:sz w:val="20"/>
                <w:szCs w:val="20"/>
              </w:rPr>
              <w:t>Yahoo Finance via yfinance Python library</w:t>
            </w:r>
          </w:p>
        </w:tc>
      </w:tr>
      <w:tr w:rsidR="008B7332" w14:paraId="64C3DF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84C6" w14:textId="77777777" w:rsidR="008B7332" w:rsidRDefault="00000000">
            <w:r>
              <w:rPr>
                <w:sz w:val="20"/>
                <w:szCs w:val="20"/>
              </w:rPr>
              <w:t>Ticker Symbol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93B1" w14:textId="77777777" w:rsidR="008B7332" w:rsidRDefault="00000000">
            <w:r>
              <w:rPr>
                <w:sz w:val="20"/>
                <w:szCs w:val="20"/>
              </w:rPr>
              <w:t>AAPL (Apple Inc.)</w:t>
            </w:r>
          </w:p>
        </w:tc>
      </w:tr>
      <w:tr w:rsidR="008B7332" w14:paraId="442211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B7B8" w14:textId="77777777" w:rsidR="008B7332" w:rsidRDefault="00000000">
            <w:r>
              <w:rPr>
                <w:sz w:val="20"/>
                <w:szCs w:val="20"/>
              </w:rPr>
              <w:t>Period Covered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EA9B" w14:textId="77777777" w:rsidR="008B7332" w:rsidRDefault="00000000">
            <w:r>
              <w:rPr>
                <w:sz w:val="20"/>
                <w:szCs w:val="20"/>
              </w:rPr>
              <w:t>June 2021 – June 2026 (5 years)</w:t>
            </w:r>
          </w:p>
        </w:tc>
      </w:tr>
      <w:tr w:rsidR="008B7332" w14:paraId="7BCAAC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CA03" w14:textId="77777777" w:rsidR="008B7332" w:rsidRDefault="00000000"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B1ED" w14:textId="77777777" w:rsidR="008B7332" w:rsidRDefault="00000000">
            <w:r>
              <w:rPr>
                <w:sz w:val="20"/>
                <w:szCs w:val="20"/>
              </w:rPr>
              <w:t>Daily trading data</w:t>
            </w:r>
          </w:p>
        </w:tc>
      </w:tr>
      <w:tr w:rsidR="008B7332" w14:paraId="138D67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275F" w14:textId="77777777" w:rsidR="008B7332" w:rsidRDefault="00000000">
            <w:r>
              <w:rPr>
                <w:sz w:val="20"/>
                <w:szCs w:val="20"/>
              </w:rPr>
              <w:t>Key Columns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1E70" w14:textId="77777777" w:rsidR="008B7332" w:rsidRDefault="00000000">
            <w:r>
              <w:rPr>
                <w:sz w:val="20"/>
                <w:szCs w:val="20"/>
              </w:rPr>
              <w:t>Date, Open, High, Low, Close, Volume</w:t>
            </w:r>
          </w:p>
        </w:tc>
      </w:tr>
      <w:tr w:rsidR="008B7332" w14:paraId="01744D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8D7E" w14:textId="77777777" w:rsidR="008B7332" w:rsidRDefault="00000000">
            <w:r>
              <w:rPr>
                <w:sz w:val="20"/>
                <w:szCs w:val="20"/>
              </w:rPr>
              <w:t>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EAE0" w14:textId="77777777" w:rsidR="008B7332" w:rsidRDefault="00000000">
            <w:r>
              <w:rPr>
                <w:sz w:val="20"/>
                <w:szCs w:val="20"/>
              </w:rPr>
              <w:t>~1,259 trading days</w:t>
            </w:r>
          </w:p>
        </w:tc>
      </w:tr>
    </w:tbl>
    <w:p w14:paraId="65CEBF5B" w14:textId="77777777" w:rsidR="008B7332" w:rsidRDefault="008B7332">
      <w:pPr>
        <w:spacing w:before="80"/>
      </w:pPr>
    </w:p>
    <w:p w14:paraId="478FF04F" w14:textId="77777777" w:rsidR="008B7332" w:rsidRDefault="00000000">
      <w:pPr>
        <w:spacing w:before="60" w:after="60"/>
        <w:jc w:val="both"/>
      </w:pPr>
      <w:r>
        <w:t>The dataset captures five years of Apple Inc. stock price activity, covering a period of significant market events including post-pandemic recovery, multiple Federal Reserve rate hike cycles, and evolving macroeconomic conditions. The raw data was downloaded programmatically using the yfinance library, saved as a CSV, and subsequently processed for analysis.</w:t>
      </w:r>
    </w:p>
    <w:p w14:paraId="7802DB5D" w14:textId="77777777" w:rsidR="008B7332" w:rsidRDefault="00000000">
      <w:pPr>
        <w:pStyle w:val="Heading1"/>
        <w:pBdr>
          <w:bottom w:val="single" w:sz="6" w:space="1" w:color="2E75B6"/>
        </w:pBdr>
      </w:pPr>
      <w:r>
        <w:t>2. Data Transformation Techniques Applied</w:t>
      </w:r>
    </w:p>
    <w:p w14:paraId="20A688BB" w14:textId="77777777" w:rsidR="008B7332" w:rsidRDefault="00000000">
      <w:pPr>
        <w:pStyle w:val="Heading2"/>
      </w:pPr>
      <w:r>
        <w:t>2.1 Data Cleaning</w:t>
      </w:r>
    </w:p>
    <w:p w14:paraId="2FD830D9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Dropped two redundant header rows appended by the yfinance export format.</w:t>
      </w:r>
    </w:p>
    <w:p w14:paraId="13D6B02E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Renamed the misnamed ‘Price’ column to ‘Date’ for semantic accuracy.</w:t>
      </w:r>
    </w:p>
    <w:p w14:paraId="2E3182CB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Verified null values across all columns — no missing data was found.</w:t>
      </w:r>
    </w:p>
    <w:p w14:paraId="3C73746C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Converted the Date column to datetime format using pd.to_datetime().</w:t>
      </w:r>
    </w:p>
    <w:p w14:paraId="3446226F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Cast Open, High, Low, Close, and Volume columns to float for numerical computation.</w:t>
      </w:r>
    </w:p>
    <w:p w14:paraId="01A3D5F1" w14:textId="77777777" w:rsidR="008B7332" w:rsidRDefault="00000000">
      <w:pPr>
        <w:pStyle w:val="Heading2"/>
      </w:pPr>
      <w:r>
        <w:t>2.2 Date &amp; Time Feature Extraction</w:t>
      </w:r>
    </w:p>
    <w:p w14:paraId="05533B52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Decomposed the Date column into Year, Month, and Day attributes to enable temporal grouping.</w:t>
      </w:r>
    </w:p>
    <w:p w14:paraId="6517782D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Set Date as the index and applied monthly resampling (resample(‘M’)) to derive end-of-month closing prices.</w:t>
      </w:r>
    </w:p>
    <w:p w14:paraId="506A554F" w14:textId="77777777" w:rsidR="008B7332" w:rsidRDefault="00000000">
      <w:pPr>
        <w:pStyle w:val="Heading2"/>
      </w:pPr>
      <w:r>
        <w:t>2.3 Aggregation &amp; Grouping</w:t>
      </w:r>
    </w:p>
    <w:p w14:paraId="1A579510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Grouped by Month and computed average closing price per calendar month to identify seasonal patterns.</w:t>
      </w:r>
    </w:p>
    <w:p w14:paraId="2CFE46BA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Resampled to monthly frequency for return calculations.</w:t>
      </w:r>
    </w:p>
    <w:p w14:paraId="31EC2516" w14:textId="77777777" w:rsidR="008B7332" w:rsidRDefault="00000000">
      <w:pPr>
        <w:pStyle w:val="Heading1"/>
        <w:pBdr>
          <w:bottom w:val="single" w:sz="6" w:space="1" w:color="2E75B6"/>
        </w:pBdr>
      </w:pPr>
      <w:r>
        <w:t>3. Trends Identified</w:t>
      </w:r>
    </w:p>
    <w:p w14:paraId="4B579CD3" w14:textId="77777777" w:rsidR="008B7332" w:rsidRDefault="00000000">
      <w:pPr>
        <w:spacing w:before="60" w:after="60"/>
        <w:jc w:val="both"/>
      </w:pPr>
      <w:r>
        <w:t>The following key market trends were observed from the five-year dataset:</w:t>
      </w:r>
    </w:p>
    <w:p w14:paraId="7B2830B4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Long-term upward trajectory: AAPL’s closing price demonstrated a consistent upward trend from mid-2021, reflecting the company’s sustained growth and investor confidence.</w:t>
      </w:r>
    </w:p>
    <w:p w14:paraId="4FE1525D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Volatility clusters: Elevated volatility periods were visible during 2022, coinciding with the broader equity market selloff driven by rising interest rates. The 30-day rolling standard deviation confirmed increased daily price fluctuation during this window.</w:t>
      </w:r>
    </w:p>
    <w:p w14:paraId="1221A60F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Seasonal pricing patterns: Monthly average close price analysis revealed certain months (notably Q1 and Q4) tend to record relatively higher average prices, consistent with earnings seasons and consumer electronics release cycles.</w:t>
      </w:r>
    </w:p>
    <w:p w14:paraId="2FEC52FC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Mean-reversion signals: The 7-day and 30-day rolling averages frequently acted as dynamic support/resistance zones, with the close price oscillating around the 30-day average before breakouts.</w:t>
      </w:r>
    </w:p>
    <w:p w14:paraId="1838569B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Daily percentage changes: The daily percentage change chart showed that the majority of single-day moves fall within a ±3% band, with occasional spikes exceeding ±5% on earnings or macro news events.</w:t>
      </w:r>
    </w:p>
    <w:p w14:paraId="445F2F9B" w14:textId="77777777" w:rsidR="008B7332" w:rsidRDefault="00000000">
      <w:pPr>
        <w:pStyle w:val="Heading1"/>
        <w:pBdr>
          <w:bottom w:val="single" w:sz="6" w:space="1" w:color="2E75B6"/>
        </w:pBdr>
      </w:pPr>
      <w:r>
        <w:t>4. Features Created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1"/>
        <w:gridCol w:w="3297"/>
        <w:gridCol w:w="2982"/>
      </w:tblGrid>
      <w:tr w:rsidR="008B7332" w14:paraId="444FD4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2919" w14:textId="77777777" w:rsidR="008B733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6B1D" w14:textId="77777777" w:rsidR="008B7332" w:rsidRDefault="00000000">
            <w:r>
              <w:rPr>
                <w:b/>
                <w:bCs/>
                <w:color w:val="FFFFFF"/>
                <w:sz w:val="20"/>
                <w:szCs w:val="20"/>
              </w:rPr>
              <w:t>Calculation 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18DE" w14:textId="77777777" w:rsidR="008B733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B7332" w14:paraId="2539AD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6E51" w14:textId="77777777" w:rsidR="008B7332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E6C1" w14:textId="77777777" w:rsidR="008B7332" w:rsidRDefault="00000000">
            <w:r>
              <w:rPr>
                <w:sz w:val="20"/>
                <w:szCs w:val="20"/>
              </w:rPr>
              <w:t>df[‘Date’].dt.year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3EF9" w14:textId="77777777" w:rsidR="008B7332" w:rsidRDefault="00000000">
            <w:r>
              <w:rPr>
                <w:sz w:val="20"/>
                <w:szCs w:val="20"/>
              </w:rPr>
              <w:t>Annual temporal grouping</w:t>
            </w:r>
          </w:p>
        </w:tc>
      </w:tr>
      <w:tr w:rsidR="008B7332" w14:paraId="149CB0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CA11" w14:textId="77777777" w:rsidR="008B7332" w:rsidRDefault="00000000">
            <w:r>
              <w:rPr>
                <w:sz w:val="20"/>
                <w:szCs w:val="20"/>
              </w:rPr>
              <w:t>Month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C697" w14:textId="77777777" w:rsidR="008B7332" w:rsidRDefault="00000000">
            <w:r>
              <w:rPr>
                <w:sz w:val="20"/>
                <w:szCs w:val="20"/>
              </w:rPr>
              <w:t>df[‘Date’].dt.month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57596" w14:textId="77777777" w:rsidR="008B7332" w:rsidRDefault="00000000">
            <w:r>
              <w:rPr>
                <w:sz w:val="20"/>
                <w:szCs w:val="20"/>
              </w:rPr>
              <w:t>Monthly seasonal analysis</w:t>
            </w:r>
          </w:p>
        </w:tc>
      </w:tr>
      <w:tr w:rsidR="008B7332" w14:paraId="7D118D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4FD3" w14:textId="77777777" w:rsidR="008B7332" w:rsidRDefault="00000000">
            <w:r>
              <w:rPr>
                <w:sz w:val="20"/>
                <w:szCs w:val="20"/>
              </w:rPr>
              <w:t>Day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39F5" w14:textId="77777777" w:rsidR="008B7332" w:rsidRDefault="00000000">
            <w:r>
              <w:rPr>
                <w:sz w:val="20"/>
                <w:szCs w:val="20"/>
              </w:rPr>
              <w:t>df[‘Date’].dt.day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197D" w14:textId="77777777" w:rsidR="008B7332" w:rsidRDefault="00000000">
            <w:r>
              <w:rPr>
                <w:sz w:val="20"/>
                <w:szCs w:val="20"/>
              </w:rPr>
              <w:t>Daily granularity</w:t>
            </w:r>
          </w:p>
        </w:tc>
      </w:tr>
      <w:tr w:rsidR="008B7332" w14:paraId="5025EF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FC32" w14:textId="77777777" w:rsidR="008B7332" w:rsidRDefault="00000000">
            <w:r>
              <w:rPr>
                <w:sz w:val="20"/>
                <w:szCs w:val="20"/>
              </w:rPr>
              <w:t>7_day_rolling_avg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E0DB" w14:textId="77777777" w:rsidR="008B7332" w:rsidRDefault="00000000">
            <w:r>
              <w:rPr>
                <w:sz w:val="20"/>
                <w:szCs w:val="20"/>
              </w:rPr>
              <w:t>Close.rolling(window=7).mean()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1177" w14:textId="77777777" w:rsidR="008B7332" w:rsidRDefault="00000000">
            <w:r>
              <w:rPr>
                <w:sz w:val="20"/>
                <w:szCs w:val="20"/>
              </w:rPr>
              <w:t>Short-term trend smoothing</w:t>
            </w:r>
          </w:p>
        </w:tc>
      </w:tr>
      <w:tr w:rsidR="008B7332" w14:paraId="2A2BE6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4F2D" w14:textId="77777777" w:rsidR="008B7332" w:rsidRDefault="00000000">
            <w:r>
              <w:rPr>
                <w:sz w:val="20"/>
                <w:szCs w:val="20"/>
              </w:rPr>
              <w:t>30_day_rolling_avg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64E4" w14:textId="77777777" w:rsidR="008B7332" w:rsidRDefault="00000000">
            <w:r>
              <w:rPr>
                <w:sz w:val="20"/>
                <w:szCs w:val="20"/>
              </w:rPr>
              <w:t>Close.rolling(window=30).mean()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35BF" w14:textId="77777777" w:rsidR="008B7332" w:rsidRDefault="00000000">
            <w:r>
              <w:rPr>
                <w:sz w:val="20"/>
                <w:szCs w:val="20"/>
              </w:rPr>
              <w:t>Medium-term trend smoothing</w:t>
            </w:r>
          </w:p>
        </w:tc>
      </w:tr>
      <w:tr w:rsidR="008B7332" w14:paraId="1FC694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A915" w14:textId="77777777" w:rsidR="008B7332" w:rsidRDefault="00000000">
            <w:r>
              <w:rPr>
                <w:sz w:val="20"/>
                <w:szCs w:val="20"/>
              </w:rPr>
              <w:t>Daily_Change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9073" w14:textId="77777777" w:rsidR="008B7332" w:rsidRDefault="00000000">
            <w:r>
              <w:rPr>
                <w:sz w:val="20"/>
                <w:szCs w:val="20"/>
              </w:rPr>
              <w:t>Close.diff()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7581" w14:textId="77777777" w:rsidR="008B7332" w:rsidRDefault="00000000">
            <w:r>
              <w:rPr>
                <w:sz w:val="20"/>
                <w:szCs w:val="20"/>
              </w:rPr>
              <w:t>Absolute daily price movement</w:t>
            </w:r>
          </w:p>
        </w:tc>
      </w:tr>
      <w:tr w:rsidR="008B7332" w14:paraId="59EB78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ACC0" w14:textId="77777777" w:rsidR="008B7332" w:rsidRDefault="00000000">
            <w:r>
              <w:rPr>
                <w:sz w:val="20"/>
                <w:szCs w:val="20"/>
              </w:rPr>
              <w:t>Daily_Percentage_Change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12AD" w14:textId="77777777" w:rsidR="008B7332" w:rsidRDefault="00000000">
            <w:r>
              <w:rPr>
                <w:sz w:val="20"/>
                <w:szCs w:val="20"/>
              </w:rPr>
              <w:t>Close.pct_change() × 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30EB" w14:textId="77777777" w:rsidR="008B7332" w:rsidRDefault="00000000">
            <w:r>
              <w:rPr>
                <w:sz w:val="20"/>
                <w:szCs w:val="20"/>
              </w:rPr>
              <w:t>Relative daily return</w:t>
            </w:r>
          </w:p>
        </w:tc>
      </w:tr>
      <w:tr w:rsidR="008B7332" w14:paraId="14D317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756C" w14:textId="77777777" w:rsidR="008B7332" w:rsidRDefault="00000000">
            <w:r>
              <w:rPr>
                <w:sz w:val="20"/>
                <w:szCs w:val="20"/>
              </w:rPr>
              <w:t>Daily_Volatility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7910" w14:textId="77777777" w:rsidR="008B7332" w:rsidRDefault="00000000">
            <w:r>
              <w:rPr>
                <w:sz w:val="20"/>
                <w:szCs w:val="20"/>
              </w:rPr>
              <w:t>Daily_Pct_Change.rolling(30).std()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49EF" w14:textId="77777777" w:rsidR="008B7332" w:rsidRDefault="00000000">
            <w:r>
              <w:rPr>
                <w:sz w:val="20"/>
                <w:szCs w:val="20"/>
              </w:rPr>
              <w:t>30-day rolling risk measure</w:t>
            </w:r>
          </w:p>
        </w:tc>
      </w:tr>
      <w:tr w:rsidR="008B7332" w14:paraId="037D9C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A7F3" w14:textId="77777777" w:rsidR="008B7332" w:rsidRDefault="00000000">
            <w:r>
              <w:rPr>
                <w:sz w:val="20"/>
                <w:szCs w:val="20"/>
              </w:rPr>
              <w:t>Monthly_Return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B473" w14:textId="77777777" w:rsidR="008B7332" w:rsidRDefault="00000000">
            <w:r>
              <w:rPr>
                <w:sz w:val="20"/>
                <w:szCs w:val="20"/>
              </w:rPr>
              <w:t>Monthly Close.pct_change() × 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68D5" w14:textId="77777777" w:rsidR="008B7332" w:rsidRDefault="00000000">
            <w:r>
              <w:rPr>
                <w:sz w:val="20"/>
                <w:szCs w:val="20"/>
              </w:rPr>
              <w:t>Month-over-month performance</w:t>
            </w:r>
          </w:p>
        </w:tc>
      </w:tr>
    </w:tbl>
    <w:p w14:paraId="04EB4489" w14:textId="77777777" w:rsidR="008B7332" w:rsidRDefault="008B7332">
      <w:pPr>
        <w:spacing w:before="80"/>
      </w:pPr>
    </w:p>
    <w:p w14:paraId="50B0EC8C" w14:textId="77777777" w:rsidR="008B7332" w:rsidRDefault="00000000">
      <w:pPr>
        <w:pStyle w:val="Heading1"/>
        <w:pBdr>
          <w:bottom w:val="single" w:sz="6" w:space="1" w:color="2E75B6"/>
        </w:pBdr>
      </w:pPr>
      <w:r>
        <w:t>5. Key Insights from the Analysis</w:t>
      </w:r>
    </w:p>
    <w:p w14:paraId="2E6F9A37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AAPL demonstrated strong long-term price appreciation over the five-year window, reinforcing its position as a large-cap growth stock.</w:t>
      </w:r>
    </w:p>
    <w:p w14:paraId="0A7C0447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The 30-day rolling average proved to be a reliable trend indicator. Periods where the close price traded consistently above this line signalled bullish momentum, while crosses below often preceded short-term pullbacks.</w:t>
      </w:r>
    </w:p>
    <w:p w14:paraId="52BCD888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The monthly return distribution was approximately normal but with notable negative outliers in 2022, corresponding to the technology sector-wide drawdown. This distribution pattern is consistent with equity market return behaviour.</w:t>
      </w:r>
    </w:p>
    <w:p w14:paraId="31CBB0D9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The 30-day rolling volatility chart revealed that volatility is not constant — it clusters, rises sharply in periods of uncertainty, and subsides during trending markets. Peak volatility in 2022 aligned with macroeconomic headwinds.</w:t>
      </w:r>
    </w:p>
    <w:p w14:paraId="6E4C4DB2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Monthly average close price analysis showed that Q4 months (October–December) tend to record higher average prices, likely influenced by holiday consumer sentiment and year-end portfolio rebalancing.</w:t>
      </w:r>
    </w:p>
    <w:p w14:paraId="004D8FD7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Daily percentage changes were predominantly within the ±2% range, with extreme moves concentrated around specific corporate and macro events.</w:t>
      </w:r>
    </w:p>
    <w:p w14:paraId="3A93ED6B" w14:textId="77777777" w:rsidR="008B7332" w:rsidRDefault="00000000">
      <w:pPr>
        <w:pStyle w:val="Heading1"/>
        <w:pBdr>
          <w:bottom w:val="single" w:sz="6" w:space="1" w:color="2E75B6"/>
        </w:pBdr>
      </w:pPr>
      <w:r>
        <w:lastRenderedPageBreak/>
        <w:t>6. Recommendations</w:t>
      </w:r>
    </w:p>
    <w:p w14:paraId="5807F232" w14:textId="77777777" w:rsidR="008B7332" w:rsidRDefault="00000000">
      <w:pPr>
        <w:pStyle w:val="Heading2"/>
      </w:pPr>
      <w:r>
        <w:t>For Investors &amp; Analysts</w:t>
      </w:r>
    </w:p>
    <w:p w14:paraId="43E3459A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Incorporate rolling averages (7-day and 30-day) as part of a trend-following strategy. Crossovers between short- and long-term rolling averages can serve as entry/exit signals.</w:t>
      </w:r>
    </w:p>
    <w:p w14:paraId="00F1EBD5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Use 30-day rolling volatility as a risk management input — widening volatility regimes may warrant reduced position sizing or protective hedging.</w:t>
      </w:r>
    </w:p>
    <w:p w14:paraId="5BF0F769" w14:textId="77777777" w:rsidR="008B7332" w:rsidRDefault="00000000">
      <w:pPr>
        <w:pStyle w:val="ListParagraph"/>
        <w:numPr>
          <w:ilvl w:val="0"/>
          <w:numId w:val="2"/>
        </w:numPr>
        <w:spacing w:before="40" w:after="40"/>
      </w:pPr>
      <w:r>
        <w:t>Seasonal trends suggest heightened attention to Q4 periods where price momentum has historically been stronger for AAPL.</w:t>
      </w:r>
    </w:p>
    <w:p w14:paraId="51657AAB" w14:textId="77777777" w:rsidR="008B7332" w:rsidRDefault="00000000">
      <w:pPr>
        <w:pBdr>
          <w:top w:val="single" w:sz="4" w:space="4" w:color="CCCCCC"/>
        </w:pBdr>
        <w:spacing w:before="120"/>
        <w:jc w:val="center"/>
      </w:pPr>
      <w:r>
        <w:rPr>
          <w:i/>
          <w:iCs/>
          <w:color w:val="7F7F7F"/>
          <w:sz w:val="18"/>
          <w:szCs w:val="18"/>
        </w:rPr>
        <w:t>Prepared by: Gift  |  AnalystLab Africa Internship Programme  |  Week 6</w:t>
      </w:r>
    </w:p>
    <w:sectPr w:rsidR="008B733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6B85"/>
    <w:multiLevelType w:val="hybridMultilevel"/>
    <w:tmpl w:val="4CDAD6C6"/>
    <w:lvl w:ilvl="0" w:tplc="E63E6B60">
      <w:start w:val="1"/>
      <w:numFmt w:val="bullet"/>
      <w:lvlText w:val="●"/>
      <w:lvlJc w:val="left"/>
      <w:pPr>
        <w:ind w:left="720" w:hanging="360"/>
      </w:pPr>
    </w:lvl>
    <w:lvl w:ilvl="1" w:tplc="A8763A26">
      <w:start w:val="1"/>
      <w:numFmt w:val="bullet"/>
      <w:lvlText w:val="○"/>
      <w:lvlJc w:val="left"/>
      <w:pPr>
        <w:ind w:left="1440" w:hanging="360"/>
      </w:pPr>
    </w:lvl>
    <w:lvl w:ilvl="2" w:tplc="14BCCECA">
      <w:start w:val="1"/>
      <w:numFmt w:val="bullet"/>
      <w:lvlText w:val="■"/>
      <w:lvlJc w:val="left"/>
      <w:pPr>
        <w:ind w:left="2160" w:hanging="360"/>
      </w:pPr>
    </w:lvl>
    <w:lvl w:ilvl="3" w:tplc="BBD44628">
      <w:start w:val="1"/>
      <w:numFmt w:val="bullet"/>
      <w:lvlText w:val="●"/>
      <w:lvlJc w:val="left"/>
      <w:pPr>
        <w:ind w:left="2880" w:hanging="360"/>
      </w:pPr>
    </w:lvl>
    <w:lvl w:ilvl="4" w:tplc="DF8CA0A4">
      <w:start w:val="1"/>
      <w:numFmt w:val="bullet"/>
      <w:lvlText w:val="○"/>
      <w:lvlJc w:val="left"/>
      <w:pPr>
        <w:ind w:left="3600" w:hanging="360"/>
      </w:pPr>
    </w:lvl>
    <w:lvl w:ilvl="5" w:tplc="298C4DFC">
      <w:start w:val="1"/>
      <w:numFmt w:val="bullet"/>
      <w:lvlText w:val="■"/>
      <w:lvlJc w:val="left"/>
      <w:pPr>
        <w:ind w:left="4320" w:hanging="360"/>
      </w:pPr>
    </w:lvl>
    <w:lvl w:ilvl="6" w:tplc="0CCC4D6C">
      <w:start w:val="1"/>
      <w:numFmt w:val="bullet"/>
      <w:lvlText w:val="●"/>
      <w:lvlJc w:val="left"/>
      <w:pPr>
        <w:ind w:left="5040" w:hanging="360"/>
      </w:pPr>
    </w:lvl>
    <w:lvl w:ilvl="7" w:tplc="86F2972C">
      <w:start w:val="1"/>
      <w:numFmt w:val="bullet"/>
      <w:lvlText w:val="●"/>
      <w:lvlJc w:val="left"/>
      <w:pPr>
        <w:ind w:left="5760" w:hanging="360"/>
      </w:pPr>
    </w:lvl>
    <w:lvl w:ilvl="8" w:tplc="ED406C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E015A3"/>
    <w:multiLevelType w:val="hybridMultilevel"/>
    <w:tmpl w:val="9CCCBEF4"/>
    <w:lvl w:ilvl="0" w:tplc="3F6EB67C">
      <w:start w:val="1"/>
      <w:numFmt w:val="bullet"/>
      <w:lvlText w:val="•"/>
      <w:lvlJc w:val="left"/>
      <w:pPr>
        <w:ind w:left="720" w:hanging="360"/>
      </w:pPr>
    </w:lvl>
    <w:lvl w:ilvl="1" w:tplc="2C40198C">
      <w:numFmt w:val="decimal"/>
      <w:lvlText w:val=""/>
      <w:lvlJc w:val="left"/>
    </w:lvl>
    <w:lvl w:ilvl="2" w:tplc="74C2A3AC">
      <w:numFmt w:val="decimal"/>
      <w:lvlText w:val=""/>
      <w:lvlJc w:val="left"/>
    </w:lvl>
    <w:lvl w:ilvl="3" w:tplc="6FEC232E">
      <w:numFmt w:val="decimal"/>
      <w:lvlText w:val=""/>
      <w:lvlJc w:val="left"/>
    </w:lvl>
    <w:lvl w:ilvl="4" w:tplc="E668D1AE">
      <w:numFmt w:val="decimal"/>
      <w:lvlText w:val=""/>
      <w:lvlJc w:val="left"/>
    </w:lvl>
    <w:lvl w:ilvl="5" w:tplc="C1E022BA">
      <w:numFmt w:val="decimal"/>
      <w:lvlText w:val=""/>
      <w:lvlJc w:val="left"/>
    </w:lvl>
    <w:lvl w:ilvl="6" w:tplc="8550E59C">
      <w:numFmt w:val="decimal"/>
      <w:lvlText w:val=""/>
      <w:lvlJc w:val="left"/>
    </w:lvl>
    <w:lvl w:ilvl="7" w:tplc="343AEE58">
      <w:numFmt w:val="decimal"/>
      <w:lvlText w:val=""/>
      <w:lvlJc w:val="left"/>
    </w:lvl>
    <w:lvl w:ilvl="8" w:tplc="402C689C">
      <w:numFmt w:val="decimal"/>
      <w:lvlText w:val=""/>
      <w:lvlJc w:val="left"/>
    </w:lvl>
  </w:abstractNum>
  <w:num w:numId="1" w16cid:durableId="668404614">
    <w:abstractNumId w:val="0"/>
    <w:lvlOverride w:ilvl="0">
      <w:startOverride w:val="1"/>
    </w:lvlOverride>
  </w:num>
  <w:num w:numId="2" w16cid:durableId="17173114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332"/>
    <w:rsid w:val="00771B08"/>
    <w:rsid w:val="007D359E"/>
    <w:rsid w:val="008B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9C8A9"/>
  <w15:docId w15:val="{01B56027-7D2F-40F9-90FE-F115FC7E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Gift Onyia</cp:lastModifiedBy>
  <cp:revision>2</cp:revision>
  <dcterms:created xsi:type="dcterms:W3CDTF">2026-06-09T19:24:00Z</dcterms:created>
  <dcterms:modified xsi:type="dcterms:W3CDTF">2026-06-13T08:36:00Z</dcterms:modified>
</cp:coreProperties>
</file>