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883C8">
      <w:pPr>
        <w:jc w:val="center"/>
        <w:rPr>
          <w:rFonts w:hint="default" w:ascii="Calibri" w:hAnsi="Calibri" w:cs="Calibri" w:eastAsiaTheme="minorEastAsia"/>
          <w:b/>
          <w:bCs/>
          <w:sz w:val="24"/>
          <w:szCs w:val="24"/>
          <w:u w:val="single"/>
          <w:lang w:val="en-US"/>
        </w:rPr>
      </w:pPr>
      <w:r>
        <w:rPr>
          <w:rFonts w:hint="default" w:ascii="Calibri" w:hAnsi="Calibri" w:cs="Calibri" w:eastAsiaTheme="minorEastAsia"/>
          <w:b/>
          <w:bCs/>
          <w:sz w:val="24"/>
          <w:szCs w:val="24"/>
          <w:u w:val="single"/>
          <w:lang w:val="en-US"/>
        </w:rPr>
        <w:t>Churn Analysis Report</w:t>
      </w:r>
    </w:p>
    <w:p w14:paraId="5EA6B135">
      <w:pPr>
        <w:rPr>
          <w:rFonts w:hint="default" w:ascii="Calibri" w:hAnsi="Calibri" w:cs="Calibri" w:eastAsiaTheme="minorEastAsia"/>
          <w:sz w:val="22"/>
          <w:szCs w:val="22"/>
        </w:rPr>
      </w:pPr>
    </w:p>
    <w:p w14:paraId="2F8F8E6A">
      <w:pPr>
        <w:rPr>
          <w:rFonts w:hint="default" w:ascii="Calibri" w:hAnsi="Calibri" w:cs="Calibri" w:eastAsiaTheme="minorEastAsia"/>
          <w:b/>
          <w:bCs/>
          <w:sz w:val="22"/>
          <w:szCs w:val="22"/>
        </w:rPr>
      </w:pPr>
      <w:r>
        <w:rPr>
          <w:rFonts w:hint="default" w:ascii="Calibri" w:hAnsi="Calibri" w:cs="Calibri" w:eastAsiaTheme="minorEastAsia"/>
          <w:b/>
          <w:bCs/>
          <w:sz w:val="22"/>
          <w:szCs w:val="22"/>
        </w:rPr>
        <w:t>Executive Summary</w:t>
      </w:r>
    </w:p>
    <w:p w14:paraId="3AC8DB76">
      <w:pPr>
        <w:rPr>
          <w:rFonts w:hint="default" w:ascii="Calibri" w:hAnsi="Calibri" w:cs="Calibri" w:eastAsiaTheme="minorEastAsia"/>
          <w:sz w:val="22"/>
          <w:szCs w:val="22"/>
        </w:rPr>
      </w:pPr>
    </w:p>
    <w:p w14:paraId="43398E62">
      <w:pPr>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This analysis explored churn patterns among 300 subscription customers across 16 regions. The goal was to identify customer segments with the highest churn and determine factors influencing retention. Insights from the analysis can help management optimize customer engagement, improve service satisfaction, and increase long-term revenue.</w:t>
      </w:r>
    </w:p>
    <w:p w14:paraId="1D17033F">
      <w:pPr>
        <w:rPr>
          <w:rFonts w:hint="default" w:ascii="Calibri" w:hAnsi="Calibri" w:cs="Calibri" w:eastAsiaTheme="minorEastAsia"/>
          <w:sz w:val="22"/>
          <w:szCs w:val="22"/>
          <w:lang w:val="en-US"/>
        </w:rPr>
      </w:pPr>
    </w:p>
    <w:p w14:paraId="2B74CC08">
      <w:pPr>
        <w:rPr>
          <w:rFonts w:hint="default" w:ascii="Calibri" w:hAnsi="Calibri" w:cs="Calibri" w:eastAsiaTheme="minorEastAsia"/>
          <w:sz w:val="22"/>
          <w:szCs w:val="22"/>
          <w:lang w:val="en-US"/>
        </w:rPr>
      </w:pPr>
    </w:p>
    <w:p w14:paraId="3B48742F">
      <w:pPr>
        <w:rPr>
          <w:rFonts w:hint="default" w:ascii="Calibri" w:hAnsi="Calibri" w:cs="Calibri" w:eastAsiaTheme="minorEastAsia"/>
          <w:sz w:val="22"/>
          <w:szCs w:val="22"/>
          <w:lang w:val="en-US"/>
        </w:rPr>
      </w:pPr>
      <w:r>
        <w:rPr>
          <w:rFonts w:hint="default" w:ascii="Calibri" w:hAnsi="Calibri" w:cs="Calibri" w:eastAsiaTheme="minorEastAsia"/>
          <w:b/>
          <w:bCs/>
          <w:sz w:val="22"/>
          <w:szCs w:val="22"/>
          <w:lang w:val="en-US"/>
        </w:rPr>
        <w:t>Data Overview</w:t>
      </w:r>
    </w:p>
    <w:p w14:paraId="47DF1949">
      <w:pPr>
        <w:rPr>
          <w:rFonts w:hint="default" w:ascii="Calibri" w:hAnsi="Calibri" w:cs="Calibri" w:eastAsiaTheme="minorEastAsia"/>
          <w:sz w:val="22"/>
          <w:szCs w:val="22"/>
          <w:lang w:val="en-US"/>
        </w:rPr>
      </w:pPr>
    </w:p>
    <w:p w14:paraId="0E3E5A76">
      <w:pPr>
        <w:rPr>
          <w:rFonts w:hint="default" w:ascii="Calibri" w:hAnsi="Calibri" w:cs="Calibri" w:eastAsiaTheme="minorEastAsia"/>
          <w:sz w:val="22"/>
          <w:szCs w:val="22"/>
          <w:lang w:val="en-US"/>
        </w:rPr>
      </w:pPr>
    </w:p>
    <w:p w14:paraId="3D2C051C">
      <w:pPr>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The dataset contained 300 customer subscription records, including demographics (region, gender), subscription plans, payment status, usage hours, and churn status. Data cleaning and transformation were performed in Excel using Pivot Tables, COUNTIFS, and IF functions.</w:t>
      </w:r>
    </w:p>
    <w:p w14:paraId="1E27012D">
      <w:pPr>
        <w:rPr>
          <w:rFonts w:hint="default" w:ascii="Calibri" w:hAnsi="Calibri" w:cs="Calibri" w:eastAsiaTheme="minorEastAsia"/>
          <w:sz w:val="22"/>
          <w:szCs w:val="22"/>
          <w:lang w:val="en-US"/>
        </w:rPr>
      </w:pPr>
    </w:p>
    <w:p w14:paraId="1A8B979F">
      <w:pPr>
        <w:rPr>
          <w:rFonts w:hint="default" w:ascii="Calibri" w:hAnsi="Calibri" w:cs="Calibri" w:eastAsiaTheme="minorEastAsia"/>
          <w:sz w:val="22"/>
          <w:szCs w:val="22"/>
          <w:lang w:val="en-US"/>
        </w:rPr>
      </w:pPr>
    </w:p>
    <w:p w14:paraId="7C479B1A">
      <w:pPr>
        <w:rPr>
          <w:rFonts w:hint="default" w:ascii="Calibri" w:hAnsi="Calibri" w:cs="Calibri" w:eastAsiaTheme="minorEastAsia"/>
          <w:sz w:val="22"/>
          <w:szCs w:val="22"/>
          <w:lang w:val="en-US"/>
        </w:rPr>
      </w:pPr>
    </w:p>
    <w:p w14:paraId="14454FDE">
      <w:pPr>
        <w:numPr>
          <w:ilvl w:val="0"/>
          <w:numId w:val="1"/>
        </w:numPr>
        <w:rPr>
          <w:rFonts w:hint="default" w:ascii="Calibri" w:hAnsi="Calibri" w:cs="Calibri" w:eastAsiaTheme="minorEastAsia"/>
          <w:b/>
          <w:bCs/>
          <w:sz w:val="22"/>
          <w:szCs w:val="22"/>
          <w:lang w:val="en-US"/>
        </w:rPr>
      </w:pPr>
      <w:r>
        <w:rPr>
          <w:rFonts w:hint="default" w:ascii="Calibri" w:hAnsi="Calibri" w:cs="Calibri" w:eastAsiaTheme="minorEastAsia"/>
          <w:b/>
          <w:bCs/>
          <w:sz w:val="22"/>
          <w:szCs w:val="22"/>
          <w:lang w:val="en-US"/>
        </w:rPr>
        <w:t xml:space="preserve"> CHURN RATE:</w:t>
      </w:r>
    </w:p>
    <w:p w14:paraId="088D0CFC">
      <w:pPr>
        <w:numPr>
          <w:ilvl w:val="0"/>
          <w:numId w:val="0"/>
        </w:numPr>
        <w:rPr>
          <w:rFonts w:hint="default" w:ascii="Calibri" w:hAnsi="Calibri" w:cs="Calibri" w:eastAsiaTheme="minorEastAsia"/>
          <w:sz w:val="22"/>
          <w:szCs w:val="22"/>
          <w:lang w:val="en-US"/>
        </w:rPr>
      </w:pPr>
    </w:p>
    <w:p w14:paraId="3AFA89D3">
      <w:pPr>
        <w:numPr>
          <w:ilvl w:val="0"/>
          <w:numId w:val="0"/>
        </w:numPr>
        <w:rPr>
          <w:rFonts w:hint="default" w:ascii="Calibri" w:hAnsi="Calibri" w:cs="Calibri" w:eastAsiaTheme="minorEastAsia"/>
          <w:sz w:val="22"/>
          <w:szCs w:val="22"/>
        </w:rPr>
      </w:pPr>
      <w:r>
        <w:rPr>
          <w:rFonts w:hint="default" w:ascii="Calibri" w:hAnsi="Calibri" w:cs="Calibri" w:eastAsiaTheme="minorEastAsia"/>
          <w:sz w:val="22"/>
          <w:szCs w:val="22"/>
        </w:rPr>
        <w:drawing>
          <wp:inline distT="0" distB="0" distL="114300" distR="114300">
            <wp:extent cx="4826000" cy="2743200"/>
            <wp:effectExtent l="4445" t="4445" r="15875" b="10795"/>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5F35DF04">
      <w:pPr>
        <w:numPr>
          <w:ilvl w:val="0"/>
          <w:numId w:val="0"/>
        </w:numPr>
        <w:rPr>
          <w:rFonts w:hint="default" w:ascii="Calibri" w:hAnsi="Calibri" w:cs="Calibri" w:eastAsiaTheme="minorEastAsia"/>
          <w:sz w:val="22"/>
          <w:szCs w:val="22"/>
        </w:rPr>
      </w:pPr>
    </w:p>
    <w:p w14:paraId="6D9A86B4">
      <w:pPr>
        <w:numPr>
          <w:ilvl w:val="0"/>
          <w:numId w:val="0"/>
        </w:numPr>
        <w:ind w:leftChars="0"/>
        <w:rPr>
          <w:rFonts w:hint="default" w:ascii="Calibri" w:hAnsi="Calibri" w:cs="Calibri" w:eastAsiaTheme="minorEastAsia"/>
          <w:b/>
          <w:bCs/>
          <w:sz w:val="22"/>
          <w:szCs w:val="22"/>
          <w:lang w:val="en-US"/>
        </w:rPr>
      </w:pPr>
      <w:r>
        <w:rPr>
          <w:rFonts w:hint="default" w:ascii="Calibri" w:hAnsi="Calibri" w:cs="Calibri" w:eastAsiaTheme="minorEastAsia"/>
          <w:b/>
          <w:bCs/>
          <w:color w:val="FF0000"/>
          <w:sz w:val="22"/>
          <w:szCs w:val="22"/>
          <w:lang w:val="en-US"/>
        </w:rPr>
        <w:t>Observation</w:t>
      </w:r>
      <w:r>
        <w:rPr>
          <w:rFonts w:hint="default" w:ascii="Calibri" w:hAnsi="Calibri" w:cs="Calibri" w:eastAsiaTheme="minorEastAsia"/>
          <w:b/>
          <w:bCs/>
          <w:sz w:val="22"/>
          <w:szCs w:val="22"/>
          <w:lang w:val="en-US"/>
        </w:rPr>
        <w:t>:</w:t>
      </w:r>
    </w:p>
    <w:p w14:paraId="728B6C7D">
      <w:pPr>
        <w:numPr>
          <w:ilvl w:val="0"/>
          <w:numId w:val="0"/>
        </w:numPr>
        <w:ind w:leftChars="0"/>
      </w:pPr>
      <w:r>
        <w:t>Out of 300 customers, 1</w:t>
      </w:r>
      <w:r>
        <w:rPr>
          <w:rFonts w:hint="default"/>
          <w:lang w:val="en-US"/>
        </w:rPr>
        <w:t>39</w:t>
      </w:r>
      <w:r>
        <w:t xml:space="preserve"> (54%) have churned — indicating that more than half of the company’s users have stopped using the service.</w:t>
      </w:r>
    </w:p>
    <w:p w14:paraId="52FC4A91">
      <w:pPr>
        <w:numPr>
          <w:ilvl w:val="0"/>
          <w:numId w:val="0"/>
        </w:numPr>
        <w:ind w:leftChars="0"/>
        <w:rPr>
          <w:rFonts w:hint="default" w:ascii="Calibri" w:hAnsi="Calibri" w:cs="Calibri" w:eastAsiaTheme="minorEastAsia"/>
          <w:sz w:val="22"/>
          <w:szCs w:val="22"/>
          <w:lang w:val="en-US"/>
        </w:rPr>
      </w:pPr>
    </w:p>
    <w:p w14:paraId="023BAEFD">
      <w:pPr>
        <w:numPr>
          <w:ilvl w:val="0"/>
          <w:numId w:val="0"/>
        </w:numPr>
        <w:ind w:leftChars="0"/>
        <w:rPr>
          <w:rFonts w:hint="default" w:ascii="Calibri" w:hAnsi="Calibri" w:cs="Calibri" w:eastAsiaTheme="minorEastAsia"/>
          <w:b/>
          <w:bCs/>
          <w:color w:val="FF0000"/>
          <w:sz w:val="22"/>
          <w:szCs w:val="22"/>
          <w:lang w:val="en-US"/>
        </w:rPr>
      </w:pPr>
      <w:r>
        <w:rPr>
          <w:rFonts w:hint="default" w:ascii="Calibri" w:hAnsi="Calibri" w:cs="Calibri" w:eastAsiaTheme="minorEastAsia"/>
          <w:b/>
          <w:bCs/>
          <w:color w:val="FF0000"/>
          <w:sz w:val="22"/>
          <w:szCs w:val="22"/>
          <w:lang w:val="en-US"/>
        </w:rPr>
        <w:t>Interpretation:</w:t>
      </w:r>
    </w:p>
    <w:p w14:paraId="0FAA336C">
      <w:pPr>
        <w:numPr>
          <w:ilvl w:val="0"/>
          <w:numId w:val="0"/>
        </w:numPr>
        <w:ind w:leftChars="0"/>
      </w:pPr>
      <w:r>
        <w:t xml:space="preserve">A churn rate </w:t>
      </w:r>
      <w:r>
        <w:rPr>
          <w:rFonts w:hint="default"/>
          <w:lang w:val="en-US"/>
        </w:rPr>
        <w:t>close to</w:t>
      </w:r>
      <w:r>
        <w:t xml:space="preserve"> 50% is a strong signal of dissatisfaction or poor retention strategy. This could mean that customers are not finding enough value in the service or are switching to competitors.</w:t>
      </w:r>
    </w:p>
    <w:p w14:paraId="463B9C80">
      <w:pPr>
        <w:numPr>
          <w:ilvl w:val="0"/>
          <w:numId w:val="0"/>
        </w:numPr>
        <w:ind w:leftChars="0"/>
        <w:rPr>
          <w:rFonts w:hint="default" w:ascii="Calibri" w:hAnsi="Calibri" w:cs="Calibri" w:eastAsiaTheme="minorEastAsia"/>
          <w:sz w:val="22"/>
          <w:szCs w:val="22"/>
          <w:lang w:val="en-US"/>
        </w:rPr>
      </w:pPr>
    </w:p>
    <w:p w14:paraId="16DC7DB4">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b/>
          <w:bCs/>
          <w:color w:val="FF0000"/>
          <w:sz w:val="22"/>
          <w:szCs w:val="22"/>
          <w:lang w:val="en-US"/>
        </w:rPr>
        <w:t>Recommendation</w:t>
      </w:r>
      <w:r>
        <w:rPr>
          <w:rFonts w:hint="default" w:ascii="Calibri" w:hAnsi="Calibri" w:cs="Calibri" w:eastAsiaTheme="minorEastAsia"/>
          <w:b/>
          <w:bCs/>
          <w:sz w:val="22"/>
          <w:szCs w:val="22"/>
          <w:lang w:val="en-US"/>
        </w:rPr>
        <w:t>:</w:t>
      </w:r>
    </w:p>
    <w:p w14:paraId="2038CBBA">
      <w:pPr>
        <w:numPr>
          <w:ilvl w:val="0"/>
          <w:numId w:val="0"/>
        </w:numPr>
        <w:rPr>
          <w:rFonts w:hint="default" w:ascii="Calibri" w:hAnsi="Calibri" w:cs="Calibri" w:eastAsiaTheme="minorEastAsia"/>
          <w:sz w:val="22"/>
          <w:szCs w:val="22"/>
          <w:lang w:val="en-US"/>
        </w:rPr>
      </w:pPr>
      <w:r>
        <w:rPr>
          <w:rFonts w:hint="default" w:ascii="Calibri" w:hAnsi="Calibri" w:eastAsia="SimSun" w:cs="Calibri"/>
          <w:sz w:val="20"/>
          <w:szCs w:val="20"/>
        </w:rPr>
        <w:t>Management should review feedback channels, run satisfaction surveys, and introduce loyalty incentives to re-engage user</w:t>
      </w:r>
      <w:r>
        <w:rPr>
          <w:rFonts w:hint="default" w:ascii="Calibri" w:hAnsi="Calibri" w:eastAsia="SimSun" w:cs="Calibri"/>
          <w:sz w:val="24"/>
          <w:szCs w:val="24"/>
        </w:rPr>
        <w:t>s</w:t>
      </w:r>
    </w:p>
    <w:p w14:paraId="14A9F4CA">
      <w:pPr>
        <w:numPr>
          <w:ilvl w:val="0"/>
          <w:numId w:val="0"/>
        </w:numPr>
        <w:rPr>
          <w:rFonts w:hint="default" w:ascii="Calibri" w:hAnsi="Calibri" w:cs="Calibri" w:eastAsiaTheme="minorEastAsia"/>
          <w:sz w:val="22"/>
          <w:szCs w:val="22"/>
        </w:rPr>
      </w:pPr>
    </w:p>
    <w:p w14:paraId="2F84AE7A">
      <w:pPr>
        <w:numPr>
          <w:ilvl w:val="0"/>
          <w:numId w:val="0"/>
        </w:numPr>
        <w:ind w:leftChars="0"/>
        <w:rPr>
          <w:rFonts w:hint="default" w:ascii="Calibri" w:hAnsi="Calibri" w:cs="Calibri" w:eastAsiaTheme="minorEastAsia"/>
          <w:sz w:val="22"/>
          <w:szCs w:val="22"/>
          <w:lang w:val="en-US"/>
        </w:rPr>
      </w:pPr>
    </w:p>
    <w:p w14:paraId="7AE3AA21">
      <w:pPr>
        <w:numPr>
          <w:ilvl w:val="0"/>
          <w:numId w:val="0"/>
        </w:numPr>
        <w:ind w:leftChars="0"/>
        <w:rPr>
          <w:rFonts w:hint="default" w:ascii="Calibri" w:hAnsi="Calibri" w:cs="Calibri" w:eastAsiaTheme="minorEastAsia"/>
          <w:sz w:val="22"/>
          <w:szCs w:val="22"/>
          <w:lang w:val="en-US"/>
        </w:rPr>
      </w:pPr>
    </w:p>
    <w:p w14:paraId="427FD38E">
      <w:pPr>
        <w:numPr>
          <w:ilvl w:val="0"/>
          <w:numId w:val="0"/>
        </w:numPr>
        <w:ind w:leftChars="0"/>
        <w:rPr>
          <w:rFonts w:hint="default" w:ascii="Calibri" w:hAnsi="Calibri" w:cs="Calibri" w:eastAsiaTheme="minorEastAsia"/>
          <w:sz w:val="22"/>
          <w:szCs w:val="22"/>
          <w:lang w:val="en-US"/>
        </w:rPr>
      </w:pPr>
    </w:p>
    <w:p w14:paraId="48F5426F">
      <w:pPr>
        <w:numPr>
          <w:ilvl w:val="0"/>
          <w:numId w:val="0"/>
        </w:numPr>
        <w:ind w:leftChars="0"/>
        <w:rPr>
          <w:rFonts w:hint="default" w:ascii="Calibri" w:hAnsi="Calibri" w:cs="Calibri" w:eastAsiaTheme="minorEastAsia"/>
          <w:b/>
          <w:bCs/>
          <w:sz w:val="22"/>
          <w:szCs w:val="22"/>
          <w:lang w:val="en-US"/>
        </w:rPr>
      </w:pPr>
      <w:r>
        <w:rPr>
          <w:rFonts w:hint="default" w:ascii="Calibri" w:hAnsi="Calibri" w:cs="Calibri"/>
          <w:b/>
          <w:bCs/>
          <w:sz w:val="22"/>
          <w:szCs w:val="22"/>
          <w:lang w:val="en-US"/>
        </w:rPr>
        <w:t>2.</w:t>
      </w:r>
      <w:r>
        <w:rPr>
          <w:rFonts w:hint="default" w:ascii="Calibri" w:hAnsi="Calibri" w:cs="Calibri" w:eastAsiaTheme="minorEastAsia"/>
          <w:b/>
          <w:bCs/>
          <w:sz w:val="22"/>
          <w:szCs w:val="22"/>
          <w:lang w:val="en-US"/>
        </w:rPr>
        <w:t xml:space="preserve"> CHURN BY SUBSCRIPTION PLAN:</w:t>
      </w:r>
    </w:p>
    <w:p w14:paraId="4DB748F8">
      <w:pPr>
        <w:numPr>
          <w:ilvl w:val="0"/>
          <w:numId w:val="0"/>
        </w:numPr>
        <w:ind w:leftChars="0"/>
        <w:rPr>
          <w:rFonts w:hint="default" w:ascii="Calibri" w:hAnsi="Calibri" w:cs="Calibri" w:eastAsiaTheme="minorEastAsia"/>
          <w:sz w:val="22"/>
          <w:szCs w:val="22"/>
          <w:lang w:val="en-US"/>
        </w:rPr>
      </w:pPr>
    </w:p>
    <w:p w14:paraId="77818F99">
      <w:pPr>
        <w:numPr>
          <w:ilvl w:val="0"/>
          <w:numId w:val="0"/>
        </w:numPr>
        <w:ind w:leftChars="0"/>
        <w:rPr>
          <w:rFonts w:hint="default" w:ascii="Calibri" w:hAnsi="Calibri" w:cs="Calibri" w:eastAsiaTheme="minorEastAsia"/>
          <w:sz w:val="22"/>
          <w:szCs w:val="22"/>
        </w:rPr>
      </w:pPr>
      <w:r>
        <w:drawing>
          <wp:inline distT="0" distB="0" distL="114300" distR="114300">
            <wp:extent cx="4826000" cy="2743200"/>
            <wp:effectExtent l="4445" t="4445" r="15875" b="10795"/>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7D873AA">
      <w:pPr>
        <w:numPr>
          <w:ilvl w:val="0"/>
          <w:numId w:val="0"/>
        </w:numPr>
        <w:ind w:leftChars="0"/>
        <w:rPr>
          <w:rFonts w:hint="default" w:ascii="Calibri" w:hAnsi="Calibri" w:cs="Calibri" w:eastAsiaTheme="minorEastAsia"/>
          <w:sz w:val="22"/>
          <w:szCs w:val="22"/>
        </w:rPr>
      </w:pPr>
    </w:p>
    <w:p w14:paraId="3EC76F75">
      <w:pPr>
        <w:numPr>
          <w:ilvl w:val="0"/>
          <w:numId w:val="0"/>
        </w:numPr>
        <w:ind w:leftChars="0"/>
        <w:rPr>
          <w:rFonts w:hint="default" w:ascii="Calibri" w:hAnsi="Calibri" w:cs="Calibri" w:eastAsiaTheme="minorEastAsia"/>
          <w:b/>
          <w:bCs/>
          <w:color w:val="FF0000"/>
          <w:sz w:val="22"/>
          <w:szCs w:val="22"/>
        </w:rPr>
      </w:pPr>
      <w:r>
        <w:rPr>
          <w:rFonts w:hint="default" w:ascii="Calibri" w:hAnsi="Calibri" w:cs="Calibri" w:eastAsiaTheme="minorEastAsia"/>
          <w:b/>
          <w:bCs/>
          <w:color w:val="FF0000"/>
          <w:sz w:val="22"/>
          <w:szCs w:val="22"/>
        </w:rPr>
        <w:t>Observation:</w:t>
      </w:r>
    </w:p>
    <w:p w14:paraId="6F91C03A">
      <w:pPr>
        <w:numPr>
          <w:ilvl w:val="0"/>
          <w:numId w:val="0"/>
        </w:numPr>
        <w:ind w:leftChars="0"/>
        <w:rPr>
          <w:rFonts w:hint="default" w:ascii="Calibri" w:hAnsi="Calibri" w:cs="Calibri" w:eastAsiaTheme="minorEastAsia"/>
          <w:sz w:val="22"/>
          <w:szCs w:val="22"/>
        </w:rPr>
      </w:pPr>
      <w:r>
        <w:rPr>
          <w:rFonts w:hint="default" w:ascii="Calibri" w:hAnsi="Calibri" w:cs="Calibri" w:eastAsiaTheme="minorEastAsia"/>
          <w:sz w:val="22"/>
          <w:szCs w:val="22"/>
        </w:rPr>
        <w:t>The highest churn occurs among Basic plan users, while Premium users show lower churn.</w:t>
      </w:r>
    </w:p>
    <w:p w14:paraId="023EEA39">
      <w:pPr>
        <w:numPr>
          <w:ilvl w:val="0"/>
          <w:numId w:val="0"/>
        </w:numPr>
        <w:ind w:leftChars="0"/>
        <w:rPr>
          <w:rFonts w:hint="default" w:ascii="Calibri" w:hAnsi="Calibri" w:cs="Calibri" w:eastAsiaTheme="minorEastAsia"/>
          <w:sz w:val="22"/>
          <w:szCs w:val="22"/>
        </w:rPr>
      </w:pPr>
      <w:r>
        <w:rPr>
          <w:rFonts w:hint="default" w:ascii="Calibri" w:hAnsi="Calibri" w:cs="Calibri" w:eastAsiaTheme="minorEastAsia"/>
          <w:b/>
          <w:bCs/>
          <w:color w:val="FF0000"/>
          <w:sz w:val="22"/>
          <w:szCs w:val="22"/>
        </w:rPr>
        <w:t>Interpretation:</w:t>
      </w:r>
    </w:p>
    <w:p w14:paraId="4B6B0D00">
      <w:pPr>
        <w:numPr>
          <w:ilvl w:val="0"/>
          <w:numId w:val="0"/>
        </w:numPr>
        <w:ind w:leftChars="0"/>
        <w:rPr>
          <w:rFonts w:hint="default" w:ascii="Calibri" w:hAnsi="Calibri" w:cs="Calibri" w:eastAsiaTheme="minorEastAsia"/>
          <w:sz w:val="22"/>
          <w:szCs w:val="22"/>
        </w:rPr>
      </w:pPr>
      <w:r>
        <w:rPr>
          <w:rFonts w:hint="default" w:ascii="Calibri" w:hAnsi="Calibri" w:cs="Calibri" w:eastAsiaTheme="minorEastAsia"/>
          <w:sz w:val="22"/>
          <w:szCs w:val="22"/>
        </w:rPr>
        <w:t xml:space="preserve">This suggests that low-tier customers may feel </w:t>
      </w:r>
      <w:r>
        <w:rPr>
          <w:rFonts w:hint="default" w:ascii="Calibri" w:hAnsi="Calibri" w:cs="Calibri" w:eastAsiaTheme="minorEastAsia"/>
          <w:sz w:val="22"/>
          <w:szCs w:val="22"/>
          <w:lang w:val="en-US"/>
        </w:rPr>
        <w:t>under-served</w:t>
      </w:r>
      <w:r>
        <w:rPr>
          <w:rFonts w:hint="default" w:ascii="Calibri" w:hAnsi="Calibri" w:cs="Calibri" w:eastAsiaTheme="minorEastAsia"/>
          <w:sz w:val="22"/>
          <w:szCs w:val="22"/>
        </w:rPr>
        <w:t xml:space="preserve"> or find the plan less valuable. Premium customers, possibly receiving more benefits or better service, are more loyal.</w:t>
      </w:r>
    </w:p>
    <w:p w14:paraId="6486A646">
      <w:pPr>
        <w:numPr>
          <w:ilvl w:val="0"/>
          <w:numId w:val="0"/>
        </w:numPr>
        <w:ind w:leftChars="0"/>
        <w:rPr>
          <w:rFonts w:hint="default" w:ascii="Calibri" w:hAnsi="Calibri" w:cs="Calibri" w:eastAsiaTheme="minorEastAsia"/>
          <w:sz w:val="22"/>
          <w:szCs w:val="22"/>
        </w:rPr>
      </w:pPr>
      <w:r>
        <w:rPr>
          <w:rFonts w:hint="default" w:ascii="Calibri" w:hAnsi="Calibri" w:cs="Calibri" w:eastAsiaTheme="minorEastAsia"/>
          <w:b/>
          <w:bCs/>
          <w:color w:val="FF0000"/>
          <w:sz w:val="22"/>
          <w:szCs w:val="22"/>
        </w:rPr>
        <w:t>Recommendation:</w:t>
      </w:r>
    </w:p>
    <w:p w14:paraId="028F2FFB">
      <w:pPr>
        <w:numPr>
          <w:ilvl w:val="0"/>
          <w:numId w:val="0"/>
        </w:numPr>
        <w:ind w:leftChars="0"/>
        <w:rPr>
          <w:rFonts w:hint="default" w:ascii="Calibri" w:hAnsi="Calibri" w:cs="Calibri" w:eastAsiaTheme="minorEastAsia"/>
          <w:sz w:val="22"/>
          <w:szCs w:val="22"/>
        </w:rPr>
      </w:pPr>
      <w:r>
        <w:rPr>
          <w:rFonts w:hint="default" w:ascii="Calibri" w:hAnsi="Calibri" w:cs="Calibri" w:eastAsiaTheme="minorEastAsia"/>
          <w:sz w:val="22"/>
          <w:szCs w:val="22"/>
        </w:rPr>
        <w:t>Improve the perceived value of the Basic plan — for instance, by adding minor premium features, offering limited-time upgrades, or sending engagement reminders.</w:t>
      </w:r>
    </w:p>
    <w:p w14:paraId="55845EE8">
      <w:pPr>
        <w:numPr>
          <w:ilvl w:val="0"/>
          <w:numId w:val="0"/>
        </w:numPr>
        <w:ind w:leftChars="0"/>
        <w:rPr>
          <w:rFonts w:hint="default" w:ascii="Calibri" w:hAnsi="Calibri" w:cs="Calibri" w:eastAsiaTheme="minorEastAsia"/>
          <w:sz w:val="22"/>
          <w:szCs w:val="22"/>
        </w:rPr>
      </w:pPr>
    </w:p>
    <w:p w14:paraId="6648848C">
      <w:pPr>
        <w:numPr>
          <w:ilvl w:val="0"/>
          <w:numId w:val="0"/>
        </w:numPr>
        <w:ind w:leftChars="0"/>
        <w:rPr>
          <w:rFonts w:hint="default" w:ascii="Calibri" w:hAnsi="Calibri" w:cs="Calibri" w:eastAsiaTheme="minorEastAsia"/>
          <w:sz w:val="22"/>
          <w:szCs w:val="22"/>
        </w:rPr>
      </w:pPr>
    </w:p>
    <w:p w14:paraId="2EFB44E9">
      <w:pPr>
        <w:numPr>
          <w:ilvl w:val="0"/>
          <w:numId w:val="0"/>
        </w:numPr>
        <w:ind w:leftChars="0"/>
        <w:rPr>
          <w:rFonts w:hint="default" w:ascii="Calibri" w:hAnsi="Calibri" w:cs="Calibri" w:eastAsiaTheme="minorEastAsia"/>
          <w:sz w:val="22"/>
          <w:szCs w:val="22"/>
        </w:rPr>
      </w:pPr>
    </w:p>
    <w:p w14:paraId="2BBDD875">
      <w:pPr>
        <w:numPr>
          <w:ilvl w:val="0"/>
          <w:numId w:val="0"/>
        </w:numPr>
        <w:ind w:leftChars="0"/>
        <w:rPr>
          <w:rFonts w:hint="default" w:ascii="Calibri" w:hAnsi="Calibri" w:cs="Calibri" w:eastAsiaTheme="minorEastAsia"/>
          <w:sz w:val="22"/>
          <w:szCs w:val="22"/>
        </w:rPr>
      </w:pPr>
    </w:p>
    <w:p w14:paraId="5D8429EC">
      <w:pPr>
        <w:numPr>
          <w:ilvl w:val="0"/>
          <w:numId w:val="1"/>
        </w:numPr>
        <w:ind w:left="0" w:leftChars="0" w:firstLine="0" w:firstLineChars="0"/>
        <w:rPr>
          <w:rFonts w:hint="default" w:ascii="Calibri" w:hAnsi="Calibri" w:cs="Calibri" w:eastAsiaTheme="minorEastAsia"/>
          <w:b/>
          <w:bCs/>
          <w:sz w:val="22"/>
          <w:szCs w:val="22"/>
          <w:lang w:val="en-US"/>
        </w:rPr>
      </w:pPr>
      <w:r>
        <w:rPr>
          <w:rFonts w:hint="default" w:ascii="Calibri" w:hAnsi="Calibri" w:cs="Calibri" w:eastAsiaTheme="minorEastAsia"/>
          <w:b/>
          <w:bCs/>
          <w:sz w:val="22"/>
          <w:szCs w:val="22"/>
          <w:lang w:val="en-US"/>
        </w:rPr>
        <w:t>C</w:t>
      </w:r>
      <w:r>
        <w:rPr>
          <w:rFonts w:hint="default" w:ascii="Calibri" w:hAnsi="Calibri" w:cs="Calibri"/>
          <w:b/>
          <w:bCs/>
          <w:sz w:val="22"/>
          <w:szCs w:val="22"/>
          <w:lang w:val="en-US"/>
        </w:rPr>
        <w:t>HURN BY REGION</w:t>
      </w:r>
      <w:r>
        <w:rPr>
          <w:rFonts w:hint="default" w:ascii="Calibri" w:hAnsi="Calibri" w:cs="Calibri" w:eastAsiaTheme="minorEastAsia"/>
          <w:b/>
          <w:bCs/>
          <w:sz w:val="22"/>
          <w:szCs w:val="22"/>
          <w:lang w:val="en-US"/>
        </w:rPr>
        <w:t>:</w:t>
      </w:r>
    </w:p>
    <w:p w14:paraId="6AE4635B">
      <w:pPr>
        <w:numPr>
          <w:ilvl w:val="0"/>
          <w:numId w:val="0"/>
        </w:numPr>
        <w:ind w:leftChars="0"/>
        <w:rPr>
          <w:rFonts w:hint="default" w:ascii="Calibri" w:hAnsi="Calibri" w:cs="Calibri" w:eastAsiaTheme="minorEastAsia"/>
          <w:sz w:val="22"/>
          <w:szCs w:val="22"/>
          <w:lang w:val="en-US"/>
        </w:rPr>
      </w:pPr>
    </w:p>
    <w:p w14:paraId="387CFBE9">
      <w:pPr>
        <w:numPr>
          <w:ilvl w:val="0"/>
          <w:numId w:val="0"/>
        </w:numPr>
        <w:ind w:leftChars="0"/>
        <w:rPr>
          <w:rFonts w:hint="default" w:ascii="Calibri" w:hAnsi="Calibri" w:cs="Calibri" w:eastAsiaTheme="minorEastAsia"/>
          <w:sz w:val="22"/>
          <w:szCs w:val="22"/>
        </w:rPr>
      </w:pPr>
      <w:r>
        <w:rPr>
          <w:rFonts w:hint="default" w:ascii="Calibri" w:hAnsi="Calibri" w:cs="Calibri" w:eastAsiaTheme="minorEastAsia"/>
          <w:sz w:val="22"/>
          <w:szCs w:val="22"/>
        </w:rPr>
        <w:drawing>
          <wp:inline distT="0" distB="0" distL="114300" distR="114300">
            <wp:extent cx="4826000" cy="2743200"/>
            <wp:effectExtent l="4445" t="4445" r="15875" b="10795"/>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35733A6">
      <w:pPr>
        <w:numPr>
          <w:ilvl w:val="0"/>
          <w:numId w:val="0"/>
        </w:numPr>
        <w:ind w:leftChars="0"/>
        <w:rPr>
          <w:rFonts w:hint="default" w:ascii="Calibri" w:hAnsi="Calibri" w:cs="Calibri" w:eastAsiaTheme="minorEastAsia"/>
          <w:sz w:val="22"/>
          <w:szCs w:val="22"/>
        </w:rPr>
      </w:pPr>
    </w:p>
    <w:p w14:paraId="0E729BCD">
      <w:pPr>
        <w:numPr>
          <w:ilvl w:val="0"/>
          <w:numId w:val="0"/>
        </w:numPr>
        <w:ind w:leftChars="0"/>
        <w:rPr>
          <w:rFonts w:hint="default" w:ascii="Calibri" w:hAnsi="Calibri" w:cs="Calibri" w:eastAsiaTheme="minorEastAsia"/>
          <w:sz w:val="22"/>
          <w:szCs w:val="22"/>
        </w:rPr>
      </w:pPr>
    </w:p>
    <w:p w14:paraId="4D09480A">
      <w:pPr>
        <w:numPr>
          <w:ilvl w:val="0"/>
          <w:numId w:val="0"/>
        </w:numPr>
        <w:ind w:leftChars="0"/>
        <w:rPr>
          <w:rFonts w:hint="default" w:ascii="Calibri" w:hAnsi="Calibri" w:cs="Calibri" w:eastAsiaTheme="minorEastAsia"/>
          <w:sz w:val="22"/>
          <w:szCs w:val="22"/>
        </w:rPr>
      </w:pPr>
    </w:p>
    <w:p w14:paraId="1CBA6DEA">
      <w:pPr>
        <w:numPr>
          <w:ilvl w:val="0"/>
          <w:numId w:val="0"/>
        </w:numPr>
        <w:ind w:leftChars="0"/>
        <w:rPr>
          <w:rFonts w:hint="default" w:ascii="Calibri" w:hAnsi="Calibri" w:cs="Calibri" w:eastAsiaTheme="minorEastAsia"/>
          <w:sz w:val="22"/>
          <w:szCs w:val="22"/>
        </w:rPr>
      </w:pPr>
    </w:p>
    <w:p w14:paraId="55667226">
      <w:pPr>
        <w:numPr>
          <w:ilvl w:val="0"/>
          <w:numId w:val="0"/>
        </w:numPr>
        <w:ind w:leftChars="0"/>
        <w:rPr>
          <w:rFonts w:hint="default" w:ascii="Calibri" w:hAnsi="Calibri" w:cs="Calibri" w:eastAsiaTheme="minorEastAsia"/>
          <w:b/>
          <w:bCs/>
          <w:color w:val="FF0000"/>
          <w:sz w:val="22"/>
          <w:szCs w:val="22"/>
        </w:rPr>
      </w:pPr>
      <w:r>
        <w:rPr>
          <w:rFonts w:hint="default" w:ascii="Calibri" w:hAnsi="Calibri" w:cs="Calibri" w:eastAsiaTheme="minorEastAsia"/>
          <w:b/>
          <w:bCs/>
          <w:color w:val="FF0000"/>
          <w:sz w:val="22"/>
          <w:szCs w:val="22"/>
        </w:rPr>
        <w:t>Observation:</w:t>
      </w:r>
    </w:p>
    <w:p w14:paraId="5DAA4AB0">
      <w:pPr>
        <w:numPr>
          <w:ilvl w:val="0"/>
          <w:numId w:val="0"/>
        </w:numPr>
        <w:ind w:leftChars="0"/>
        <w:rPr>
          <w:rFonts w:hint="default" w:ascii="Calibri" w:hAnsi="Calibri" w:cs="Calibri" w:eastAsiaTheme="minorEastAsia"/>
          <w:sz w:val="22"/>
          <w:szCs w:val="22"/>
        </w:rPr>
      </w:pPr>
      <w:r>
        <w:rPr>
          <w:rFonts w:hint="default" w:ascii="Calibri" w:hAnsi="Calibri" w:cs="Calibri" w:eastAsiaTheme="minorEastAsia"/>
          <w:sz w:val="22"/>
          <w:szCs w:val="22"/>
        </w:rPr>
        <w:t xml:space="preserve">Churn varies by region, with </w:t>
      </w:r>
      <w:r>
        <w:rPr>
          <w:rFonts w:hint="default" w:ascii="Calibri" w:hAnsi="Calibri" w:cs="Calibri"/>
          <w:sz w:val="22"/>
          <w:szCs w:val="22"/>
          <w:lang w:val="en-US"/>
        </w:rPr>
        <w:t xml:space="preserve">North East </w:t>
      </w:r>
      <w:r>
        <w:rPr>
          <w:rFonts w:hint="default" w:ascii="Calibri" w:hAnsi="Calibri" w:cs="Calibri" w:eastAsiaTheme="minorEastAsia"/>
          <w:sz w:val="22"/>
          <w:szCs w:val="22"/>
        </w:rPr>
        <w:t xml:space="preserve">and </w:t>
      </w:r>
      <w:r>
        <w:rPr>
          <w:rFonts w:hint="default" w:ascii="Calibri" w:hAnsi="Calibri" w:cs="Calibri"/>
          <w:sz w:val="22"/>
          <w:szCs w:val="22"/>
          <w:lang w:val="en-US"/>
        </w:rPr>
        <w:t xml:space="preserve">Oti </w:t>
      </w:r>
      <w:r>
        <w:rPr>
          <w:rFonts w:hint="default" w:ascii="Calibri" w:hAnsi="Calibri" w:cs="Calibri" w:eastAsiaTheme="minorEastAsia"/>
          <w:sz w:val="22"/>
          <w:szCs w:val="22"/>
        </w:rPr>
        <w:t>showing the highest number of churned customers.</w:t>
      </w:r>
    </w:p>
    <w:p w14:paraId="7C1AFE6D">
      <w:pPr>
        <w:numPr>
          <w:ilvl w:val="0"/>
          <w:numId w:val="0"/>
        </w:numPr>
        <w:ind w:leftChars="0"/>
        <w:rPr>
          <w:rFonts w:hint="default" w:ascii="Calibri" w:hAnsi="Calibri" w:cs="Calibri" w:eastAsiaTheme="minorEastAsia"/>
          <w:sz w:val="22"/>
          <w:szCs w:val="22"/>
        </w:rPr>
      </w:pPr>
      <w:r>
        <w:rPr>
          <w:rFonts w:hint="default" w:ascii="Calibri" w:hAnsi="Calibri" w:cs="Calibri" w:eastAsiaTheme="minorEastAsia"/>
          <w:b/>
          <w:bCs/>
          <w:color w:val="FF0000"/>
          <w:sz w:val="22"/>
          <w:szCs w:val="22"/>
        </w:rPr>
        <w:t>Interpretation:</w:t>
      </w:r>
    </w:p>
    <w:p w14:paraId="7B10E635">
      <w:pPr>
        <w:numPr>
          <w:ilvl w:val="0"/>
          <w:numId w:val="0"/>
        </w:numPr>
        <w:ind w:leftChars="0"/>
        <w:rPr>
          <w:rFonts w:hint="default" w:ascii="Calibri" w:hAnsi="Calibri" w:cs="Calibri" w:eastAsiaTheme="minorEastAsia"/>
          <w:sz w:val="22"/>
          <w:szCs w:val="22"/>
        </w:rPr>
      </w:pPr>
      <w:r>
        <w:rPr>
          <w:rFonts w:hint="default" w:ascii="Calibri" w:hAnsi="Calibri" w:cs="Calibri" w:eastAsiaTheme="minorEastAsia"/>
          <w:sz w:val="22"/>
          <w:szCs w:val="22"/>
        </w:rPr>
        <w:t>These regions likely have higher customer density and competition. Regional service quality or outreach may differ.</w:t>
      </w:r>
    </w:p>
    <w:p w14:paraId="57816C38">
      <w:pPr>
        <w:numPr>
          <w:ilvl w:val="0"/>
          <w:numId w:val="0"/>
        </w:numPr>
        <w:ind w:leftChars="0"/>
        <w:rPr>
          <w:rFonts w:hint="default" w:ascii="Calibri" w:hAnsi="Calibri" w:cs="Calibri" w:eastAsiaTheme="minorEastAsia"/>
          <w:sz w:val="22"/>
          <w:szCs w:val="22"/>
        </w:rPr>
      </w:pPr>
      <w:r>
        <w:rPr>
          <w:rFonts w:hint="default" w:ascii="Calibri" w:hAnsi="Calibri" w:cs="Calibri" w:eastAsiaTheme="minorEastAsia"/>
          <w:b/>
          <w:bCs/>
          <w:color w:val="FF0000"/>
          <w:sz w:val="22"/>
          <w:szCs w:val="22"/>
        </w:rPr>
        <w:t>Recommendation:</w:t>
      </w:r>
    </w:p>
    <w:p w14:paraId="4A18F715">
      <w:pPr>
        <w:numPr>
          <w:ilvl w:val="0"/>
          <w:numId w:val="0"/>
        </w:numPr>
        <w:ind w:leftChars="0"/>
        <w:rPr>
          <w:rFonts w:hint="default" w:ascii="Calibri" w:hAnsi="Calibri" w:cs="Calibri" w:eastAsiaTheme="minorEastAsia"/>
          <w:sz w:val="22"/>
          <w:szCs w:val="22"/>
        </w:rPr>
      </w:pPr>
      <w:r>
        <w:rPr>
          <w:rFonts w:hint="default" w:ascii="Calibri" w:hAnsi="Calibri" w:cs="Calibri" w:eastAsiaTheme="minorEastAsia"/>
          <w:sz w:val="22"/>
          <w:szCs w:val="22"/>
        </w:rPr>
        <w:t>Conduct region-specific customer satisfaction studies and consider targeted marketing or retention campaigns in high-churn areas.</w:t>
      </w:r>
    </w:p>
    <w:p w14:paraId="77725E8B">
      <w:pPr>
        <w:numPr>
          <w:ilvl w:val="0"/>
          <w:numId w:val="0"/>
        </w:numPr>
        <w:ind w:leftChars="0"/>
        <w:rPr>
          <w:rFonts w:hint="default" w:ascii="Calibri" w:hAnsi="Calibri" w:cs="Calibri" w:eastAsiaTheme="minorEastAsia"/>
          <w:sz w:val="22"/>
          <w:szCs w:val="22"/>
        </w:rPr>
      </w:pPr>
    </w:p>
    <w:p w14:paraId="104A61E7">
      <w:pPr>
        <w:numPr>
          <w:ilvl w:val="0"/>
          <w:numId w:val="0"/>
        </w:numPr>
        <w:ind w:leftChars="0"/>
        <w:rPr>
          <w:rFonts w:hint="default" w:ascii="Calibri" w:hAnsi="Calibri" w:cs="Calibri" w:eastAsiaTheme="minorEastAsia"/>
          <w:sz w:val="22"/>
          <w:szCs w:val="22"/>
        </w:rPr>
      </w:pPr>
    </w:p>
    <w:p w14:paraId="135E3536">
      <w:pPr>
        <w:numPr>
          <w:ilvl w:val="0"/>
          <w:numId w:val="0"/>
        </w:numPr>
        <w:ind w:leftChars="0"/>
        <w:rPr>
          <w:rFonts w:hint="default" w:ascii="Calibri" w:hAnsi="Calibri" w:cs="Calibri" w:eastAsiaTheme="minorEastAsia"/>
          <w:sz w:val="22"/>
          <w:szCs w:val="22"/>
        </w:rPr>
      </w:pPr>
    </w:p>
    <w:p w14:paraId="7491EF76">
      <w:pPr>
        <w:numPr>
          <w:ilvl w:val="0"/>
          <w:numId w:val="1"/>
        </w:numPr>
        <w:ind w:left="0" w:leftChars="0" w:firstLine="0" w:firstLineChars="0"/>
        <w:rPr>
          <w:rFonts w:hint="default" w:ascii="Calibri" w:hAnsi="Calibri" w:cs="Calibri" w:eastAsiaTheme="minorEastAsia"/>
          <w:b/>
          <w:bCs/>
          <w:sz w:val="22"/>
          <w:szCs w:val="22"/>
          <w:lang w:val="en-US"/>
        </w:rPr>
      </w:pPr>
      <w:r>
        <w:rPr>
          <w:rFonts w:hint="default" w:ascii="Calibri" w:hAnsi="Calibri" w:cs="Calibri" w:eastAsiaTheme="minorEastAsia"/>
          <w:b/>
          <w:bCs/>
          <w:sz w:val="22"/>
          <w:szCs w:val="22"/>
          <w:lang w:val="en-US"/>
        </w:rPr>
        <w:t>P</w:t>
      </w:r>
      <w:r>
        <w:rPr>
          <w:rFonts w:hint="default" w:ascii="Calibri" w:hAnsi="Calibri" w:cs="Calibri"/>
          <w:b/>
          <w:bCs/>
          <w:sz w:val="22"/>
          <w:szCs w:val="22"/>
          <w:lang w:val="en-US"/>
        </w:rPr>
        <w:t>AYMENT STATUS BY CHURN</w:t>
      </w:r>
      <w:r>
        <w:rPr>
          <w:rFonts w:hint="default" w:ascii="Calibri" w:hAnsi="Calibri" w:cs="Calibri" w:eastAsiaTheme="minorEastAsia"/>
          <w:b/>
          <w:bCs/>
          <w:sz w:val="22"/>
          <w:szCs w:val="22"/>
          <w:lang w:val="en-US"/>
        </w:rPr>
        <w:t>:</w:t>
      </w:r>
    </w:p>
    <w:p w14:paraId="07DADCA5">
      <w:pPr>
        <w:numPr>
          <w:ilvl w:val="0"/>
          <w:numId w:val="0"/>
        </w:numPr>
        <w:ind w:leftChars="0"/>
        <w:rPr>
          <w:rFonts w:hint="default" w:ascii="Calibri" w:hAnsi="Calibri" w:cs="Calibri" w:eastAsiaTheme="minorEastAsia"/>
          <w:sz w:val="22"/>
          <w:szCs w:val="22"/>
          <w:lang w:val="en-US"/>
        </w:rPr>
      </w:pPr>
    </w:p>
    <w:p w14:paraId="41A581D7">
      <w:pPr>
        <w:numPr>
          <w:ilvl w:val="0"/>
          <w:numId w:val="0"/>
        </w:numPr>
        <w:ind w:leftChars="0"/>
        <w:rPr>
          <w:rFonts w:hint="default" w:ascii="Calibri" w:hAnsi="Calibri" w:cs="Calibri" w:eastAsiaTheme="minorEastAsia"/>
          <w:sz w:val="22"/>
          <w:szCs w:val="22"/>
        </w:rPr>
      </w:pPr>
      <w:r>
        <w:rPr>
          <w:rFonts w:hint="default" w:ascii="Calibri" w:hAnsi="Calibri" w:cs="Calibri" w:eastAsiaTheme="minorEastAsia"/>
          <w:sz w:val="22"/>
          <w:szCs w:val="22"/>
        </w:rPr>
        <w:drawing>
          <wp:inline distT="0" distB="0" distL="114300" distR="114300">
            <wp:extent cx="4826000" cy="2743200"/>
            <wp:effectExtent l="4445" t="4445" r="15875" b="10795"/>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7DEC17E">
      <w:pPr>
        <w:numPr>
          <w:ilvl w:val="0"/>
          <w:numId w:val="0"/>
        </w:numPr>
        <w:ind w:leftChars="0"/>
        <w:rPr>
          <w:rFonts w:hint="default" w:ascii="Calibri" w:hAnsi="Calibri" w:cs="Calibri" w:eastAsiaTheme="minorEastAsia"/>
          <w:sz w:val="22"/>
          <w:szCs w:val="22"/>
        </w:rPr>
      </w:pPr>
    </w:p>
    <w:p w14:paraId="1E8DEEAC">
      <w:pPr>
        <w:numPr>
          <w:ilvl w:val="0"/>
          <w:numId w:val="0"/>
        </w:numPr>
        <w:ind w:leftChars="0"/>
        <w:rPr>
          <w:rFonts w:hint="default" w:ascii="Calibri" w:hAnsi="Calibri" w:cs="Calibri" w:eastAsiaTheme="minorEastAsia"/>
          <w:sz w:val="22"/>
          <w:szCs w:val="22"/>
        </w:rPr>
      </w:pPr>
    </w:p>
    <w:p w14:paraId="2F459791">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b/>
          <w:bCs/>
          <w:color w:val="FF0000"/>
          <w:sz w:val="22"/>
          <w:szCs w:val="22"/>
          <w:lang w:val="en-US"/>
        </w:rPr>
        <w:t>Observation:</w:t>
      </w:r>
    </w:p>
    <w:p w14:paraId="57F6962C">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Overdue and Pending payments represent a large share of churned customers, while Paid users are less likely to leave.</w:t>
      </w:r>
    </w:p>
    <w:p w14:paraId="2BC8EA22">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b/>
          <w:bCs/>
          <w:color w:val="FF0000"/>
          <w:sz w:val="22"/>
          <w:szCs w:val="22"/>
          <w:lang w:val="en-US"/>
        </w:rPr>
        <w:t>Interpretation:</w:t>
      </w:r>
    </w:p>
    <w:p w14:paraId="7AB0A5DA">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Payment issues may strongly predict customer loss — possibly due to billing friction or affordability challenges.</w:t>
      </w:r>
    </w:p>
    <w:p w14:paraId="1CB7DC10">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b/>
          <w:bCs/>
          <w:color w:val="FF0000"/>
          <w:sz w:val="22"/>
          <w:szCs w:val="22"/>
          <w:lang w:val="en-US"/>
        </w:rPr>
        <w:t>Recommendation:</w:t>
      </w:r>
    </w:p>
    <w:p w14:paraId="0443989F">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Simplify payment processes, send proactive payment reminders, and offer flexible billing or discounts for loyal customers</w:t>
      </w:r>
    </w:p>
    <w:p w14:paraId="3369F697">
      <w:pPr>
        <w:numPr>
          <w:ilvl w:val="0"/>
          <w:numId w:val="0"/>
        </w:numPr>
        <w:ind w:leftChars="0"/>
        <w:rPr>
          <w:rFonts w:hint="default" w:ascii="Calibri" w:hAnsi="Calibri" w:cs="Calibri" w:eastAsiaTheme="minorEastAsia"/>
          <w:sz w:val="22"/>
          <w:szCs w:val="22"/>
          <w:lang w:val="en-US"/>
        </w:rPr>
      </w:pPr>
    </w:p>
    <w:p w14:paraId="3AAFEC86">
      <w:pPr>
        <w:numPr>
          <w:ilvl w:val="0"/>
          <w:numId w:val="0"/>
        </w:numPr>
        <w:ind w:leftChars="0"/>
        <w:rPr>
          <w:rFonts w:hint="default" w:ascii="Calibri" w:hAnsi="Calibri" w:cs="Calibri" w:eastAsiaTheme="minorEastAsia"/>
          <w:sz w:val="22"/>
          <w:szCs w:val="22"/>
          <w:lang w:val="en-US"/>
        </w:rPr>
      </w:pPr>
    </w:p>
    <w:p w14:paraId="35059329">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b/>
          <w:bCs/>
          <w:sz w:val="22"/>
          <w:szCs w:val="22"/>
          <w:lang w:val="en-US"/>
        </w:rPr>
        <w:t>4. K</w:t>
      </w:r>
      <w:r>
        <w:rPr>
          <w:rFonts w:hint="default" w:ascii="Calibri" w:hAnsi="Calibri" w:cs="Calibri"/>
          <w:b/>
          <w:bCs/>
          <w:sz w:val="22"/>
          <w:szCs w:val="22"/>
          <w:lang w:val="en-US"/>
        </w:rPr>
        <w:t>EY FINDING SUMMARY</w:t>
      </w:r>
      <w:r>
        <w:rPr>
          <w:rFonts w:hint="default" w:ascii="Calibri" w:hAnsi="Calibri" w:cs="Calibri"/>
          <w:sz w:val="22"/>
          <w:szCs w:val="22"/>
          <w:lang w:val="en-US"/>
        </w:rPr>
        <w:t xml:space="preserve"> </w:t>
      </w:r>
    </w:p>
    <w:p w14:paraId="31C0B30F">
      <w:pPr>
        <w:numPr>
          <w:ilvl w:val="0"/>
          <w:numId w:val="0"/>
        </w:numPr>
        <w:ind w:leftChars="0"/>
        <w:rPr>
          <w:rFonts w:hint="default" w:ascii="Calibri" w:hAnsi="Calibri" w:cs="Calibri" w:eastAsiaTheme="minorEastAsia"/>
          <w:sz w:val="22"/>
          <w:szCs w:val="22"/>
          <w:lang w:val="en-US"/>
        </w:rPr>
      </w:pPr>
    </w:p>
    <w:p w14:paraId="4DDB0B28">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Use bullet points for clarity:</w:t>
      </w:r>
    </w:p>
    <w:p w14:paraId="16A80E72">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w:t>
      </w:r>
      <w:r>
        <w:rPr>
          <w:rFonts w:hint="default" w:ascii="Calibri" w:hAnsi="Calibri" w:cs="Calibri" w:eastAsiaTheme="minorEastAsia"/>
          <w:sz w:val="22"/>
          <w:szCs w:val="22"/>
          <w:lang w:val="en-US"/>
        </w:rPr>
        <w:tab/>
      </w:r>
      <w:r>
        <w:rPr>
          <w:rFonts w:hint="default" w:ascii="Calibri" w:hAnsi="Calibri" w:cs="Calibri" w:eastAsiaTheme="minorEastAsia"/>
          <w:color w:val="FF0000"/>
          <w:sz w:val="22"/>
          <w:szCs w:val="22"/>
          <w:lang w:val="en-US"/>
        </w:rPr>
        <w:t>Overall churn rate:</w:t>
      </w:r>
      <w:r>
        <w:rPr>
          <w:rFonts w:hint="default" w:ascii="Calibri" w:hAnsi="Calibri" w:cs="Calibri" w:eastAsiaTheme="minorEastAsia"/>
          <w:sz w:val="22"/>
          <w:szCs w:val="22"/>
          <w:lang w:val="en-US"/>
        </w:rPr>
        <w:t xml:space="preserve"> </w:t>
      </w:r>
      <w:r>
        <w:rPr>
          <w:rFonts w:hint="default" w:ascii="Calibri" w:hAnsi="Calibri" w:cs="Calibri"/>
          <w:sz w:val="22"/>
          <w:szCs w:val="22"/>
          <w:lang w:val="en-US"/>
        </w:rPr>
        <w:t>46</w:t>
      </w:r>
      <w:r>
        <w:rPr>
          <w:rFonts w:hint="default" w:ascii="Calibri" w:hAnsi="Calibri" w:cs="Calibri" w:eastAsiaTheme="minorEastAsia"/>
          <w:sz w:val="22"/>
          <w:szCs w:val="22"/>
          <w:lang w:val="en-US"/>
        </w:rPr>
        <w:t>% (needs urgent attention)</w:t>
      </w:r>
    </w:p>
    <w:p w14:paraId="41C821B3">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w:t>
      </w:r>
      <w:r>
        <w:rPr>
          <w:rFonts w:hint="default" w:ascii="Calibri" w:hAnsi="Calibri" w:cs="Calibri" w:eastAsiaTheme="minorEastAsia"/>
          <w:sz w:val="22"/>
          <w:szCs w:val="22"/>
          <w:lang w:val="en-US"/>
        </w:rPr>
        <w:tab/>
      </w:r>
      <w:r>
        <w:rPr>
          <w:rFonts w:hint="default" w:ascii="Calibri" w:hAnsi="Calibri" w:cs="Calibri" w:eastAsiaTheme="minorEastAsia"/>
          <w:color w:val="FF0000"/>
          <w:sz w:val="22"/>
          <w:szCs w:val="22"/>
          <w:lang w:val="en-US"/>
        </w:rPr>
        <w:t>High churn regions:</w:t>
      </w:r>
      <w:r>
        <w:rPr>
          <w:rFonts w:hint="default" w:ascii="Calibri" w:hAnsi="Calibri" w:cs="Calibri" w:eastAsiaTheme="minorEastAsia"/>
          <w:sz w:val="22"/>
          <w:szCs w:val="22"/>
          <w:lang w:val="en-US"/>
        </w:rPr>
        <w:t xml:space="preserve"> </w:t>
      </w:r>
      <w:bookmarkStart w:id="0" w:name="_GoBack"/>
      <w:bookmarkEnd w:id="0"/>
      <w:r>
        <w:rPr>
          <w:rFonts w:hint="default" w:ascii="Calibri" w:hAnsi="Calibri" w:cs="Calibri"/>
          <w:sz w:val="22"/>
          <w:szCs w:val="22"/>
          <w:lang w:val="en-US"/>
        </w:rPr>
        <w:t xml:space="preserve">North East </w:t>
      </w:r>
      <w:r>
        <w:rPr>
          <w:rFonts w:hint="default" w:ascii="Calibri" w:hAnsi="Calibri" w:cs="Calibri" w:eastAsiaTheme="minorEastAsia"/>
          <w:sz w:val="22"/>
          <w:szCs w:val="22"/>
        </w:rPr>
        <w:t xml:space="preserve">and </w:t>
      </w:r>
      <w:r>
        <w:rPr>
          <w:rFonts w:hint="default" w:ascii="Calibri" w:hAnsi="Calibri" w:cs="Calibri"/>
          <w:sz w:val="22"/>
          <w:szCs w:val="22"/>
          <w:lang w:val="en-US"/>
        </w:rPr>
        <w:t>Oti</w:t>
      </w:r>
    </w:p>
    <w:p w14:paraId="1F58C895">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w:t>
      </w:r>
      <w:r>
        <w:rPr>
          <w:rFonts w:hint="default" w:ascii="Calibri" w:hAnsi="Calibri" w:cs="Calibri" w:eastAsiaTheme="minorEastAsia"/>
          <w:sz w:val="22"/>
          <w:szCs w:val="22"/>
          <w:lang w:val="en-US"/>
        </w:rPr>
        <w:tab/>
      </w:r>
      <w:r>
        <w:rPr>
          <w:rFonts w:hint="default" w:ascii="Calibri" w:hAnsi="Calibri" w:cs="Calibri" w:eastAsiaTheme="minorEastAsia"/>
          <w:color w:val="FF0000"/>
          <w:sz w:val="22"/>
          <w:szCs w:val="22"/>
          <w:lang w:val="en-US"/>
        </w:rPr>
        <w:t>Highest-risk group:</w:t>
      </w:r>
      <w:r>
        <w:rPr>
          <w:rFonts w:hint="default" w:ascii="Calibri" w:hAnsi="Calibri" w:cs="Calibri" w:eastAsiaTheme="minorEastAsia"/>
          <w:sz w:val="22"/>
          <w:szCs w:val="22"/>
          <w:lang w:val="en-US"/>
        </w:rPr>
        <w:t xml:space="preserve"> Basic plan + Overdue payment users</w:t>
      </w:r>
    </w:p>
    <w:p w14:paraId="7A579D36">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w:t>
      </w: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Retained customers are typically Premium users with consistent payment</w:t>
      </w:r>
    </w:p>
    <w:p w14:paraId="6A2A4AF0">
      <w:pPr>
        <w:numPr>
          <w:ilvl w:val="0"/>
          <w:numId w:val="0"/>
        </w:numPr>
        <w:ind w:leftChars="0"/>
        <w:rPr>
          <w:rFonts w:hint="default" w:ascii="Calibri" w:hAnsi="Calibri" w:cs="Calibri" w:eastAsiaTheme="minorEastAsia"/>
          <w:sz w:val="22"/>
          <w:szCs w:val="22"/>
          <w:lang w:val="en-US"/>
        </w:rPr>
      </w:pPr>
    </w:p>
    <w:p w14:paraId="2443955A">
      <w:pPr>
        <w:numPr>
          <w:ilvl w:val="0"/>
          <w:numId w:val="0"/>
        </w:numPr>
        <w:ind w:leftChars="0"/>
        <w:rPr>
          <w:rFonts w:hint="default" w:ascii="Calibri" w:hAnsi="Calibri" w:cs="Calibri" w:eastAsiaTheme="minorEastAsia"/>
          <w:sz w:val="22"/>
          <w:szCs w:val="22"/>
          <w:lang w:val="en-US"/>
        </w:rPr>
      </w:pPr>
    </w:p>
    <w:p w14:paraId="56EAE2AF">
      <w:pPr>
        <w:numPr>
          <w:ilvl w:val="0"/>
          <w:numId w:val="0"/>
        </w:numPr>
        <w:ind w:leftChars="0"/>
        <w:rPr>
          <w:rFonts w:hint="default" w:ascii="Calibri" w:hAnsi="Calibri" w:cs="Calibri" w:eastAsiaTheme="minorEastAsia"/>
          <w:sz w:val="22"/>
          <w:szCs w:val="22"/>
          <w:lang w:val="en-US"/>
        </w:rPr>
      </w:pPr>
    </w:p>
    <w:p w14:paraId="73AC3DF9">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b/>
          <w:bCs/>
          <w:sz w:val="22"/>
          <w:szCs w:val="22"/>
          <w:lang w:val="en-US"/>
        </w:rPr>
        <w:t>5. B</w:t>
      </w:r>
      <w:r>
        <w:rPr>
          <w:rFonts w:hint="default" w:ascii="Calibri" w:hAnsi="Calibri" w:cs="Calibri"/>
          <w:b/>
          <w:bCs/>
          <w:sz w:val="22"/>
          <w:szCs w:val="22"/>
          <w:lang w:val="en-US"/>
        </w:rPr>
        <w:t>USINESS RECCOMENDATION</w:t>
      </w:r>
    </w:p>
    <w:p w14:paraId="01E4D04D">
      <w:pPr>
        <w:numPr>
          <w:ilvl w:val="0"/>
          <w:numId w:val="0"/>
        </w:numPr>
        <w:ind w:leftChars="0"/>
        <w:rPr>
          <w:rFonts w:hint="default" w:ascii="Calibri" w:hAnsi="Calibri" w:cs="Calibri" w:eastAsiaTheme="minorEastAsia"/>
          <w:sz w:val="22"/>
          <w:szCs w:val="22"/>
          <w:lang w:val="en-US"/>
        </w:rPr>
      </w:pPr>
    </w:p>
    <w:p w14:paraId="75D20508">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End your report with action-oriented decisions:</w:t>
      </w:r>
    </w:p>
    <w:p w14:paraId="0B2ECAE1">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1.</w:t>
      </w: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Introduce retention campaigns for Basic plan users.</w:t>
      </w:r>
    </w:p>
    <w:p w14:paraId="6BD6FFC8">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2.</w:t>
      </w: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Implement automated payment reminders or incentives for early payments.</w:t>
      </w:r>
    </w:p>
    <w:p w14:paraId="21A1F009">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3.</w:t>
      </w: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Conduct regional marketing reviews to improve satisfaction in high-churn areas.</w:t>
      </w:r>
    </w:p>
    <w:p w14:paraId="47535538">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4.</w:t>
      </w: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Set up customer segmentation dashboards for continuous monitoring.</w:t>
      </w:r>
    </w:p>
    <w:p w14:paraId="5FFAD1CF">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5.</w:t>
      </w:r>
      <w:r>
        <w:rPr>
          <w:rFonts w:hint="default" w:ascii="Calibri" w:hAnsi="Calibri" w:cs="Calibri" w:eastAsiaTheme="minorEastAsia"/>
          <w:sz w:val="22"/>
          <w:szCs w:val="22"/>
          <w:lang w:val="en-US"/>
        </w:rPr>
        <w:tab/>
      </w:r>
      <w:r>
        <w:rPr>
          <w:rFonts w:hint="default" w:ascii="Calibri" w:hAnsi="Calibri" w:cs="Calibri" w:eastAsiaTheme="minorEastAsia"/>
          <w:sz w:val="22"/>
          <w:szCs w:val="22"/>
          <w:lang w:val="en-US"/>
        </w:rPr>
        <w:t>Launch a feedback-based loyalty program to improve satisfaction and reduce churn.</w:t>
      </w:r>
    </w:p>
    <w:p w14:paraId="378F99E9">
      <w:pPr>
        <w:numPr>
          <w:ilvl w:val="0"/>
          <w:numId w:val="0"/>
        </w:numPr>
        <w:ind w:leftChars="0"/>
        <w:rPr>
          <w:rFonts w:hint="default" w:ascii="Calibri" w:hAnsi="Calibri" w:cs="Calibri" w:eastAsiaTheme="minorEastAsia"/>
          <w:sz w:val="22"/>
          <w:szCs w:val="22"/>
          <w:lang w:val="en-US"/>
        </w:rPr>
      </w:pPr>
    </w:p>
    <w:p w14:paraId="006A414A">
      <w:pPr>
        <w:numPr>
          <w:ilvl w:val="0"/>
          <w:numId w:val="0"/>
        </w:numPr>
        <w:ind w:leftChars="0"/>
        <w:rPr>
          <w:rFonts w:hint="default" w:ascii="Calibri" w:hAnsi="Calibri" w:cs="Calibri" w:eastAsiaTheme="minorEastAsia"/>
          <w:sz w:val="22"/>
          <w:szCs w:val="22"/>
          <w:lang w:val="en-US"/>
        </w:rPr>
      </w:pPr>
    </w:p>
    <w:p w14:paraId="7559DEEC">
      <w:pPr>
        <w:numPr>
          <w:ilvl w:val="0"/>
          <w:numId w:val="0"/>
        </w:numPr>
        <w:ind w:leftChars="0"/>
        <w:rPr>
          <w:rFonts w:hint="default" w:ascii="Calibri" w:hAnsi="Calibri" w:cs="Calibri" w:eastAsiaTheme="minorEastAsia"/>
          <w:sz w:val="22"/>
          <w:szCs w:val="22"/>
          <w:lang w:val="en-US"/>
        </w:rPr>
      </w:pPr>
    </w:p>
    <w:p w14:paraId="217C0835">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 xml:space="preserve">6. </w:t>
      </w:r>
      <w:r>
        <w:rPr>
          <w:rFonts w:hint="default" w:ascii="Calibri" w:hAnsi="Calibri" w:cs="Calibri"/>
          <w:b/>
          <w:bCs/>
          <w:sz w:val="22"/>
          <w:szCs w:val="22"/>
          <w:lang w:val="en-US"/>
        </w:rPr>
        <w:t xml:space="preserve">CONCLUSIONS </w:t>
      </w:r>
    </w:p>
    <w:p w14:paraId="5C896ACE">
      <w:pPr>
        <w:numPr>
          <w:ilvl w:val="0"/>
          <w:numId w:val="0"/>
        </w:numPr>
        <w:ind w:leftChars="0"/>
        <w:rPr>
          <w:rFonts w:hint="default" w:ascii="Calibri" w:hAnsi="Calibri" w:cs="Calibri" w:eastAsiaTheme="minorEastAsia"/>
          <w:sz w:val="22"/>
          <w:szCs w:val="22"/>
          <w:lang w:val="en-US"/>
        </w:rPr>
      </w:pPr>
    </w:p>
    <w:p w14:paraId="0666745E">
      <w:pPr>
        <w:numPr>
          <w:ilvl w:val="0"/>
          <w:numId w:val="0"/>
        </w:numPr>
        <w:ind w:leftChars="0"/>
        <w:rPr>
          <w:rFonts w:hint="default" w:ascii="Calibri" w:hAnsi="Calibri" w:cs="Calibri" w:eastAsiaTheme="minorEastAsia"/>
          <w:sz w:val="22"/>
          <w:szCs w:val="22"/>
          <w:lang w:val="en-US"/>
        </w:rPr>
      </w:pPr>
      <w:r>
        <w:rPr>
          <w:rFonts w:hint="default" w:ascii="Calibri" w:hAnsi="Calibri" w:cs="Calibri" w:eastAsiaTheme="minorEastAsia"/>
          <w:sz w:val="22"/>
          <w:szCs w:val="22"/>
          <w:lang w:val="en-US"/>
        </w:rPr>
        <w:t>Data-driven insights reveal that churn is largely driven by plan dissatisfaction and payment issues. Focusing on customer engagement, plan value enhancement, and payment flexibility will reduce churn rates and improve profitability over time.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Candara">
    <w:panose1 w:val="020E0502030303020204"/>
    <w:charset w:val="00"/>
    <w:family w:val="auto"/>
    <w:pitch w:val="default"/>
    <w:sig w:usb0="A00002EF" w:usb1="4000A4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AD236A"/>
    <w:multiLevelType w:val="singleLevel"/>
    <w:tmpl w:val="63AD236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037DBA"/>
    <w:rsid w:val="18DA1DC8"/>
    <w:rsid w:val="25037DBA"/>
    <w:rsid w:val="52EE7B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hart" Target="charts/chart4.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user\OneDrive\Documents\Data%20Analysis\customer_churn_analysis_dataset.txt"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user\OneDrive\Documents\Data%20Analysis\customer_churn_analysis_dataset.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user\OneDrive\Documents\Data%20Analysis\customer_churn_analysis_dataset.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user\OneDrive\Documents\Data%20Analysis\customer_churn_analysis_datas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[customer_churn_analysis_dataset.txt]Sheet6!PivotTable5</c:name>
    <c:fmtId val="-1"/>
  </c:pivotSource>
  <c:chart>
    <c:title>
      <c:layout/>
      <c:overlay val="0"/>
      <c:spPr>
        <a:noFill/>
        <a:ln>
          <a:noFill/>
        </a:ln>
        <a:effectLst/>
      </c:spPr>
      <c:txPr>
        <a:bodyPr rot="0" spcFirstLastPara="0" vertOverflow="ellipsis" vert="horz" wrap="square" anchor="ctr" anchorCtr="1"/>
        <a:lstStyle/>
        <a:p>
          <a:pPr>
            <a:defRPr lang="en-GB" sz="1400" b="0" i="0" u="none" strike="noStrike" kern="1200" spc="0" baseline="0">
              <a:solidFill>
                <a:schemeClr val="tx1">
                  <a:lumMod val="65000"/>
                  <a:lumOff val="35000"/>
                </a:schemeClr>
              </a:solidFill>
              <a:latin typeface="+mn-lt"/>
              <a:ea typeface="+mn-ea"/>
              <a:cs typeface="+mn-cs"/>
            </a:defRPr>
          </a:pPr>
        </a:p>
      </c:txPr>
    </c:title>
    <c:autoTitleDeleted val="0"/>
    <c:plotArea>
      <c:layout/>
      <c:pieChart>
        <c:varyColors val="1"/>
        <c:ser>
          <c:idx val="0"/>
          <c:order val="0"/>
          <c:tx>
            <c:strRef>
              <c:f>[customer_churn_analysis_dataset.txt]Sheet6!$B$3</c:f>
              <c:strCache>
                <c:ptCount val="1"/>
                <c:pt idx="0">
                  <c:v>Total</c:v>
                </c:pt>
              </c:strCache>
            </c:strRef>
          </c:tx>
          <c:spPr/>
          <c:explosion val="0"/>
          <c:dPt>
            <c:idx val="0"/>
            <c:bubble3D val="0"/>
            <c:spPr>
              <a:solidFill>
                <a:schemeClr val="accent1"/>
              </a:solidFill>
              <a:ln>
                <a:noFill/>
              </a:ln>
              <a:effectLst/>
            </c:spPr>
          </c:dPt>
          <c:dPt>
            <c:idx val="1"/>
            <c:bubble3D val="0"/>
            <c:spPr>
              <a:solidFill>
                <a:schemeClr val="accent2"/>
              </a:solidFill>
              <a:ln>
                <a:noFill/>
              </a:ln>
              <a:effectLst/>
            </c:spPr>
          </c:dPt>
          <c:dLbls>
            <c:spPr>
              <a:noFill/>
              <a:ln>
                <a:noFill/>
              </a:ln>
              <a:effectLst/>
            </c:spPr>
            <c:txPr>
              <a:bodyPr rot="0" spcFirstLastPara="0" vertOverflow="ellipsis" vert="horz" wrap="square" lIns="38100" tIns="19050" rIns="38100" bIns="19050" anchor="ctr" anchorCtr="1"/>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[customer_churn_analysis_dataset.txt]Sheet6!$A$4:$A$6</c:f>
              <c:strCache>
                <c:ptCount val="2"/>
                <c:pt idx="0">
                  <c:v>No</c:v>
                </c:pt>
                <c:pt idx="1">
                  <c:v>Yes</c:v>
                </c:pt>
              </c:strCache>
            </c:strRef>
          </c:cat>
          <c:val>
            <c:numRef>
              <c:f>[customer_churn_analysis_dataset.txt]Sheet6!$B$4:$B$6</c:f>
              <c:numCache>
                <c:formatCode>General</c:formatCode>
                <c:ptCount val="2"/>
                <c:pt idx="0">
                  <c:v>161</c:v>
                </c:pt>
                <c:pt idx="1">
                  <c:v>139</c:v>
                </c:pt>
              </c:numCache>
            </c:numRef>
          </c:val>
        </c:ser>
        <c:dLbls>
          <c:showLegendKey val="0"/>
          <c:showVal val="1"/>
          <c:showCatName val="0"/>
          <c:showSerName val="0"/>
          <c:showPercent val="1"/>
          <c:showBubbleSize val="1"/>
          <c:showLeaderLines val="1"/>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3831d58-494a-4a92-b8c1-628764e1fe80}"/>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[customer_churn_analysis_dataset.xlsx]Sheet1!PivotTable1</c:name>
    <c:fmtId val="-1"/>
  </c:pivotSource>
  <c:chart>
    <c:title>
      <c:layout/>
      <c:overlay val="0"/>
      <c:spPr>
        <a:noFill/>
        <a:ln>
          <a:noFill/>
        </a:ln>
        <a:effectLst/>
      </c:spPr>
      <c:txPr>
        <a:bodyPr rot="0" spcFirstLastPara="0" vertOverflow="ellipsis" vert="horz" wrap="square" anchor="ctr" anchorCtr="1"/>
        <a:lstStyle/>
        <a:p>
          <a:pPr>
            <a:defRPr lang="en-GB" sz="1400" b="0" i="0" u="none" strike="noStrike" kern="1200" spc="0" baseline="0">
              <a:solidFill>
                <a:schemeClr val="tx1">
                  <a:lumMod val="65000"/>
                  <a:lumOff val="35000"/>
                </a:schemeClr>
              </a:solidFill>
              <a:latin typeface="+mn-lt"/>
              <a:ea typeface="+mn-ea"/>
              <a:cs typeface="+mn-cs"/>
            </a:defRPr>
          </a:pPr>
        </a:p>
      </c:txPr>
    </c:title>
    <c:autoTitleDeleted val="0"/>
    <c:plotArea>
      <c:layout/>
      <c:pieChart>
        <c:varyColors val="1"/>
        <c:ser>
          <c:idx val="0"/>
          <c:order val="0"/>
          <c:tx>
            <c:strRef>
              <c:f>[customer_churn_analysis_dataset.xlsx]Sheet1!$B$3</c:f>
              <c:strCache>
                <c:ptCount val="1"/>
                <c:pt idx="0">
                  <c:v>Total</c:v>
                </c:pt>
              </c:strCache>
            </c:strRef>
          </c:tx>
          <c:spPr/>
          <c:explosion val="0"/>
          <c:dPt>
            <c:idx val="0"/>
            <c:bubble3D val="0"/>
            <c:spPr>
              <a:solidFill>
                <a:schemeClr val="accent1"/>
              </a:solidFill>
              <a:ln>
                <a:noFill/>
              </a:ln>
              <a:effectLst/>
            </c:spPr>
          </c:dPt>
          <c:dPt>
            <c:idx val="1"/>
            <c:bubble3D val="0"/>
            <c:spPr>
              <a:solidFill>
                <a:schemeClr val="accent2"/>
              </a:solidFill>
              <a:ln>
                <a:noFill/>
              </a:ln>
              <a:effectLst/>
            </c:spPr>
          </c:dPt>
          <c:dPt>
            <c:idx val="2"/>
            <c:bubble3D val="0"/>
            <c:spPr>
              <a:solidFill>
                <a:schemeClr val="accent3"/>
              </a:solidFill>
              <a:ln>
                <a:noFill/>
              </a:ln>
              <a:effectLst/>
            </c:spPr>
          </c:dPt>
          <c:dLbls>
            <c:spPr>
              <a:noFill/>
              <a:ln>
                <a:noFill/>
              </a:ln>
              <a:effectLst/>
            </c:spPr>
            <c:txPr>
              <a:bodyPr rot="0" spcFirstLastPara="0" vertOverflow="ellipsis" vert="horz" wrap="square" lIns="38100" tIns="19050" rIns="38100" bIns="19050" anchor="ctr" anchorCtr="1"/>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[customer_churn_analysis_dataset.xlsx]Sheet1!$A$4:$A$7</c:f>
              <c:strCache>
                <c:ptCount val="3"/>
                <c:pt idx="0">
                  <c:v>Basic</c:v>
                </c:pt>
                <c:pt idx="1">
                  <c:v>Premium</c:v>
                </c:pt>
                <c:pt idx="2">
                  <c:v>Standard</c:v>
                </c:pt>
              </c:strCache>
            </c:strRef>
          </c:cat>
          <c:val>
            <c:numRef>
              <c:f>[customer_churn_analysis_dataset.xlsx]Sheet1!$B$4:$B$7</c:f>
              <c:numCache>
                <c:formatCode>General</c:formatCode>
                <c:ptCount val="3"/>
                <c:pt idx="0">
                  <c:v>55</c:v>
                </c:pt>
                <c:pt idx="1">
                  <c:v>41</c:v>
                </c:pt>
                <c:pt idx="2">
                  <c:v>43</c:v>
                </c:pt>
              </c:numCache>
            </c:numRef>
          </c:val>
        </c:ser>
        <c:dLbls>
          <c:showLegendKey val="0"/>
          <c:showVal val="1"/>
          <c:showCatName val="0"/>
          <c:showSerName val="0"/>
          <c:showPercent val="1"/>
          <c:showBubbleSize val="1"/>
          <c:showLeaderLines val="1"/>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82f7604-bf60-4800-aed7-08f5ad74e085}"/>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[customer_churn_analysis_dataset.xlsx]Sheet7!PivotTable6</c:name>
    <c:fmtId val="-1"/>
  </c:pivotSource>
  <c:chart>
    <c:title>
      <c:tx>
        <c:rich>
          <a:bodyPr rot="0" spcFirstLastPara="0" vertOverflow="ellipsis" vert="horz" wrap="square" anchor="ctr" anchorCtr="1"/>
          <a:lstStyle/>
          <a:p>
            <a:pPr defTabSz="914400">
              <a:defRPr lang="en-GB" sz="1400" b="1" i="0" u="none" strike="noStrike" kern="1200" baseline="0">
                <a:solidFill>
                  <a:schemeClr val="dk1">
                    <a:lumMod val="75000"/>
                    <a:lumOff val="25000"/>
                  </a:schemeClr>
                </a:solidFill>
                <a:latin typeface="+mn-lt"/>
                <a:ea typeface="+mn-ea"/>
                <a:cs typeface="+mn-cs"/>
              </a:defRPr>
            </a:pPr>
            <a:r>
              <a:rPr lang="en-US" altLang="en-GB"/>
              <a:t>Churn by Region</a:t>
            </a:r>
            <a:endParaRPr lang="en-US" altLang="en-GB"/>
          </a:p>
        </c:rich>
      </c:tx>
      <c:layout/>
      <c:overlay val="0"/>
      <c:spPr>
        <a:noFill/>
        <a:ln>
          <a:noFill/>
        </a:ln>
        <a:effectLst/>
      </c:spPr>
    </c:title>
    <c:autoTitleDeleted val="0"/>
    <c:plotArea>
      <c:layout/>
      <c:barChart>
        <c:barDir val="col"/>
        <c:grouping val="clustered"/>
        <c:varyColors val="0"/>
        <c:ser>
          <c:idx val="0"/>
          <c:order val="0"/>
          <c:tx>
            <c:strRef>
              <c:f>[customer_churn_analysis_dataset.xlsx]Sheet7!$B$3</c:f>
              <c:strCache>
                <c:ptCount val="1"/>
                <c:pt idx="0">
                  <c:v>Total</c:v>
                </c:pt>
              </c:strCache>
            </c:strRef>
          </c:tx>
          <c:spPr>
            <a:gradFill>
              <a:gsLst>
                <a:gs pos="100000">
                  <a:schemeClr val="accent1"/>
                </a:gs>
                <a:gs pos="0">
                  <a:schemeClr val="accent1">
                    <a:hueOff val="-1670000"/>
                  </a:schemeClr>
                </a:gs>
              </a:gsLst>
              <a:lin ang="5400000" scaled="0"/>
            </a:gradFill>
            <a:ln>
              <a:gradFill>
                <a:gsLst>
                  <a:gs pos="100000">
                    <a:schemeClr val="accent1">
                      <a:lumMod val="75000"/>
                    </a:schemeClr>
                  </a:gs>
                  <a:gs pos="0">
                    <a:schemeClr val="accent1">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GB"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[customer_churn_analysis_dataset.txt]Sheet7!$A$4:$A$20</c:f>
              <c:strCache>
                <c:ptCount val="16"/>
                <c:pt idx="0">
                  <c:v>Ahafo</c:v>
                </c:pt>
                <c:pt idx="1">
                  <c:v>Ashanti</c:v>
                </c:pt>
                <c:pt idx="2">
                  <c:v>Bono</c:v>
                </c:pt>
                <c:pt idx="3">
                  <c:v>Bono East</c:v>
                </c:pt>
                <c:pt idx="4">
                  <c:v>Central</c:v>
                </c:pt>
                <c:pt idx="5">
                  <c:v>Eastern</c:v>
                </c:pt>
                <c:pt idx="6">
                  <c:v>Greater Accra</c:v>
                </c:pt>
                <c:pt idx="7">
                  <c:v>North East</c:v>
                </c:pt>
                <c:pt idx="8">
                  <c:v>Northern</c:v>
                </c:pt>
                <c:pt idx="9">
                  <c:v>Oti</c:v>
                </c:pt>
                <c:pt idx="10">
                  <c:v>Savannah</c:v>
                </c:pt>
                <c:pt idx="11">
                  <c:v>Upper East</c:v>
                </c:pt>
                <c:pt idx="12">
                  <c:v>Upper West</c:v>
                </c:pt>
                <c:pt idx="13">
                  <c:v>Volta</c:v>
                </c:pt>
                <c:pt idx="14">
                  <c:v>Western</c:v>
                </c:pt>
                <c:pt idx="15">
                  <c:v>Western North</c:v>
                </c:pt>
              </c:strCache>
            </c:strRef>
          </c:cat>
          <c:val>
            <c:numRef>
              <c:f>[customer_churn_analysis_dataset.txt]Sheet7!$B$4:$B$20</c:f>
              <c:numCache>
                <c:formatCode>General</c:formatCode>
                <c:ptCount val="16"/>
                <c:pt idx="0">
                  <c:v>10</c:v>
                </c:pt>
                <c:pt idx="1">
                  <c:v>8</c:v>
                </c:pt>
                <c:pt idx="2">
                  <c:v>6</c:v>
                </c:pt>
                <c:pt idx="3">
                  <c:v>11</c:v>
                </c:pt>
                <c:pt idx="4">
                  <c:v>6</c:v>
                </c:pt>
                <c:pt idx="5">
                  <c:v>12</c:v>
                </c:pt>
                <c:pt idx="6">
                  <c:v>4</c:v>
                </c:pt>
                <c:pt idx="7">
                  <c:v>14</c:v>
                </c:pt>
                <c:pt idx="8">
                  <c:v>8</c:v>
                </c:pt>
                <c:pt idx="9">
                  <c:v>13</c:v>
                </c:pt>
                <c:pt idx="10">
                  <c:v>9</c:v>
                </c:pt>
                <c:pt idx="11">
                  <c:v>9</c:v>
                </c:pt>
                <c:pt idx="12">
                  <c:v>4</c:v>
                </c:pt>
                <c:pt idx="13">
                  <c:v>9</c:v>
                </c:pt>
                <c:pt idx="14">
                  <c:v>8</c:v>
                </c:pt>
                <c:pt idx="15">
                  <c:v>8</c:v>
                </c:pt>
              </c:numCache>
            </c:numRef>
          </c:val>
        </c:ser>
        <c:dLbls>
          <c:showLegendKey val="0"/>
          <c:showVal val="1"/>
          <c:showCatName val="0"/>
          <c:showSerName val="0"/>
          <c:showPercent val="1"/>
          <c:showBubbleSize val="1"/>
        </c:dLbls>
        <c:gapWidth val="500"/>
        <c:overlap val="-50"/>
        <c:axId val="624410291"/>
        <c:axId val="790411429"/>
      </c:barChart>
      <c:catAx>
        <c:axId val="624410291"/>
        <c:scaling>
          <c:orientation val="minMax"/>
        </c:scaling>
        <c:delete val="0"/>
        <c:axPos val="b"/>
        <c:title>
          <c:tx>
            <c:rich>
              <a:bodyPr rot="0" spcFirstLastPara="0" vertOverflow="ellipsis" vert="horz" wrap="square" anchor="ctr" anchorCtr="1"/>
              <a:lstStyle/>
              <a:p>
                <a:pPr defTabSz="914400">
                  <a:defRPr lang="en-GB" sz="1000" b="0" i="0" u="none" strike="noStrike" kern="1200" baseline="0">
                    <a:solidFill>
                      <a:schemeClr val="dk1">
                        <a:lumMod val="65000"/>
                        <a:lumOff val="35000"/>
                      </a:schemeClr>
                    </a:solidFill>
                    <a:latin typeface="+mn-lt"/>
                    <a:ea typeface="+mn-ea"/>
                    <a:cs typeface="+mn-cs"/>
                  </a:defRPr>
                </a:pPr>
                <a:r>
                  <a:rPr lang="en-US" altLang="en-GB"/>
                  <a:t>Region</a:t>
                </a:r>
                <a:endParaRPr lang="en-US" altLang="en-GB"/>
              </a:p>
            </c:rich>
          </c:tx>
          <c:layout/>
          <c:overlay val="0"/>
          <c:spPr>
            <a:noFill/>
            <a:ln>
              <a:noFill/>
            </a:ln>
            <a:effectLst/>
          </c:spPr>
        </c:title>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GB" sz="900" b="0" i="0" u="none" strike="noStrike" kern="1200" baseline="0">
                <a:solidFill>
                  <a:schemeClr val="dk1">
                    <a:lumMod val="65000"/>
                    <a:lumOff val="35000"/>
                  </a:schemeClr>
                </a:solidFill>
                <a:latin typeface="+mn-lt"/>
                <a:ea typeface="+mn-ea"/>
                <a:cs typeface="+mn-cs"/>
              </a:defRPr>
            </a:pPr>
          </a:p>
        </c:txPr>
        <c:crossAx val="790411429"/>
        <c:crosses val="autoZero"/>
        <c:auto val="1"/>
        <c:lblAlgn val="ctr"/>
        <c:lblOffset val="100"/>
        <c:noMultiLvlLbl val="0"/>
      </c:catAx>
      <c:valAx>
        <c:axId val="79041142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GB" sz="1000" b="0" i="0" u="none" strike="noStrike" kern="1200" baseline="0">
                    <a:solidFill>
                      <a:schemeClr val="dk1">
                        <a:lumMod val="65000"/>
                        <a:lumOff val="35000"/>
                      </a:schemeClr>
                    </a:solidFill>
                    <a:latin typeface="+mn-lt"/>
                    <a:ea typeface="+mn-ea"/>
                    <a:cs typeface="+mn-cs"/>
                  </a:defRPr>
                </a:pPr>
                <a:r>
                  <a:rPr lang="en-US" altLang="en-GB"/>
                  <a:t>No. of Churns(yes)</a:t>
                </a:r>
                <a:endParaRPr lang="en-US" altLang="en-GB"/>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GB" sz="900" b="0" i="0" u="none" strike="noStrike" kern="1200" baseline="0">
                <a:solidFill>
                  <a:schemeClr val="dk1">
                    <a:lumMod val="65000"/>
                    <a:lumOff val="35000"/>
                  </a:schemeClr>
                </a:solidFill>
                <a:latin typeface="+mn-lt"/>
                <a:ea typeface="+mn-ea"/>
                <a:cs typeface="+mn-cs"/>
              </a:defRPr>
            </a:pPr>
          </a:p>
        </c:txPr>
        <c:crossAx val="624410291"/>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GB"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053531f-567c-4114-bb4d-957e0975d92b}"/>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GB"/>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[customer_churn_analysis_dataset.xlsx]Sheet5!PivotTable4</c:name>
    <c:fmtId val="-1"/>
  </c:pivotSource>
  <c:chart>
    <c:title>
      <c:layout>
        <c:manualLayout>
          <c:xMode val="edge"/>
          <c:yMode val="edge"/>
          <c:x val="0.420328947368421"/>
          <c:y val="0.0722222202354004"/>
        </c:manualLayout>
      </c:layout>
      <c:overlay val="0"/>
      <c:spPr>
        <a:noFill/>
        <a:ln>
          <a:noFill/>
        </a:ln>
        <a:effectLst/>
      </c:spPr>
      <c:txPr>
        <a:bodyPr rot="0" spcFirstLastPara="0" vertOverflow="ellipsis" vert="horz" wrap="square" anchor="ctr" anchorCtr="1"/>
        <a:lstStyle/>
        <a:p>
          <a:pPr>
            <a:defRPr lang="en-GB" sz="1400" b="0" i="0" u="none" strike="noStrike" kern="1200" spc="0" baseline="0">
              <a:solidFill>
                <a:schemeClr val="tx1">
                  <a:lumMod val="65000"/>
                  <a:lumOff val="35000"/>
                </a:schemeClr>
              </a:solidFill>
              <a:latin typeface="+mn-lt"/>
              <a:ea typeface="+mn-ea"/>
              <a:cs typeface="+mn-cs"/>
            </a:defRPr>
          </a:pPr>
        </a:p>
      </c:txPr>
    </c:title>
    <c:autoTitleDeleted val="0"/>
    <c:plotArea>
      <c:layout/>
      <c:pieChart>
        <c:varyColors val="1"/>
        <c:ser>
          <c:idx val="0"/>
          <c:order val="0"/>
          <c:tx>
            <c:strRef>
              <c:f>[customer_churn_analysis_dataset.xlsx]Sheet5!$B$3</c:f>
              <c:strCache>
                <c:ptCount val="1"/>
                <c:pt idx="0">
                  <c:v>Total</c:v>
                </c:pt>
              </c:strCache>
            </c:strRef>
          </c:tx>
          <c:spPr/>
          <c:explosion val="0"/>
          <c:dPt>
            <c:idx val="0"/>
            <c:bubble3D val="0"/>
            <c:spPr>
              <a:solidFill>
                <a:schemeClr val="accent1"/>
              </a:solidFill>
              <a:ln>
                <a:noFill/>
              </a:ln>
              <a:effectLst/>
            </c:spPr>
          </c:dPt>
          <c:dPt>
            <c:idx val="1"/>
            <c:bubble3D val="0"/>
            <c:spPr>
              <a:solidFill>
                <a:schemeClr val="accent2"/>
              </a:solidFill>
              <a:ln>
                <a:noFill/>
              </a:ln>
              <a:effectLst/>
            </c:spPr>
          </c:dPt>
          <c:dPt>
            <c:idx val="2"/>
            <c:bubble3D val="0"/>
            <c:spPr>
              <a:solidFill>
                <a:schemeClr val="accent3"/>
              </a:solidFill>
              <a:ln>
                <a:noFill/>
              </a:ln>
              <a:effectLst/>
            </c:spPr>
          </c:dPt>
          <c:dLbls>
            <c:spPr>
              <a:noFill/>
              <a:ln>
                <a:noFill/>
              </a:ln>
              <a:effectLst/>
            </c:spPr>
            <c:txPr>
              <a:bodyPr rot="0" spcFirstLastPara="0" vertOverflow="ellipsis" vert="horz" wrap="square" lIns="38100" tIns="19050" rIns="38100" bIns="19050" anchor="ctr" anchorCtr="1"/>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[customer_churn_analysis_dataset.txt]Sheet5!$A$4:$A$7</c:f>
              <c:strCache>
                <c:ptCount val="3"/>
                <c:pt idx="0">
                  <c:v>Overdue</c:v>
                </c:pt>
                <c:pt idx="1">
                  <c:v>Paid</c:v>
                </c:pt>
                <c:pt idx="2">
                  <c:v>Pending</c:v>
                </c:pt>
              </c:strCache>
            </c:strRef>
          </c:cat>
          <c:val>
            <c:numRef>
              <c:f>[customer_churn_analysis_dataset.txt]Sheet5!$B$4:$B$7</c:f>
              <c:numCache>
                <c:formatCode>General</c:formatCode>
                <c:ptCount val="3"/>
                <c:pt idx="0">
                  <c:v>54</c:v>
                </c:pt>
                <c:pt idx="1">
                  <c:v>41</c:v>
                </c:pt>
                <c:pt idx="2">
                  <c:v>44</c:v>
                </c:pt>
              </c:numCache>
            </c:numRef>
          </c:val>
        </c:ser>
        <c:dLbls>
          <c:showLegendKey val="0"/>
          <c:showVal val="1"/>
          <c:showCatName val="0"/>
          <c:showSerName val="0"/>
          <c:showPercent val="1"/>
          <c:showBubbleSize val="1"/>
          <c:showLeaderLines val="1"/>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b4a74e5-9152-43b3-8b49-77844365f016}"/>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7">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462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14</TotalTime>
  <ScaleCrop>false</ScaleCrop>
  <LinksUpToDate>false</LinksUpToDate>
  <CharactersWithSpaces>0</CharactersWithSpaces>
  <Application>WPS Office_12.2.0.23147_F1E327BC-269C-435d-A152-05C5408002CA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2025-11-05T19:21:00Z</dcterms:created>
  <dc:creator>Gifty Appiah</dc:creator>
  <cp:lastModifiedBy>Gifty Appiah</cp:lastModifiedBy>
  <dcterms:modified xsi:type="dcterms:W3CDTF">2025-11-18T03:03:44Z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2057-12.2.0.23147</vt:lpwstr>
  </property>
  <property fmtid="{D5CDD505-2E9C-101B-9397-08002B2CF9AE}" pid="3" name="ICV">
    <vt:lpwstr>710163DFB1154B9BA910D30C22543DBB_11</vt:lpwstr>
  </property>
</Properties>
</file>