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F3864"/>
          <w:sz w:val="36"/>
        </w:rPr>
        <w:t>aryx-o — OCI Services Reference Table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Project: </w:t>
      </w:r>
      <w:r>
        <w:rPr>
          <w:rFonts w:ascii="Calibri" w:hAnsi="Calibri"/>
          <w:sz w:val="22"/>
        </w:rPr>
        <w:t>aryx Knowledge Graph Platform (Oracle Edition)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Date: </w:t>
      </w:r>
      <w:r>
        <w:rPr>
          <w:rFonts w:ascii="Calibri" w:hAnsi="Calibri"/>
          <w:sz w:val="22"/>
        </w:rPr>
        <w:t>2026-06-20</w:t>
      </w:r>
    </w:p>
    <w:p>
      <w:pPr>
        <w:pBdr>
          <w:bottom w:val="single" w:sz="4" w:space="1" w:color="C0C0C0"/>
        </w:pBdr>
        <w:spacing w:before="80" w:after="80"/>
      </w:pPr>
    </w:p>
    <w:tbl>
      <w:tblPr>
        <w:tblStyle w:val="TableGrid"/>
        <w:tblW w:type="dxa" w:w="15134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Purpose in aryx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Configuration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Monthly Cost (Small / Medium / Large)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Scalability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Object Storage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Staging bucket for uploaded files; stores Spark scripts, logs, RDF exports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Standard tier · 1 bucket · lifecycle policy: delete staging files after 7 days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 / $0.05 / $0.26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Linear — $0.0255/GB/month. Auto-scales to petabytes. No throughput cap.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Document Understanding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Replaces pymupdf + pytesseract. Parses PDFs with layout awareness, table detection, and scanned OCR. Fixes P1 parse quality gap.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REST API — no provisioning. Call analyze_document per file. Enable: Text Detection + Table Detection. Always Free: 1,000 pages/month.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$46 / $345 / $2,300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Per-page pricing. Parallel API calls handled by OCI. No concurrency limit documented.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Generative AI — Embed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Embeds chunks into 768-dim vectors stored in aryx_chunk_embedding. Cohere Embed v3 Multilingual.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provisioning — REST API via generativeai.GenerativeAiInferenceClient. Batch up to 96 texts per call. Region: us-chicago-1.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$0.20 / $1.20 / $8.00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$0.0001/1K tokens. OCI auto-scales inference fleet. No rate limit at standard tier.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Generative AI — Command R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Entity + relationship extraction per chunk. Runs LLMGraphTransformer prompt. Replaces extract_mentions() single-entity calls with triple extraction.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Same client as Embed. Model: cohere.command-r-08-2024. Set max_tokens=1024, temperature=0. Use for extraction only (menial tier).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$9.30 / $55.80 / $372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$0.00015/1K input + $0.00060/1K output. Scales horizontally — concurrent calls supported.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Generative AI — Command R+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Ask synthesis and Select AI NL→SQL translation. Frontier tier only — higher accuracy for natural language answers.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Same client. Model: cohere.command-r-plus-08-2024. Reserved for Ask flow and CQ generation only. Do not use for bulk extraction.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$46 / $230 / $1,150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$0.003/1K input + $0.015/1K output. Horizontally scalable. Use Command R for cost control at scale.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Oracle Autonomous Database 23ai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Converged store: relational tables (aryx_entity, aryx_chunk), vector store (aryx_chunk_embedding), SQL:2023 property graph (GRAPH_TABLE), Select AI NL→SQL, and RDF via Graph Studio. Replaces FalkorDB projection bottleneck (P1).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Console → Oracle Database → Autonomous Database → Create. Workload: Transaction Processing. ECPUs: 2 (Small), 4 (Medium), 8 (Large). Storage: 100 GB (Small), 500 GB (Large). Enable: Vector Search, Graph Studio, Select AI.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 / $65 / $180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Auto-scale ECPUs 1–128. Storage grows on demand. SQL:2023 graph runs on indexed relational tables — no separate projection job.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Oracle Graph Studio (RDF)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SPARQL endpoint over OWL/Turtle export from rdf/exporter.py. Enables CQ execution via SEM_MATCH. Bundled in ADB — no separate service.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Enabled automatically with ADB 23ai. Load RDF model via Graph Studio UI or REST: POST /rdf/admin/managed/models. SPARQL endpoint: https://{adb-host}/rdf/store.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 (bundled in ADB)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Scales with ADB ECPU allocation. RDF reasoning (RDFS++) runs in-database.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Oracle PGX (Graph Server)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OWL 2 RL reasoning engine. Replaces Python rule loop in reasoning/engine.py (P2 bottleneck — O(rules × entities)). Runs as a batch job after each ingest cycle.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Marketplace → Oracle Graph Server. Shape: VM.Standard.E4.Flex (2 OCPU, 32 GB). Always Free option: VM.Standard.A1.Flex (4 OCPU, 24 GB). Open port 7007 for PGX REST API.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 (A1.Flex) / $36 / $73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PGX is in-memory graph. Scales by loading graph partitions. For &gt;50M edges, use PGX distributed mode (additional VMs).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Functions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Serverless pipeline worker. Replaces BackgroundTasks.add_task() (P4 bottleneck — single-threaded). Each document upload triggers one function invocation. Multiple documents run in parallel automatically.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Console → Developer Services → Functions → Create Application. Functions: aryx-ingest-fn (512 MB, 300s timeout), aryx-resolve-fn (1 GB, 600s timeout). Always Free: 2M calls + 400K GB-sec/month.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 / $0.36 / $4.89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Auto-scales to thousands of concurrent invocations. Concurrency limit configurable per function (default 40). 6-minute max per invocation — use Data Flow for large docs.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3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16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Data Flow (Apache Spark)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02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Managed Spark batch worker. Alternative to OCI Functions for bulk ingestion (100+ documents, nightly jobs). Distributes pipeline stages across executors — one partition per N documents. Fixes P4 at batch scale.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4031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Console → Analytics &amp; AI → Data Flow → Create Application. Language: Python. Driver: VM.Standard.E4.Flex (2 OCPU). Executors: VM.Standard.E4.Flex (2 OCPU) × 4. Script: stored in Object Storage.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1886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$0.30 / $0.70 / $0.90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Scale executors 1–64 per job. Auto-scaling supported. Spark handles retry and lineage — replaces StageRunner checkpoint logic for batch runs.</w:t>
            </w:r>
          </w:p>
        </w:tc>
      </w:tr>
    </w:tbl>
    <w:p>
      <w:pPr>
        <w:pBdr>
          <w:bottom w:val="single" w:sz="4" w:space="1" w:color="C0C0C0"/>
        </w:pBdr>
        <w:spacing w:before="80" w:after="80"/>
      </w:pPr>
    </w:p>
    <w:p>
      <w:pPr>
        <w:spacing w:before="160" w:after="120"/>
      </w:pPr>
      <w:r>
        <w:rPr>
          <w:rFonts w:ascii="Calibri" w:hAnsi="Calibri"/>
          <w:b/>
          <w:color w:val="2E5FA3"/>
          <w:sz w:val="28"/>
        </w:rPr>
        <w:t>Scalability Summary</w:t>
      </w:r>
    </w:p>
    <w:tbl>
      <w:tblPr>
        <w:tblStyle w:val="TableGrid"/>
        <w:tblW w:type="dxa" w:w="15134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Bottleneck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Bottleneck Source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OCI Service That Fixes It</w:t>
            </w:r>
          </w:p>
        </w:tc>
        <w:tc>
          <w:tcPr>
            <w:shd w:val="clear" w:color="auto" w:fill="1F3864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P1 — fetchall RAM spike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entity_store.py — full table to Python list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Oracle ADB 23ai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SQL:2023 property graph runs on ADB indexes — no Python-side projection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P2 — Python rule loop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reasoning/engine.py:115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Oracle PGX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OWL 2 RL rules execute in native Java graph engine — 10–100× faster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P3 — silent 5000 block drop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resolution/blocking.py:100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Data Flow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Spark partitions blocks — no in-memory cap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P4 — single-threaded worker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file_ingest_api.py:132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Functions / Data Flow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Functions: one invocation per doc. Data Flow: one executor per doc partition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P5 — 500-result graph cap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graph/reader.py:63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Oracle ADB 23ai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 hard cap — query returns full result set via SQL pagination</w:t>
            </w:r>
          </w:p>
        </w:tc>
      </w:tr>
      <w:tr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P6 — 50-pair relate cap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pipeline/orchestrate.py:50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OCI GenAI (LLMGraphTransformer)</w:t>
            </w:r>
          </w:p>
        </w:tc>
        <w:tc>
          <w:tcPr>
            <w:shd w:val="clear" w:color="auto" w:fill="E8F0FE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Extracts all triples per chunk in one call — no pair limit</w:t>
            </w:r>
          </w:p>
        </w:tc>
      </w:tr>
      <w:tr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2592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P7 — 4-hop transitive limit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14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reasoning/edge_axioms.py:17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3600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Oracle PGX</w:t>
            </w:r>
          </w:p>
        </w:tc>
        <w:tc>
          <w:tcPr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tcW w:w="5328" w:type="dxa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Full transitive closure computed natively — configurable depth</w:t>
            </w:r>
          </w:p>
        </w:tc>
      </w:tr>
    </w:tbl>
    <w:p>
      <w:pPr>
        <w:pBdr>
          <w:bottom w:val="single" w:sz="4" w:space="1" w:color="C0C0C0"/>
        </w:pBdr>
        <w:spacing w:before="80" w:after="80"/>
      </w:pPr>
    </w:p>
    <w:p>
      <w:r>
        <w:rPr>
          <w:rFonts w:ascii="Calibri" w:hAnsi="Calibri"/>
          <w:i/>
          <w:color w:val="606060"/>
          <w:sz w:val="18"/>
        </w:rPr>
        <w:t>OCI public pricing — US Midwest (Chicago) region. Always Free allocations applied at Small scale.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