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CPQ UI Attribute Split &amp; cacheInstanceId Process</w:t>
      </w:r>
    </w:p>
    <w:p>
      <w:pPr>
        <w:spacing w:after="100"/>
      </w:pPr>
      <w:r>
        <w:rPr>
          <w:b/>
          <w:bCs/>
          <w:color w:val="555555"/>
          <w:sz w:val="22"/>
          <w:szCs w:val="22"/>
        </w:rPr>
        <w:t xml:space="preserve">Confirmed Root Cause — the "8 vs 83 attributes" question, resolved</w:t>
      </w:r>
    </w:p>
    <w:p>
      <w:pPr>
        <w:spacing w:after="120"/>
      </w:pPr>
      <w:r>
        <w:rPr>
          <w:i/>
          <w:iCs/>
          <w:color w:val="555555"/>
        </w:rPr>
        <w:t xml:space="preserve">Session date: 2026-08-04 · Source: Quoting by NLP - CPQ APIs (1).xlsx (real, captured Oracle CPQ REST call samples) cross-referenced against this session's live Aryx testing and raw catalog XML analysis.</w:t>
      </w:r>
    </w:p>
    <w:p>
      <w:pPr>
        <w:pBdr>
          <w:bottom w:val="single" w:color="AAAAAA" w:sz="6" w:space="1"/>
        </w:pBdr>
        <w:spacing w:after="200" w:before="200"/>
      </w:pPr>
    </w:p>
    <w:p>
      <w:pPr>
        <w:pStyle w:val="Heading1"/>
        <w:spacing w:after="150" w:before="300"/>
      </w:pPr>
      <w:r>
        <w:t xml:space="preserve">Problem Statement</w:t>
      </w:r>
    </w:p>
    <w:p>
      <w:pPr>
        <w:pBdr>
          <w:left w:val="single" w:color="9C2A2A" w:sz="18" w:space="8"/>
        </w:pBdr>
        <w:shd w:fill="FBEAEA" w:val="clear"/>
        <w:spacing w:after="140" w:before="100"/>
      </w:pPr>
      <w:r>
        <w:rPr>
          <w:b/>
          <w:bCs/>
          <w:color w:val="9C2A2A"/>
        </w:rPr>
        <w:t xml:space="preserve">Problem: </w:t>
      </w:r>
      <w:r>
        <w:rPr>
          <w:i/>
          <w:iCs/>
        </w:rPr>
        <w:t xml:space="preserve">Throughout this session, comparisons between a small (~8-field) "reference/correct" payload and Aryx's full (~80-90 field) generated payload were treated as an open question: were these two genuinely comparable, or structurally different calls being compared? This document resolves that question definitively, using real captured API request/response samples — not inference.</w:t>
      </w:r>
    </w:p>
    <w:p>
      <w:pPr>
        <w:pStyle w:val="Heading1"/>
        <w:spacing w:after="150" w:before="300"/>
      </w:pPr>
      <w:r>
        <w:t xml:space="preserve">Confirmed — the real Oracle CPQ REST flow splits configuration across TWO distinct API calls, not 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800"/>
      </w:tblGrid>
      <w:tr>
        <w:tc>
          <w:tcPr>
            <w:tcW w:type="dxa" w:w="1400"/>
            <w:shd w:fill="2F5496" w:val="clear"/>
          </w:tcPr>
          <w:p>
            <w:r>
              <w:rPr>
                <w:b/>
                <w:bCs/>
                <w:color w:val="FFFFFF"/>
                <w:sz w:val="18"/>
                <w:szCs w:val="18"/>
              </w:rPr>
              <w:t xml:space="preserve">Step</w:t>
            </w:r>
          </w:p>
        </w:tc>
        <w:tc>
          <w:tcPr>
            <w:tcW w:type="dxa" w:w="1800"/>
            <w:shd w:fill="2F5496" w:val="clear"/>
          </w:tcPr>
          <w:p>
            <w:r>
              <w:rPr>
                <w:b/>
                <w:bCs/>
                <w:color w:val="FFFFFF"/>
                <w:sz w:val="18"/>
                <w:szCs w:val="18"/>
              </w:rPr>
              <w:t xml:space="preserve">API</w:t>
            </w:r>
          </w:p>
        </w:tc>
        <w:tc>
          <w:tcPr>
            <w:tcW w:type="dxa" w:w="6800"/>
            <w:shd w:fill="2F5496" w:val="clear"/>
          </w:tcPr>
          <w:p>
            <w:r>
              <w:rPr>
                <w:b/>
                <w:bCs/>
                <w:color w:val="FFFFFF"/>
                <w:sz w:val="18"/>
                <w:szCs w:val="18"/>
              </w:rPr>
              <w:t xml:space="preserve">Purpose (per the sheet's own "Outcome" column)</w:t>
            </w:r>
          </w:p>
        </w:tc>
      </w:tr>
      <w:tr>
        <w:tc>
          <w:tcPr>
            <w:tcW w:type="dxa" w:w="1400"/>
          </w:tcPr>
          <w:p>
            <w:r>
              <w:rPr>
                <w:sz w:val="18"/>
                <w:szCs w:val="18"/>
              </w:rPr>
              <w:t xml:space="preserve">1</w:t>
            </w:r>
          </w:p>
        </w:tc>
        <w:tc>
          <w:tcPr>
            <w:tcW w:type="dxa" w:w="1800"/>
          </w:tcPr>
          <w:p>
            <w:r>
              <w:rPr>
                <w:sz w:val="18"/>
                <w:szCs w:val="18"/>
              </w:rPr>
              <w:t xml:space="preserve">_new_transaction</w:t>
            </w:r>
          </w:p>
        </w:tc>
        <w:tc>
          <w:tcPr>
            <w:tcW w:type="dxa" w:w="6800"/>
          </w:tcPr>
          <w:p>
            <w:r>
              <w:rPr>
                <w:sz w:val="18"/>
                <w:szCs w:val="18"/>
              </w:rPr>
              <w:t xml:space="preserve">Creates the quote; returns bs_id</w:t>
            </w:r>
          </w:p>
        </w:tc>
      </w:tr>
      <w:tr>
        <w:tc>
          <w:tcPr>
            <w:tcW w:type="dxa" w:w="1400"/>
          </w:tcPr>
          <w:p>
            <w:r>
              <w:rPr>
                <w:sz w:val="18"/>
                <w:szCs w:val="18"/>
              </w:rPr>
              <w:t xml:space="preserve">2</w:t>
            </w:r>
          </w:p>
        </w:tc>
        <w:tc>
          <w:tcPr>
            <w:tcW w:type="dxa" w:w="1800"/>
          </w:tcPr>
          <w:p>
            <w:r>
              <w:rPr>
                <w:sz w:val="18"/>
                <w:szCs w:val="18"/>
              </w:rPr>
              <w:t xml:space="preserve">changeCustomer_t</w:t>
            </w:r>
          </w:p>
        </w:tc>
        <w:tc>
          <w:tcPr>
            <w:tcW w:type="dxa" w:w="6800"/>
          </w:tcPr>
          <w:p>
            <w:r>
              <w:rPr>
                <w:sz w:val="18"/>
                <w:szCs w:val="18"/>
              </w:rPr>
              <w:t xml:space="preserve">Attaches the customer</w:t>
            </w:r>
          </w:p>
        </w:tc>
      </w:tr>
      <w:tr>
        <w:tc>
          <w:tcPr>
            <w:tcW w:type="dxa" w:w="1400"/>
          </w:tcPr>
          <w:p>
            <w:r>
              <w:rPr>
                <w:sz w:val="18"/>
                <w:szCs w:val="18"/>
              </w:rPr>
              <w:t xml:space="preserve">3</w:t>
            </w:r>
          </w:p>
        </w:tc>
        <w:tc>
          <w:tcPr>
            <w:tcW w:type="dxa" w:w="1800"/>
          </w:tcPr>
          <w:p>
            <w:r>
              <w:rPr>
                <w:sz w:val="18"/>
                <w:szCs w:val="18"/>
              </w:rPr>
              <w:t xml:space="preserve">cleanSave_t</w:t>
            </w:r>
          </w:p>
        </w:tc>
        <w:tc>
          <w:tcPr>
            <w:tcW w:type="dxa" w:w="6800"/>
          </w:tcPr>
          <w:p>
            <w:r>
              <w:rPr>
                <w:sz w:val="18"/>
                <w:szCs w:val="18"/>
              </w:rPr>
              <w:t xml:space="preserve">Checkpoint save</w:t>
            </w:r>
          </w:p>
        </w:tc>
      </w:tr>
      <w:tr>
        <w:tc>
          <w:tcPr>
            <w:tcW w:type="dxa" w:w="1400"/>
          </w:tcPr>
          <w:p>
            <w:r>
              <w:rPr>
                <w:sz w:val="18"/>
                <w:szCs w:val="18"/>
              </w:rPr>
              <w:t xml:space="preserve">4</w:t>
            </w:r>
          </w:p>
        </w:tc>
        <w:tc>
          <w:tcPr>
            <w:tcW w:type="dxa" w:w="1800"/>
          </w:tcPr>
          <w:p>
            <w:r>
              <w:rPr>
                <w:sz w:val="18"/>
                <w:szCs w:val="18"/>
              </w:rPr>
              <w:t xml:space="preserve">_configure</w:t>
            </w:r>
          </w:p>
        </w:tc>
        <w:tc>
          <w:tcPr>
            <w:tcW w:type="dxa" w:w="6800"/>
          </w:tcPr>
          <w:p>
            <w:r>
              <w:rPr>
                <w:sz w:val="18"/>
                <w:szCs w:val="18"/>
              </w:rPr>
              <w:t xml:space="preserve">Starts a configuration session. cacheInstanceId="-1" signals no session yet. Sends only a SMALL, curated configData. Outcome: "Collect cacheInstanceId required for further API request."</w:t>
            </w:r>
          </w:p>
        </w:tc>
      </w:tr>
      <w:tr>
        <w:tc>
          <w:tcPr>
            <w:tcW w:type="dxa" w:w="1400"/>
          </w:tcPr>
          <w:p>
            <w:r>
              <w:rPr>
                <w:sz w:val="18"/>
                <w:szCs w:val="18"/>
              </w:rPr>
              <w:t xml:space="preserve">5</w:t>
            </w:r>
          </w:p>
        </w:tc>
        <w:tc>
          <w:tcPr>
            <w:tcW w:type="dxa" w:w="1800"/>
          </w:tcPr>
          <w:p>
            <w:r>
              <w:rPr>
                <w:sz w:val="18"/>
                <w:szCs w:val="18"/>
              </w:rPr>
              <w:t xml:space="preserve">_interact</w:t>
            </w:r>
          </w:p>
        </w:tc>
        <w:tc>
          <w:tcPr>
            <w:tcW w:type="dxa" w:w="6800"/>
          </w:tcPr>
          <w:p>
            <w:r>
              <w:rPr>
                <w:sz w:val="18"/>
                <w:szCs w:val="18"/>
              </w:rPr>
              <w:t xml:space="preserve">Called with the now-populated cacheInstanceId. Outcome (verbatim): "Call the interact API with configData for the attributes where the values are not been sent in _configure."</w:t>
            </w:r>
          </w:p>
        </w:tc>
      </w:tr>
      <w:tr>
        <w:tc>
          <w:tcPr>
            <w:tcW w:type="dxa" w:w="1400"/>
          </w:tcPr>
          <w:p>
            <w:r>
              <w:rPr>
                <w:sz w:val="18"/>
                <w:szCs w:val="18"/>
              </w:rPr>
              <w:t xml:space="preserve">6</w:t>
            </w:r>
          </w:p>
        </w:tc>
        <w:tc>
          <w:tcPr>
            <w:tcW w:type="dxa" w:w="1800"/>
          </w:tcPr>
          <w:p>
            <w:r>
              <w:rPr>
                <w:sz w:val="18"/>
                <w:szCs w:val="18"/>
              </w:rPr>
              <w:t xml:space="preserve">_update</w:t>
            </w:r>
          </w:p>
        </w:tc>
        <w:tc>
          <w:tcPr>
            <w:tcW w:type="dxa" w:w="6800"/>
          </w:tcPr>
          <w:p>
            <w:r>
              <w:rPr>
                <w:sz w:val="18"/>
                <w:szCs w:val="18"/>
              </w:rPr>
              <w:t xml:space="preserve">cacheInstanceId only, no configData — a refresh/ack call.</w:t>
            </w:r>
          </w:p>
        </w:tc>
      </w:tr>
      <w:tr>
        <w:tc>
          <w:tcPr>
            <w:tcW w:type="dxa" w:w="1400"/>
          </w:tcPr>
          <w:p>
            <w:r>
              <w:rPr>
                <w:sz w:val="18"/>
                <w:szCs w:val="18"/>
              </w:rPr>
              <w:t xml:space="preserve">7</w:t>
            </w:r>
          </w:p>
        </w:tc>
        <w:tc>
          <w:tcPr>
            <w:tcW w:type="dxa" w:w="1800"/>
          </w:tcPr>
          <w:p>
            <w:r>
              <w:rPr>
                <w:sz w:val="18"/>
                <w:szCs w:val="18"/>
              </w:rPr>
              <w:t xml:space="preserve">_addToTxn</w:t>
            </w:r>
          </w:p>
        </w:tc>
        <w:tc>
          <w:tcPr>
            <w:tcW w:type="dxa" w:w="6800"/>
          </w:tcPr>
          <w:p>
            <w:r>
              <w:rPr>
                <w:sz w:val="18"/>
                <w:szCs w:val="18"/>
              </w:rPr>
              <w:t xml:space="preserve">cacheInstanceId only — finalizes the configuration onto the transaction.</w:t>
            </w:r>
          </w:p>
        </w:tc>
      </w:tr>
      <w:tr>
        <w:tc>
          <w:tcPr>
            <w:tcW w:type="dxa" w:w="1400"/>
          </w:tcPr>
          <w:p>
            <w:r>
              <w:rPr>
                <w:sz w:val="18"/>
                <w:szCs w:val="18"/>
              </w:rPr>
              <w:t xml:space="preserve">8</w:t>
            </w:r>
          </w:p>
        </w:tc>
        <w:tc>
          <w:tcPr>
            <w:tcW w:type="dxa" w:w="1800"/>
          </w:tcPr>
          <w:p>
            <w:r>
              <w:rPr>
                <w:sz w:val="18"/>
                <w:szCs w:val="18"/>
              </w:rPr>
              <w:t xml:space="preserve">cleanSave_t</w:t>
            </w:r>
          </w:p>
        </w:tc>
        <w:tc>
          <w:tcPr>
            <w:tcW w:type="dxa" w:w="6800"/>
          </w:tcPr>
          <w:p>
            <w:r>
              <w:rPr>
                <w:sz w:val="18"/>
                <w:szCs w:val="18"/>
              </w:rPr>
              <w:t xml:space="preserve">Final save; then line-item quantities via a separate cleanSave_t call.</w:t>
            </w:r>
          </w:p>
        </w:tc>
      </w:tr>
    </w:tbl>
    <w:p>
      <w:pPr>
        <w:spacing w:after="150"/>
      </w:pPr>
    </w:p>
    <w:p>
      <w:pPr>
        <w:pBdr>
          <w:left w:val="single" w:color="1B7A1B" w:sz="18" w:space="8"/>
        </w:pBdr>
        <w:shd w:fill="EAF3EA" w:val="clear"/>
        <w:spacing w:after="140" w:before="100"/>
      </w:pPr>
      <w:r>
        <w:rPr>
          <w:b/>
          <w:bCs/>
          <w:color w:val="1B7A1B"/>
        </w:rPr>
        <w:t xml:space="preserve">Confirmed: </w:t>
      </w:r>
      <w:r>
        <w:t xml:space="preserve">The line "call _interact with configData for the attributes where the values are not been sent in _configure" is the confirmed, documented resolution to the "8 vs 83 attributes" question raised throughout this session. The real system was never expected to receive everything in one call. It is architected as exactly two configData-bearing calls: a small _configure payload, then one or more _interact calls carrying everything else.</w:t>
      </w:r>
    </w:p>
    <w:p>
      <w:pPr>
        <w:pStyle w:val="Heading2"/>
        <w:spacing w:after="100" w:before="220"/>
      </w:pPr>
      <w:r>
        <w:t xml:space="preserve">The _configure sample payload (the small, ~8-field reference)</w:t>
      </w:r>
    </w:p>
    <w:p>
      <w:pPr>
        <w:pBdr>
          <w:left w:val="single" w:color="999999" w:sz="12" w:space="8"/>
        </w:pBdr>
        <w:shd w:fill="F5F5F5" w:val="clear"/>
        <w:spacing w:after="200" w:before="100"/>
      </w:pPr>
      <w:r>
        <w:rPr>
          <w:rFonts w:ascii="Consolas" w:cs="Consolas" w:eastAsia="Consolas" w:hAnsi="Consolas"/>
          <w:sz w:val="18"/>
          <w:szCs w:val="18"/>
        </w:rPr>
        <w:t xml:space="preserve">"cacheInstanceId": "-1",
"bsId": 23404274117,
"documentId": 36244074,
"configData": {
  "hWVersion_astro": { "value": "NEXT ENHANCED LTE PLUS 5G" },
  "productSelectionProduct_all": { "value": "APX NEXT XE 4G LTE PLUS 5G" },
  "modelSelectionFrequencyBandMsl_astro": { "items": [{ "value": "UHF" }] },
  "baselineReleaseSW_astro": { "value": "LATEST RELEASE" },
  "isProvisioningRequiredInCloudEnv_astro": { "value": "YES" },
  "wirelessCarrier_astro": { "value": null },
  "carrierSelectionMultiSelect_astro": { "items": [{ "value": "ATT/FIRSTNET" }] }
}</w:t>
      </w:r>
    </w:p>
    <w:p>
      <w:pPr>
        <w:pStyle w:val="Heading1"/>
        <w:spacing w:after="150" w:before="300"/>
      </w:pPr>
      <w:r>
        <w:t xml:space="preserve">Second confirming example — SVX Video Remote Speaker sample</w:t>
      </w:r>
    </w:p>
    <w:p>
      <w:pPr>
        <w:spacing w:after="120"/>
      </w:pPr>
      <w:r>
        <w:t xml:space="preserve">The xlsx's "SVX Video Remote Speaker" sheet shows a real, more elaborate case with the SAME two-call split, plus an explicit flag confirming the mechanism:</w:t>
      </w:r>
    </w:p>
    <w:p>
      <w:pPr>
        <w:pStyle w:val="ListParagraph"/>
        <w:numPr>
          <w:ilvl w:val="0"/>
          <w:numId w:val="1"/>
        </w:numPr>
        <w:spacing w:after="80"/>
      </w:pPr>
      <w:r>
        <w:t xml:space="preserve">_configure's configData carries a first set of attributes (ultimateDestinationCountry, archeType_viSoln, dMSDuration_viSoln, modelSelectionSelectModel_viSoln, refresh_viSoln, an array-set for mounting quantity).</w:t>
      </w:r>
    </w:p>
    <w:p>
      <w:pPr>
        <w:pStyle w:val="ListParagraph"/>
        <w:numPr>
          <w:ilvl w:val="0"/>
          <w:numId w:val="1"/>
        </w:numPr>
        <w:spacing w:after="80"/>
      </w:pPr>
      <w:r>
        <w:t xml:space="preserve">_interact's request body explicitly includes "delta": true alongside its own configData — confirming, at the field level, that this second call's payload is understood by the system as an incremental delta on top of _configure's state, not a replacement or a duplicate.</w:t>
      </w:r>
    </w:p>
    <w:p>
      <w:pPr>
        <w:pStyle w:val="Heading1"/>
        <w:spacing w:after="150" w:before="300"/>
      </w:pPr>
      <w:r>
        <w:t xml:space="preserve">What this means for Aryx's current behavior</w:t>
      </w:r>
    </w:p>
    <w:p>
      <w:pPr>
        <w:spacing w:after="120"/>
      </w:pPr>
      <w:r>
        <w:rPr>
          <w:b/>
          <w:bCs/>
        </w:rPr>
        <w:t xml:space="preserve">Aryx's build_payload() currently emits ONE single, complete configData snapshot (~80-90 attributes for a typical APX NEXT order) at confirm time, with no concept of a two-call split or a cacheInstanceId session at all. This was investigated and confirmed genuine this session:</w:t>
      </w:r>
    </w:p>
    <w:p>
      <w:pPr>
        <w:pStyle w:val="ListParagraph"/>
        <w:numPr>
          <w:ilvl w:val="0"/>
          <w:numId w:val="1"/>
        </w:numPr>
        <w:spacing w:after="80"/>
      </w:pPr>
      <w:r>
        <w:t xml:space="preserve">All ~80-90 attributes Aryx emits are legitimate, real, transaction-eligible catalog data (verified directly against the raw XML: none carry hidden=1, hide_in_trans=1, or set_type=2 — the flags that would mark them as internal noise). Aryx is not shipping garbage.</w:t>
      </w:r>
    </w:p>
    <w:p>
      <w:pPr>
        <w:pStyle w:val="ListParagraph"/>
        <w:numPr>
          <w:ilvl w:val="0"/>
          <w:numId w:val="1"/>
        </w:numPr>
        <w:spacing w:after="80"/>
      </w:pPr>
      <w:r>
        <w:t xml:space="preserve">The catalog's own layout/UI-placement data (checked via both the ingested database and the raw XML export) does NOT contain a native-UI "one screen's worth of fields" grouping finer than a ~35-attribute section — so Aryx's engine has no data-driven way to know, on its own, which attributes belong in an initial _configure call versus a follow-up _interact delta call.</w:t>
      </w:r>
    </w:p>
    <w:p>
      <w:pPr>
        <w:pStyle w:val="ListParagraph"/>
        <w:numPr>
          <w:ilvl w:val="0"/>
          <w:numId w:val="1"/>
        </w:numPr>
        <w:spacing w:after="80"/>
      </w:pPr>
      <w:r>
        <w:t xml:space="preserve">The _configure-vs-_interact split is a property of the DOWNSTREAM INTEGRATION LAYER (whatever system takes Aryx's cpq_payload and drives the actual Oracle CPQ REST sequence) — not something Aryx's conversational engine currently has a mechanism for, and not something derivable purely from the catalog data ingested so far.</w:t>
      </w:r>
    </w:p>
    <w:p>
      <w:pPr>
        <w:pStyle w:val="Heading1"/>
        <w:spacing w:after="150" w:before="300"/>
      </w:pPr>
      <w:r>
        <w:t xml:space="preserve">Recommendation</w:t>
      </w:r>
    </w:p>
    <w:p>
      <w:pPr>
        <w:pStyle w:val="ListParagraph"/>
        <w:numPr>
          <w:ilvl w:val="0"/>
          <w:numId w:val="1"/>
        </w:numPr>
        <w:spacing w:after="80"/>
      </w:pPr>
      <w:r>
        <w:rPr>
          <w:b/>
          <w:bCs/>
        </w:rPr>
        <w:t xml:space="preserve">Do NOT attempt to shrink Aryx's build_payload() output to ~8 fields. That would under-serve the _interact step, which is explicitly designed to receive "the attributes where the values are not been sent in _configure" — i.e., the bulk of a real configuration is SUPPOSED to travel through _interact, not be discarded.</w:t>
      </w:r>
    </w:p>
    <w:p>
      <w:pPr>
        <w:pStyle w:val="ListParagraph"/>
        <w:numPr>
          <w:ilvl w:val="0"/>
          <w:numId w:val="1"/>
        </w:numPr>
        <w:spacing w:after="80"/>
      </w:pPr>
      <w:r>
        <w:t xml:space="preserve">The real fix belongs in the integration layer, not in Aryx's engine: whatever component calls Oracle CPQ's REST API needs to split Aryx's full cpq_payload into (a) a small _configure call carrying the core identity/decision attributes (Hardware Version, Product, the primary Frequency Band/Carrier selections, Software Release, Cloud Provisioning) and (b) one or more subsequent _interact calls (with "delta": true) carrying the remaining auto-configured attributes.</w:t>
      </w:r>
    </w:p>
    <w:p>
      <w:pPr>
        <w:pStyle w:val="ListParagraph"/>
        <w:numPr>
          <w:ilvl w:val="0"/>
          <w:numId w:val="1"/>
        </w:numPr>
        <w:spacing w:after="80"/>
      </w:pPr>
      <w:r>
        <w:t xml:space="preserve">A precise, catalog-verified list of which attributes belong in the "core _configure" bucket is available from this session's live testing — matches, field-for-field, the reference sample discussed throughout this session (hWVersion_astro, productSelectionProduct_all, modelSelectionFrequencyBandMsl_astro, baselineReleaseSW_astro, isProvisioningRequiredInCloudEnv_astro, wirelessCarrier_astro, carrierSelectionMultiSelect_astro, plus ultimateDestinationCountry).</w:t>
      </w:r>
    </w:p>
    <w:p>
      <w:pPr>
        <w:pStyle w:val="ListParagraph"/>
        <w:numPr>
          <w:ilvl w:val="0"/>
          <w:numId w:val="1"/>
        </w:numPr>
        <w:spacing w:after="80"/>
      </w:pPr>
      <w:r>
        <w:t xml:space="preserve">If Aryx itself (rather than a separate integration layer) is expected to own this split going forward, that is a NEW FEATURE — a cacheInstanceId-aware, two-phase submission flow — not a bug fix, and should be scoped and approved as its own piece of work.</w:t>
      </w:r>
    </w:p>
    <w:p>
      <w:pPr>
        <w:pStyle w:val="Heading1"/>
        <w:spacing w:after="150" w:before="300"/>
      </w:pPr>
      <w:r>
        <w:t xml:space="preserve">Not yet done / out of scope for this document</w:t>
      </w:r>
    </w:p>
    <w:p>
      <w:pPr>
        <w:pStyle w:val="ListParagraph"/>
        <w:numPr>
          <w:ilvl w:val="0"/>
          <w:numId w:val="1"/>
        </w:numPr>
        <w:spacing w:after="80"/>
      </w:pPr>
      <w:r>
        <w:t xml:space="preserve">No code changes were made based on this finding — this is a documentation/root-cause deliverable only, per the session's discipline of confirming root cause before implementing.</w:t>
      </w:r>
    </w:p>
    <w:p>
      <w:pPr>
        <w:pStyle w:val="ListParagraph"/>
        <w:numPr>
          <w:ilvl w:val="0"/>
          <w:numId w:val="1"/>
        </w:numPr>
        <w:spacing w:after="80"/>
      </w:pPr>
      <w:r>
        <w:t xml:space="preserve">Live re-verification of Aryx's current full payload for the exact ENHANCED order used as the running example throughout this session was in progress when this document was written; not included here.</w:t>
      </w:r>
    </w:p>
    <w:p>
      <w:pPr>
        <w:pBdr>
          <w:bottom w:val="single" w:color="AAAAAA" w:sz="6" w:space="1"/>
        </w:pBdr>
        <w:spacing w:after="200" w:before="200"/>
      </w:pPr>
    </w:p>
    <w:p>
      <w:pPr>
        <w:jc w:val="center"/>
      </w:pPr>
      <w:r>
        <w:rPr>
          <w:i/>
          <w:iCs/>
          <w:color w:val="888888"/>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2026-08-04T07:32:53.739Z</dcterms:created>
  <dcterms:modified xsi:type="dcterms:W3CDTF">2026-08-04T07:32:53.742Z</dcterms:modified>
</cp:coreProperties>
</file>

<file path=docProps/custom.xml><?xml version="1.0" encoding="utf-8"?>
<Properties xmlns="http://schemas.openxmlformats.org/officeDocument/2006/custom-properties" xmlns:vt="http://schemas.openxmlformats.org/officeDocument/2006/docPropsVTypes"/>
</file>