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32019"/>
        </w:rPr>
        <w:t>Why the CPQ Flow Keeps Asking Questions It Shouldn't — Root Cause Analysis (Revision 5)</w:t>
      </w:r>
    </w:p>
    <w:p>
      <w:r>
        <w:rPr>
          <w:b w:val="0"/>
          <w:i/>
          <w:color w:val="56503F"/>
        </w:rPr>
        <w:t>CPQ Rule-Trace Investigation · Root Cause Analysis — CORRECTED</w:t>
      </w:r>
    </w:p>
    <w:p>
      <w:r>
        <w:rPr>
          <w:b w:val="0"/>
          <w:i w:val="0"/>
          <w:color w:val="56503F"/>
        </w:rPr>
        <w:t>Traces the real mechanism behind ~31 attributes (Wireless Carrier, Additional Frequency Bands, Extend Range, Housing, Antenna/Battery/Belt Clip type, and more) being asked or shown to every customer regardless of whether the underlying business rule would actually hide them. This revision corrects an earlier, wrong diagnosis — see §2.</w:t>
      </w:r>
    </w:p>
    <w:tbl>
      <w:tblPr>
        <w:tblStyle w:val="LightGrid-Accent4"/>
        <w:tblW w:type="auto" w:w="0"/>
        <w:tblLook w:firstColumn="1" w:firstRow="1" w:lastColumn="0" w:lastRow="0" w:noHBand="0" w:noVBand="1" w:val="04A0"/>
      </w:tblPr>
      <w:tblGrid>
        <w:gridCol w:w="2160"/>
        <w:gridCol w:w="2160"/>
        <w:gridCol w:w="2160"/>
        <w:gridCol w:w="2160"/>
      </w:tblGrid>
      <w:tr>
        <w:tc>
          <w:tcPr>
            <w:tcW w:type="dxa" w:w="2160"/>
          </w:tcPr>
          <w:p>
            <w:r/>
            <w:r>
              <w:rPr>
                <w:color w:val="56503F"/>
                <w:sz w:val="15"/>
              </w:rPr>
              <w:t>CATALOG</w:t>
            </w:r>
          </w:p>
          <w:p>
            <w:r>
              <w:rPr>
                <w:b/>
                <w:sz w:val="19"/>
              </w:rPr>
              <w:t>Apx Next / ApxnextConfigdata (ws 3, 39004, 39005 — identical)</w:t>
            </w:r>
          </w:p>
        </w:tc>
        <w:tc>
          <w:tcPr>
            <w:tcW w:type="dxa" w:w="2160"/>
          </w:tcPr>
          <w:p>
            <w:r/>
            <w:r>
              <w:rPr>
                <w:color w:val="56503F"/>
                <w:sz w:val="15"/>
              </w:rPr>
              <w:t>ATTRIBUTES AFFECTED</w:t>
            </w:r>
          </w:p>
          <w:p>
            <w:r>
              <w:rPr>
                <w:b/>
                <w:sz w:val="19"/>
              </w:rPr>
              <w:t>31 confirmed, 1 shared root cause</w:t>
            </w:r>
          </w:p>
        </w:tc>
        <w:tc>
          <w:tcPr>
            <w:tcW w:type="dxa" w:w="2160"/>
          </w:tcPr>
          <w:p>
            <w:r/>
            <w:r>
              <w:rPr>
                <w:color w:val="56503F"/>
                <w:sz w:val="15"/>
              </w:rPr>
              <w:t>SYMPTOM</w:t>
            </w:r>
          </w:p>
          <w:p>
            <w:r>
              <w:rPr>
                <w:b/>
                <w:sz w:val="19"/>
              </w:rPr>
              <w:t>Unwanted/irrelevant questions asked to every customer</w:t>
            </w:r>
          </w:p>
        </w:tc>
        <w:tc>
          <w:tcPr>
            <w:tcW w:type="dxa" w:w="2160"/>
          </w:tcPr>
          <w:p>
            <w:r/>
            <w:r>
              <w:rPr>
                <w:color w:val="56503F"/>
                <w:sz w:val="15"/>
              </w:rPr>
              <w:t>VERDICT (REVISED)</w:t>
            </w:r>
          </w:p>
          <w:p>
            <w:r>
              <w:rPr>
                <w:b/>
                <w:sz w:val="19"/>
              </w:rPr>
              <w:t>Real, bounded engineering gap — not missing data</w:t>
            </w:r>
          </w:p>
        </w:tc>
      </w:tr>
    </w:tbl>
    <w:p/>
    <w:p>
      <w:pPr>
        <w:shd w:val="clear" w:color="auto" w:fill="E3EFE6"/>
      </w:pPr>
      <w:r>
        <w:rPr>
          <w:b/>
          <w:color w:val="2F6B46"/>
          <w:sz w:val="18"/>
        </w:rPr>
        <w:t>FINAL VERDICT (REVISED)</w:t>
        <w:br/>
      </w:r>
      <w:r>
        <w:rPr>
          <w:sz w:val="21"/>
        </w:rPr>
        <w:t>All 31 flagged attributes trace back to exactly ONE broken upstream computation: a recommendation rule called “Set Hidden Master String For Astro Portable” is supposed to compute a helper variable (hiddenMasterStringForAstroPortable_astro) listing which attributes currently have real options available. Every one of the 31 hiding rules checks membership in that string. The rule that should compute it is a long, genuinely complex, data-table-driven BigMachines script — not missing, just not yet replicated in Aryx. The good news: the underlying data tables it needs are already ingested and loaded by Aryx's own data_table_resolver.</w:t>
      </w:r>
    </w:p>
    <w:p/>
    <w:p>
      <w:pPr>
        <w:pStyle w:val="Heading1"/>
      </w:pPr>
      <w:r>
        <w:rPr>
          <w:color w:val="9A5B13"/>
        </w:rPr>
        <w:t>01  Problem Description</w:t>
      </w:r>
    </w:p>
    <w:p>
      <w:r>
        <w:rPr>
          <w:b w:val="0"/>
          <w:i w:val="0"/>
        </w:rPr>
        <w:t>Across real conversations (APX NEXT Single Band, All Band, XE All Band), the CPQ flow repeatedly asks questions that shouldn't apply to the customer or product in front of it: “Additional Frequency Bands” for an All-Band radio that inherently covers every frequency, “Extend Range to 762-764 MHz” for a routine commercial order that isn't Federal/privileged, and Wireless Carrier never resolving at all for several product lines.</w:t>
      </w:r>
    </w:p>
    <w:p>
      <w:r>
        <w:rPr>
          <w:b w:val="0"/>
          <w:i w:val="0"/>
        </w:rPr>
        <w:t>A systematic sweep of the catalog found this isn't isolated — 31 layout-visible attributes have hiding logic that can never fire, all sharing state with the questions customers are seeing.</w:t>
      </w:r>
    </w:p>
    <w:p>
      <w:pPr>
        <w:pStyle w:val="Heading1"/>
      </w:pPr>
      <w:r>
        <w:rPr>
          <w:color w:val="9A5B13"/>
        </w:rPr>
        <w:t>02  Correction to the Original Diagnosis — Read This First</w:t>
      </w:r>
    </w:p>
    <w:p>
      <w:pPr>
        <w:shd w:val="clear" w:color="auto" w:fill="F6E4E1"/>
      </w:pPr>
      <w:r>
        <w:rPr>
          <w:b/>
          <w:color w:val="A13A2F"/>
          <w:sz w:val="18"/>
        </w:rPr>
        <w:t>WHAT WAS WRONG</w:t>
        <w:br/>
      </w:r>
      <w:r>
        <w:rPr>
          <w:sz w:val="21"/>
        </w:rPr>
        <w:t>The first pass of this investigation (and the original version of this document) concluded the hiding rules were inert because their BigMachines scripts were “missing from ingestion” — i.e., a data/export gap requiring BigMachines to re-export the logic. That was WRONG.</w:t>
      </w:r>
    </w:p>
    <w:p/>
    <w:p>
      <w:r>
        <w:rPr>
          <w:b w:val="0"/>
          <w:i w:val="0"/>
        </w:rPr>
        <w:t>Direct verification against the live system disproved this:</w:t>
      </w:r>
    </w:p>
    <w:p>
      <w:pPr>
        <w:pStyle w:val="ListBullet"/>
      </w:pPr>
      <w:r>
        <w:t>bmfunction script records exist for all three workspaces (891–929 rows each) — script data was never missing.</w:t>
      </w:r>
    </w:p>
    <w:p>
      <w:pPr>
        <w:pStyle w:val="ListBullet"/>
      </w:pPr>
      <w:r>
        <w:t>The specific hiding-rule scripts (Wireless Carrier, Housing, Antenna Type, Belt Clip, etc.) all have their full script text embedded directly in the rule record itself (400–700+ characters each) — confirmed by reading them directly, not inferred.</w:t>
      </w:r>
    </w:p>
    <w:p>
      <w:pPr>
        <w:pStyle w:val="ListBullet"/>
      </w:pPr>
      <w:r>
        <w:t>Aryx has a real two-tier script evaluator (BmlEvaluator.hide_for_script): a deterministic parser (Tier 1) plus an LLM fallback (Tier 2) for scripts Tier 1 can't parse. This evaluator genuinely runs — it isn't a stub.</w:t>
      </w:r>
    </w:p>
    <w:p>
      <w:r>
        <w:rPr>
          <w:b w:val="0"/>
          <w:i w:val="0"/>
        </w:rPr>
        <w:t>Running the real evaluator live, against the real script and a real conversation's actual filled state, returned “unknown” — not because nothing tried to evaluate it, but because the script depends on a variable (hiddenMasterStringForAstroPortable_astro) that is never populated anywhere in Aryx's pipeline. That is the real, corrected root cause, detailed below.</w:t>
      </w:r>
    </w:p>
    <w:p>
      <w:pPr>
        <w:pStyle w:val="Heading1"/>
      </w:pPr>
      <w:r>
        <w:rPr>
          <w:color w:val="9A5B13"/>
        </w:rPr>
        <w:t>03  The Real Causal Chain</w:t>
      </w:r>
    </w:p>
    <w:p>
      <w:pPr>
        <w:pStyle w:val="ListNumber"/>
      </w:pPr>
      <w:r>
        <w:t>31 different hiding rules each check: “is my attribute's name present inside hiddenMasterStringForAstroPortable_astro?”</w:t>
      </w:r>
    </w:p>
    <w:p>
      <w:pPr>
        <w:pStyle w:val="ListNumber"/>
      </w:pPr>
      <w:r>
        <w:t>That variable is supposed to be computed by ONE recommendation rule: “Set Hidden Master String For Astro Portable”</w:t>
      </w:r>
    </w:p>
    <w:p>
      <w:pPr>
        <w:pStyle w:val="ListNumber"/>
      </w:pPr>
      <w:r>
        <w:t>That rule's script is genuinely complex — not a simple hide/show check, but a full procedural computation using Recordset(), dynamic data-table lookups (attrSequence), and JSON parsing of dataTableList_astro</w:t>
      </w:r>
    </w:p>
    <w:p>
      <w:pPr>
        <w:pStyle w:val="ListNumber"/>
      </w:pPr>
      <w:r>
        <w:t>Aryx's BmlEvaluator (Tier 1 deterministic + Tier 2 LLM) cannot resolve this script, so the master string is never computed — confirmed live, not inferred</w:t>
      </w:r>
    </w:p>
    <w:p>
      <w:pPr>
        <w:pStyle w:val="ListNumber"/>
      </w:pPr>
      <w:r>
        <w:t>Every one of the 31 downstream hiding rules checks membership in a string that was never built, so none of them can ever return “hide” — they default to “stay visible”</w:t>
      </w:r>
    </w:p>
    <w:p>
      <w:pPr>
        <w:pStyle w:val="ListNumber"/>
      </w:pPr>
      <w:r>
        <w:t>All 31 attributes are asked/shown to every customer, regardless of the real business condition each one was meant to be gated by</w:t>
      </w:r>
    </w:p>
    <w:p/>
    <w:p>
      <w:pPr>
        <w:pStyle w:val="Heading1"/>
      </w:pPr>
      <w:r>
        <w:rPr>
          <w:color w:val="9A5B13"/>
        </w:rPr>
        <w:t>04  Sweep Results — Scope Is Fully Bounded</w:t>
      </w:r>
    </w:p>
    <w:p>
      <w:r>
        <w:rPr>
          <w:b w:val="0"/>
          <w:i w:val="0"/>
        </w:rPr>
        <w:t>A full catalog sweep checked all 186 attributes that have at least one hiding rule. Results, confirmed against live data:</w:t>
      </w:r>
    </w:p>
    <w:tbl>
      <w:tblPr>
        <w:tblStyle w:val="TableGrid"/>
        <w:tblW w:type="auto" w:w="0"/>
        <w:jc w:val="center"/>
        <w:tblLook w:firstColumn="1" w:firstRow="1" w:lastColumn="0" w:lastRow="0" w:noHBand="0" w:noVBand="1" w:val="04A0"/>
      </w:tblPr>
      <w:tblGrid>
        <w:gridCol w:w="4320"/>
        <w:gridCol w:w="4320"/>
      </w:tblGrid>
      <w:tr>
        <w:tc>
          <w:tcPr>
            <w:tcW w:type="dxa" w:w="6480"/>
            <w:shd w:val="clear" w:color="auto" w:fill="F1E3CD"/>
          </w:tcPr>
          <w:p>
            <w:r/>
            <w:r>
              <w:rPr>
                <w:b/>
                <w:color w:val="232019"/>
                <w:sz w:val="19"/>
              </w:rPr>
              <w:t>Metric</w:t>
            </w:r>
          </w:p>
        </w:tc>
        <w:tc>
          <w:tcPr>
            <w:tcW w:type="dxa" w:w="2160"/>
            <w:shd w:val="clear" w:color="auto" w:fill="F1E3CD"/>
          </w:tcPr>
          <w:p>
            <w:r/>
            <w:r>
              <w:rPr>
                <w:b/>
                <w:color w:val="232019"/>
                <w:sz w:val="19"/>
              </w:rPr>
              <w:t>Count</w:t>
            </w:r>
          </w:p>
        </w:tc>
      </w:tr>
      <w:tr>
        <w:tc>
          <w:tcPr>
            <w:tcW w:type="dxa" w:w="6480"/>
          </w:tcPr>
          <w:p>
            <w:r/>
            <w:r>
              <w:rPr>
                <w:sz w:val="19"/>
              </w:rPr>
              <w:t>Attributes with at least one hiding rule</w:t>
            </w:r>
          </w:p>
        </w:tc>
        <w:tc>
          <w:tcPr>
            <w:tcW w:type="dxa" w:w="2160"/>
          </w:tcPr>
          <w:p>
            <w:r/>
            <w:r>
              <w:rPr>
                <w:sz w:val="19"/>
              </w:rPr>
              <w:t>186</w:t>
            </w:r>
          </w:p>
        </w:tc>
      </w:tr>
      <w:tr>
        <w:tc>
          <w:tcPr>
            <w:tcW w:type="dxa" w:w="6480"/>
          </w:tcPr>
          <w:p>
            <w:r/>
            <w:r>
              <w:rPr>
                <w:sz w:val="19"/>
              </w:rPr>
              <w:t>Attributes whose hiding logic is entirely script-gated / inert</w:t>
            </w:r>
          </w:p>
        </w:tc>
        <w:tc>
          <w:tcPr>
            <w:tcW w:type="dxa" w:w="2160"/>
          </w:tcPr>
          <w:p>
            <w:r/>
            <w:r>
              <w:rPr>
                <w:sz w:val="19"/>
              </w:rPr>
              <w:t>45</w:t>
            </w:r>
          </w:p>
        </w:tc>
      </w:tr>
      <w:tr>
        <w:tc>
          <w:tcPr>
            <w:tcW w:type="dxa" w:w="6480"/>
          </w:tcPr>
          <w:p>
            <w:r/>
            <w:r>
              <w:rPr>
                <w:sz w:val="19"/>
              </w:rPr>
              <w:t>...of those, layout-visible today (i.e. actually causing the symptom)</w:t>
            </w:r>
          </w:p>
        </w:tc>
        <w:tc>
          <w:tcPr>
            <w:tcW w:type="dxa" w:w="2160"/>
          </w:tcPr>
          <w:p>
            <w:r/>
            <w:r>
              <w:rPr>
                <w:sz w:val="19"/>
              </w:rPr>
              <w:t>31</w:t>
            </w:r>
          </w:p>
        </w:tc>
      </w:tr>
      <w:tr>
        <w:tc>
          <w:tcPr>
            <w:tcW w:type="dxa" w:w="6480"/>
          </w:tcPr>
          <w:p>
            <w:r/>
            <w:r>
              <w:rPr>
                <w:sz w:val="19"/>
              </w:rPr>
              <w:t>Of the 31, depending on hiddenMasterStringForAstroPortable_astro</w:t>
            </w:r>
          </w:p>
        </w:tc>
        <w:tc>
          <w:tcPr>
            <w:tcW w:type="dxa" w:w="2160"/>
          </w:tcPr>
          <w:p>
            <w:r/>
            <w:r>
              <w:rPr>
                <w:sz w:val="19"/>
              </w:rPr>
              <w:t>30</w:t>
            </w:r>
          </w:p>
        </w:tc>
      </w:tr>
      <w:tr>
        <w:tc>
          <w:tcPr>
            <w:tcW w:type="dxa" w:w="6480"/>
          </w:tcPr>
          <w:p>
            <w:r/>
            <w:r>
              <w:rPr>
                <w:sz w:val="19"/>
              </w:rPr>
              <w:t>Of the 31, depending on a second, similar variable (hiddenHidingRuleMasterString)</w:t>
            </w:r>
          </w:p>
        </w:tc>
        <w:tc>
          <w:tcPr>
            <w:tcW w:type="dxa" w:w="2160"/>
          </w:tcPr>
          <w:p>
            <w:r/>
            <w:r>
              <w:rPr>
                <w:sz w:val="19"/>
              </w:rPr>
              <w:t>1</w:t>
            </w:r>
          </w:p>
        </w:tc>
      </w:tr>
      <w:tr>
        <w:tc>
          <w:tcPr>
            <w:tcW w:type="dxa" w:w="6480"/>
          </w:tcPr>
          <w:p>
            <w:r/>
            <w:r>
              <w:rPr>
                <w:sz w:val="19"/>
              </w:rPr>
              <w:t>TOTAL sharing this exact root-cause pattern</w:t>
            </w:r>
          </w:p>
        </w:tc>
        <w:tc>
          <w:tcPr>
            <w:tcW w:type="dxa" w:w="2160"/>
          </w:tcPr>
          <w:p>
            <w:r/>
            <w:r>
              <w:rPr>
                <w:sz w:val="19"/>
              </w:rPr>
              <w:t>31 / 31</w:t>
            </w:r>
          </w:p>
        </w:tc>
      </w:tr>
    </w:tbl>
    <w:p/>
    <w:p>
      <w:r>
        <w:rPr>
          <w:b w:val="0"/>
          <w:i w:val="0"/>
        </w:rPr>
        <w:t>Every single one of the 31 confirmed to depend on this one pattern — this is not a diffuse, open-ended UX problem. It is one broken upstream computation with 31 known, named downstream symptoms.</w:t>
      </w:r>
    </w:p>
    <w:p>
      <w:pPr>
        <w:pStyle w:val="Heading2"/>
      </w:pPr>
      <w:r>
        <w:rPr>
          <w:color w:val="232019"/>
        </w:rPr>
        <w:t>The 31 affected attributes</w:t>
      </w:r>
    </w:p>
    <w:p>
      <w:pPr>
        <w:pStyle w:val="ListBullet"/>
      </w:pPr>
      <w:r>
        <w:t>modelSelectionFrequencyBands_astro (Frequency Bands)</w:t>
      </w:r>
    </w:p>
    <w:p>
      <w:pPr>
        <w:pStyle w:val="ListBullet"/>
      </w:pPr>
      <w:r>
        <w:t>modelSelectionFrequencyBandPlus_astro (Additional Frequency Bands)</w:t>
      </w:r>
    </w:p>
    <w:p>
      <w:pPr>
        <w:pStyle w:val="ListBullet"/>
      </w:pPr>
      <w:r>
        <w:t>extendRangeTo762764MHz_astro (Extend Range to 762-764 MHz)</w:t>
      </w:r>
    </w:p>
    <w:p>
      <w:pPr>
        <w:pStyle w:val="ListBullet"/>
      </w:pPr>
      <w:r>
        <w:t>modelSelectionHousing_astro (Housing)</w:t>
      </w:r>
    </w:p>
    <w:p>
      <w:pPr>
        <w:pStyle w:val="ListBullet"/>
      </w:pPr>
      <w:r>
        <w:t>softwareBundlesBundleType_astro (Configuration Type)</w:t>
      </w:r>
    </w:p>
    <w:p>
      <w:pPr>
        <w:pStyle w:val="ListBullet"/>
      </w:pPr>
      <w:r>
        <w:t>baselineReleaseSW_astro (Software Release)</w:t>
      </w:r>
    </w:p>
    <w:p>
      <w:pPr>
        <w:pStyle w:val="ListBullet"/>
      </w:pPr>
      <w:r>
        <w:t>advancedSystemKeyHardwareKey_astro (System Key)</w:t>
      </w:r>
    </w:p>
    <w:p>
      <w:pPr>
        <w:pStyle w:val="ListBullet"/>
      </w:pPr>
      <w:r>
        <w:t>antennasType_astro (Antenna Type)</w:t>
      </w:r>
    </w:p>
    <w:p>
      <w:pPr>
        <w:pStyle w:val="ListBullet"/>
      </w:pPr>
      <w:r>
        <w:t>batteryType_astro (Battery Type)</w:t>
      </w:r>
    </w:p>
    <w:p>
      <w:pPr>
        <w:pStyle w:val="ListBullet"/>
      </w:pPr>
      <w:r>
        <w:t>batteryIncludeaSpare_astro (Include a Spare?)</w:t>
      </w:r>
    </w:p>
    <w:p>
      <w:pPr>
        <w:pStyle w:val="ListBullet"/>
      </w:pPr>
      <w:r>
        <w:t>beltClipType_astro (Carry Type)</w:t>
      </w:r>
    </w:p>
    <w:p>
      <w:pPr>
        <w:pStyle w:val="ListBullet"/>
      </w:pPr>
      <w:r>
        <w:t>packingPackageType_astro (Package Type)</w:t>
      </w:r>
    </w:p>
    <w:p>
      <w:pPr>
        <w:pStyle w:val="ListBullet"/>
      </w:pPr>
      <w:r>
        <w:t>cBPQRCode_astro (CBP QR code)</w:t>
      </w:r>
    </w:p>
    <w:p>
      <w:pPr>
        <w:pStyle w:val="ListBullet"/>
      </w:pPr>
      <w:r>
        <w:t>fedQRCode_astro (Fed QR Code)</w:t>
      </w:r>
    </w:p>
    <w:p>
      <w:pPr>
        <w:pStyle w:val="ListBullet"/>
      </w:pPr>
      <w:r>
        <w:t>documentationTestResultsRatedAudioPrintoutLabel_astro (Test Results/Rated Audio Printout Label)</w:t>
      </w:r>
    </w:p>
    <w:p>
      <w:pPr>
        <w:pStyle w:val="ListBullet"/>
      </w:pPr>
      <w:r>
        <w:t>dHSAssetTagLabel_astro (DHS ICE Asset Tag Label)</w:t>
      </w:r>
    </w:p>
    <w:p>
      <w:pPr>
        <w:pStyle w:val="ListBullet"/>
      </w:pPr>
      <w:r>
        <w:t>isProvisioningRequiredInCloudEnv_astro (Cloud provisioning required?)</w:t>
      </w:r>
    </w:p>
    <w:p>
      <w:pPr>
        <w:pStyle w:val="ListBullet"/>
      </w:pPr>
      <w:r>
        <w:t>isFedRampRequired_astro (FedRAMP High Baseline required?)</w:t>
      </w:r>
    </w:p>
    <w:p>
      <w:pPr>
        <w:pStyle w:val="ListBullet"/>
      </w:pPr>
      <w:r>
        <w:t>serviceTypeAdditionalDMSCoverage_astro (Service Type)</w:t>
      </w:r>
    </w:p>
    <w:p>
      <w:pPr>
        <w:pStyle w:val="ListBullet"/>
      </w:pPr>
      <w:r>
        <w:t>trainTheTrainerTraining_astro (Train the Trainer Training)</w:t>
      </w:r>
    </w:p>
    <w:p>
      <w:pPr>
        <w:pStyle w:val="ListBullet"/>
      </w:pPr>
      <w:r>
        <w:t>preSalesEnggAcknowledgement_astro (Pre-Sales Engg Acknowledgement)</w:t>
      </w:r>
    </w:p>
    <w:p>
      <w:pPr>
        <w:pStyle w:val="ListBullet"/>
      </w:pPr>
      <w:r>
        <w:t>carrierSelectionMultiSelect_astro (Carrier Selection)</w:t>
      </w:r>
    </w:p>
    <w:p>
      <w:pPr>
        <w:pStyle w:val="ListBullet"/>
      </w:pPr>
      <w:r>
        <w:t>wirelessCarrier_astro (Wireless Carrier)</w:t>
      </w:r>
    </w:p>
    <w:p>
      <w:pPr>
        <w:pStyle w:val="ListBullet"/>
      </w:pPr>
      <w:r>
        <w:t>sIMCardSelection_astro (SIM Card Selection)</w:t>
      </w:r>
    </w:p>
    <w:p>
      <w:pPr>
        <w:pStyle w:val="ListBullet"/>
      </w:pPr>
      <w:r>
        <w:t>selectEndUserType_astro (Select End User Type)</w:t>
      </w:r>
    </w:p>
    <w:p>
      <w:pPr>
        <w:pStyle w:val="ListBullet"/>
      </w:pPr>
      <w:r>
        <w:t>firstName_astro (First Name)</w:t>
      </w:r>
    </w:p>
    <w:p>
      <w:pPr>
        <w:pStyle w:val="ListBullet"/>
      </w:pPr>
      <w:r>
        <w:t>lastName_astro (Last Name)</w:t>
      </w:r>
    </w:p>
    <w:p>
      <w:pPr>
        <w:pStyle w:val="ListBullet"/>
      </w:pPr>
      <w:r>
        <w:t>technicalContactEmailAddress_astro (Technical Contact Email Address)</w:t>
      </w:r>
    </w:p>
    <w:p>
      <w:pPr>
        <w:pStyle w:val="ListBullet"/>
      </w:pPr>
      <w:r>
        <w:t>aSTROSystemID_astro (ASTRO System ID)</w:t>
      </w:r>
    </w:p>
    <w:p>
      <w:pPr>
        <w:pStyle w:val="ListBullet"/>
      </w:pPr>
      <w:r>
        <w:t>serviceActivationDelay_astro (Service Activation Delay)</w:t>
      </w:r>
    </w:p>
    <w:p>
      <w:pPr>
        <w:pStyle w:val="ListBullet"/>
      </w:pPr>
      <w:r>
        <w:t>subscriptionBillingAddDMSCoverage_astro (Subscription Billing)</w:t>
      </w:r>
    </w:p>
    <w:p>
      <w:pPr>
        <w:pStyle w:val="Heading1"/>
      </w:pPr>
      <w:r>
        <w:rPr>
          <w:color w:val="9A5B13"/>
        </w:rPr>
        <w:t>05  Live Evidence — Not Inferred</w:t>
      </w:r>
    </w:p>
    <w:p>
      <w:r>
        <w:rPr>
          <w:b w:val="0"/>
          <w:i w:val="0"/>
        </w:rPr>
        <w:t>The Wireless Carrier case, traced end to end with real data:</w:t>
      </w:r>
    </w:p>
    <w:p>
      <w:pPr>
        <w:spacing w:before="80" w:after="200"/>
        <w:shd w:val="clear" w:color="auto" w:fill="2B2820"/>
      </w:pPr>
      <w:r>
        <w:rPr>
          <w:rFonts w:ascii="Consolas" w:hAnsi="Consolas"/>
          <w:color w:val="ECD9B0"/>
          <w:sz w:val="19"/>
        </w:rPr>
        <w:t>Real BM script (from the live rule record, not a stub):</w:t>
      </w:r>
      <w:r>
        <w:br/>
      </w:r>
      <w:r>
        <w:rPr>
          <w:rFonts w:ascii="Consolas" w:hAnsi="Consolas"/>
          <w:color w:val="ECD9B0"/>
          <w:sz w:val="19"/>
        </w:rPr>
        <w:t xml:space="preserve"> </w:t>
      </w:r>
      <w:r>
        <w:br/>
      </w:r>
      <w:r>
        <w:rPr>
          <w:rFonts w:ascii="Consolas" w:hAnsi="Consolas"/>
          <w:color w:val="ECD9B0"/>
          <w:sz w:val="19"/>
        </w:rPr>
        <w:t>splitstringArray = SPLIT(hiddenMasterStringForAstroPortable_astro, hidddenRecordSeparator_allFamilly);</w:t>
      </w:r>
      <w:r>
        <w:br/>
      </w:r>
      <w:r>
        <w:rPr>
          <w:rFonts w:ascii="Consolas" w:hAnsi="Consolas"/>
          <w:color w:val="ECD9B0"/>
          <w:sz w:val="19"/>
        </w:rPr>
        <w:t>valindex = findinarray(splitstringArray, "wirelessCarrier_astro");</w:t>
      </w:r>
      <w:r>
        <w:br/>
      </w:r>
      <w:r>
        <w:rPr>
          <w:rFonts w:ascii="Consolas" w:hAnsi="Consolas"/>
          <w:color w:val="ECD9B0"/>
          <w:sz w:val="19"/>
        </w:rPr>
        <w:t>if (valindex == -1) { return TRUE; }</w:t>
      </w:r>
      <w:r>
        <w:br/>
      </w:r>
      <w:r>
        <w:rPr>
          <w:rFonts w:ascii="Consolas" w:hAnsi="Consolas"/>
          <w:color w:val="ECD9B0"/>
          <w:sz w:val="19"/>
        </w:rPr>
        <w:t>else { if (modelSelectionbaseModel_astro == "") { return TRUE; } }</w:t>
      </w:r>
      <w:r>
        <w:br/>
      </w:r>
      <w:r>
        <w:rPr>
          <w:rFonts w:ascii="Consolas" w:hAnsi="Consolas"/>
          <w:color w:val="ECD9B0"/>
          <w:sz w:val="19"/>
        </w:rPr>
        <w:t>return FALSE;</w:t>
      </w:r>
      <w:r>
        <w:br/>
      </w:r>
      <w:r>
        <w:rPr>
          <w:rFonts w:ascii="Consolas" w:hAnsi="Consolas"/>
          <w:color w:val="ECD9B0"/>
          <w:sz w:val="19"/>
        </w:rPr>
        <w:t xml:space="preserve"> </w:t>
      </w:r>
      <w:r>
        <w:br/>
      </w:r>
      <w:r>
        <w:rPr>
          <w:rFonts w:ascii="Consolas" w:hAnsi="Consolas"/>
          <w:color w:val="ECD9B0"/>
          <w:sz w:val="19"/>
        </w:rPr>
        <w:t>Live test #1 (fabricated variables):</w:t>
      </w:r>
      <w:r>
        <w:br/>
      </w:r>
      <w:r>
        <w:rPr>
          <w:rFonts w:ascii="Consolas" w:hAnsi="Consolas"/>
          <w:color w:val="ECD9B0"/>
          <w:sz w:val="19"/>
        </w:rPr>
        <w:t xml:space="preserve">  hide_for_script() -&gt; None ("unknown")</w:t>
      </w:r>
      <w:r>
        <w:br/>
      </w:r>
      <w:r>
        <w:rPr>
          <w:rFonts w:ascii="Consolas" w:hAnsi="Consolas"/>
          <w:color w:val="ECD9B0"/>
          <w:sz w:val="19"/>
        </w:rPr>
        <w:t xml:space="preserve">  stats: {tier1: 0, tier2: 0, unknown: 1}</w:t>
      </w:r>
      <w:r>
        <w:br/>
      </w:r>
      <w:r>
        <w:rPr>
          <w:rFonts w:ascii="Consolas" w:hAnsi="Consolas"/>
          <w:color w:val="ECD9B0"/>
          <w:sz w:val="19"/>
        </w:rPr>
        <w:t xml:space="preserve"> </w:t>
      </w:r>
      <w:r>
        <w:br/>
      </w:r>
      <w:r>
        <w:rPr>
          <w:rFonts w:ascii="Consolas" w:hAnsi="Consolas"/>
          <w:color w:val="ECD9B0"/>
          <w:sz w:val="19"/>
        </w:rPr>
        <w:t>Live test #2 (REAL filled state from an actual conversation, 44 real keys,</w:t>
      </w:r>
      <w:r>
        <w:br/>
      </w:r>
      <w:r>
        <w:rPr>
          <w:rFonts w:ascii="Consolas" w:hAnsi="Consolas"/>
          <w:color w:val="ECD9B0"/>
          <w:sz w:val="19"/>
        </w:rPr>
        <w:t>including modelSelectionbaseModel_astro = "H55TGT9PW8AN"):</w:t>
      </w:r>
      <w:r>
        <w:br/>
      </w:r>
      <w:r>
        <w:rPr>
          <w:rFonts w:ascii="Consolas" w:hAnsi="Consolas"/>
          <w:color w:val="ECD9B0"/>
          <w:sz w:val="19"/>
        </w:rPr>
        <w:t xml:space="preserve">  hiddenMasterStringForAstroPortable_astro present in filled? -&gt; False</w:t>
      </w:r>
      <w:r>
        <w:br/>
      </w:r>
      <w:r>
        <w:rPr>
          <w:rFonts w:ascii="Consolas" w:hAnsi="Consolas"/>
          <w:color w:val="ECD9B0"/>
          <w:sz w:val="19"/>
        </w:rPr>
        <w:t xml:space="preserve">  hide_for_script() -&gt; None ("unknown")</w:t>
      </w:r>
      <w:r>
        <w:br/>
      </w:r>
      <w:r>
        <w:rPr>
          <w:rFonts w:ascii="Consolas" w:hAnsi="Consolas"/>
          <w:color w:val="ECD9B0"/>
          <w:sz w:val="19"/>
        </w:rPr>
        <w:t xml:space="preserve">  stats: {tier1: 0, tier2: 0, unknown: 0, cached: 1}</w:t>
      </w:r>
    </w:p>
    <w:p>
      <w:r>
        <w:rPr>
          <w:b w:val="0"/>
          <w:i w:val="0"/>
        </w:rPr>
        <w:t>The second test used a real, complete filled state from an actual live turn — the missing variable isn't a test artifact, it's genuinely absent from Aryx's own computed state at the point this rule needs it.</w:t>
      </w:r>
    </w:p>
    <w:p>
      <w:pPr>
        <w:pStyle w:val="Heading2"/>
      </w:pPr>
      <w:r>
        <w:rPr>
          <w:color w:val="232019"/>
        </w:rPr>
        <w:t>The upstream rule that should compute it</w:t>
      </w:r>
    </w:p>
    <w:p>
      <w:pPr>
        <w:spacing w:before="80" w:after="200"/>
        <w:shd w:val="clear" w:color="auto" w:fill="2B2820"/>
      </w:pPr>
      <w:r>
        <w:rPr>
          <w:rFonts w:ascii="Consolas" w:hAnsi="Consolas"/>
          <w:color w:val="ECD9B0"/>
          <w:sz w:val="19"/>
        </w:rPr>
        <w:t>1 recommendation rule targets hiddenMasterStringForAstroPortable_astro:</w:t>
      </w:r>
      <w:r>
        <w:br/>
      </w:r>
      <w:r>
        <w:rPr>
          <w:rFonts w:ascii="Consolas" w:hAnsi="Consolas"/>
          <w:color w:val="ECD9B0"/>
          <w:sz w:val="19"/>
        </w:rPr>
        <w:t xml:space="preserve">  "Set Hidden Master String For Astro Portable" (script-backed, no declarative value)</w:t>
      </w:r>
      <w:r>
        <w:br/>
      </w:r>
      <w:r>
        <w:rPr>
          <w:rFonts w:ascii="Consolas" w:hAnsi="Consolas"/>
          <w:color w:val="ECD9B0"/>
          <w:sz w:val="19"/>
        </w:rPr>
        <w:t xml:space="preserve"> </w:t>
      </w:r>
      <w:r>
        <w:br/>
      </w:r>
      <w:r>
        <w:rPr>
          <w:rFonts w:ascii="Consolas" w:hAnsi="Consolas"/>
          <w:color w:val="ECD9B0"/>
          <w:sz w:val="19"/>
        </w:rPr>
        <w:t>Script excerpt (real, from the live rule record):</w:t>
      </w:r>
      <w:r>
        <w:br/>
      </w:r>
      <w:r>
        <w:rPr>
          <w:rFonts w:ascii="Consolas" w:hAnsi="Consolas"/>
          <w:color w:val="ECD9B0"/>
          <w:sz w:val="19"/>
        </w:rPr>
        <w:t xml:space="preserve">  t1 = getcurrenttimeinmillis();</w:t>
      </w:r>
      <w:r>
        <w:br/>
      </w:r>
      <w:r>
        <w:rPr>
          <w:rFonts w:ascii="Consolas" w:hAnsi="Consolas"/>
          <w:color w:val="ECD9B0"/>
          <w:sz w:val="19"/>
        </w:rPr>
        <w:t xml:space="preserve">  recSep = hidddenRecordSeparator_allFamilly;</w:t>
      </w:r>
      <w:r>
        <w:br/>
      </w:r>
      <w:r>
        <w:rPr>
          <w:rFonts w:ascii="Consolas" w:hAnsi="Consolas"/>
          <w:color w:val="ECD9B0"/>
          <w:sz w:val="19"/>
        </w:rPr>
        <w:t xml:space="preserve">  dataTableRecordSets = Recordset();</w:t>
      </w:r>
      <w:r>
        <w:br/>
      </w:r>
      <w:r>
        <w:rPr>
          <w:rFonts w:ascii="Consolas" w:hAnsi="Consolas"/>
          <w:color w:val="ECD9B0"/>
          <w:sz w:val="19"/>
        </w:rPr>
        <w:t xml:space="preserve">  attrSeqTableName = "attrSequence";</w:t>
      </w:r>
      <w:r>
        <w:br/>
      </w:r>
      <w:r>
        <w:rPr>
          <w:rFonts w:ascii="Consolas" w:hAnsi="Consolas"/>
          <w:color w:val="ECD9B0"/>
          <w:sz w:val="19"/>
        </w:rPr>
        <w:t xml:space="preserve">  if (not isnull(dataTableList_astro) AND dataTableList_astro &lt;&gt; "") {</w:t>
      </w:r>
      <w:r>
        <w:br/>
      </w:r>
      <w:r>
        <w:rPr>
          <w:rFonts w:ascii="Consolas" w:hAnsi="Consolas"/>
          <w:color w:val="ECD9B0"/>
          <w:sz w:val="19"/>
        </w:rPr>
        <w:t xml:space="preserve">      dataTableJson = json(dataTableList_astro);</w:t>
      </w:r>
      <w:r>
        <w:br/>
      </w:r>
      <w:r>
        <w:rPr>
          <w:rFonts w:ascii="Consolas" w:hAnsi="Consolas"/>
          <w:color w:val="ECD9B0"/>
          <w:sz w:val="19"/>
        </w:rPr>
        <w:t xml:space="preserve">      attrSeqTableName = jsonget(dataTableJson, "ATTR_SEQUENCE");</w:t>
      </w:r>
      <w:r>
        <w:br/>
      </w:r>
      <w:r>
        <w:rPr>
          <w:rFonts w:ascii="Consolas" w:hAnsi="Consolas"/>
          <w:color w:val="ECD9B0"/>
          <w:sz w:val="19"/>
        </w:rPr>
        <w:t xml:space="preserve">      modelTierName = jsonget(dataTableJson, "MODEL_GROUP_TIER");</w:t>
      </w:r>
      <w:r>
        <w:br/>
      </w:r>
      <w:r>
        <w:rPr>
          <w:rFonts w:ascii="Consolas" w:hAnsi="Consolas"/>
          <w:color w:val="ECD9B0"/>
          <w:sz w:val="19"/>
        </w:rPr>
        <w:t xml:space="preserve">  }</w:t>
      </w:r>
      <w:r>
        <w:br/>
      </w:r>
      <w:r>
        <w:rPr>
          <w:rFonts w:ascii="Consolas" w:hAnsi="Consolas"/>
          <w:color w:val="ECD9B0"/>
          <w:sz w:val="19"/>
        </w:rPr>
        <w:t xml:space="preserve">  ... (continues: dynamic data-table driven attribute-availability computation)</w:t>
      </w:r>
    </w:p>
    <w:p>
      <w:r>
        <w:rPr>
          <w:b w:val="0"/>
          <w:i w:val="0"/>
        </w:rPr>
        <w:t>This is genuinely complex, multi-step procedural logic — not something a generic script interpreter or a single LLM call can reliably reproduce. It performs real data-table lookups against dynamic tables (attrSequence, model tiers) to determine which attributes currently have any valid options.</w:t>
      </w:r>
    </w:p>
    <w:p>
      <w:pPr>
        <w:shd w:val="clear" w:color="auto" w:fill="E3EFE6"/>
      </w:pPr>
      <w:r>
        <w:rPr>
          <w:b/>
          <w:color w:val="2F6B46"/>
          <w:sz w:val="18"/>
        </w:rPr>
        <w:t>THE ENCOURAGING PART</w:t>
        <w:br/>
      </w:r>
      <w:r>
        <w:rPr>
          <w:sz w:val="21"/>
        </w:rPr>
        <w:t>The data tables this script needs (attrSequence, series_mapping, hierarchy, region_rule, constraint tables) are already ingested and loaded by Aryx's own data_table_resolver component — confirmed via the same performance investigation that found a 13.8-second cache-miss load of these exact tables (constraint=56357, sequence=46865, hierarchy=386, series_mapping=2690, region_rule=94710 rows). This is a real, bounded engineering task (replicate what this one script computes, using data Aryx already has) — not a dead end requiring new data from BigMachines.</w:t>
      </w:r>
    </w:p>
    <w:p/>
    <w:p>
      <w:pPr>
        <w:pStyle w:val="Heading1"/>
      </w:pPr>
      <w:r>
        <w:rPr>
          <w:color w:val="9A5B13"/>
        </w:rPr>
        <w:t>06  Why One Broken Computation Explains So Much</w:t>
      </w:r>
    </w:p>
    <w:p>
      <w:r>
        <w:rPr>
          <w:b w:val="0"/>
          <w:i w:val="0"/>
        </w:rPr>
        <w:t>Because 30 of the 31 attributes all check the SAME shared variable, fixing the single upstream computation (or providing an equivalent) would very likely resolve all 30 at once — not require 30 separate investigations. This reframes the earlier “31 separate UX complaints” picture into one well-scoped root cause with a known blast radius.</w:t>
      </w:r>
    </w:p>
    <w:p>
      <w:pPr>
        <w:pStyle w:val="Heading1"/>
      </w:pPr>
      <w:r>
        <w:rPr>
          <w:color w:val="9A5B13"/>
        </w:rPr>
        <w:t>07  Fix Paths</w:t>
      </w:r>
    </w:p>
    <w:p>
      <w:pPr>
        <w:pStyle w:val="Heading2"/>
      </w:pPr>
      <w:r>
        <w:rPr>
          <w:color w:val="232019"/>
        </w:rPr>
        <w:t>Path A — Replicate the real computation</w:t>
      </w:r>
    </w:p>
    <w:p>
      <w:r>
        <w:rPr>
          <w:b w:val="0"/>
          <w:i w:val="0"/>
        </w:rPr>
        <w:t>Reverse-engineer exactly what “Set Hidden Master String For Astro Portable” computes (which attributes have available options, joined into a delimited string) and implement that logic natively in Aryx using the already-ingested data tables. Correct long-term fix, matches BigMachines' real behavior exactly, but is real engineering work requiring careful tracing of the full script.</w:t>
      </w:r>
    </w:p>
    <w:p>
      <w:pPr>
        <w:pStyle w:val="Heading2"/>
      </w:pPr>
      <w:r>
        <w:rPr>
          <w:color w:val="232019"/>
        </w:rPr>
        <w:t>Path B — Bypass the indirection</w:t>
      </w:r>
    </w:p>
    <w:p>
      <w:r>
        <w:rPr>
          <w:b w:val="0"/>
          <w:i w:val="0"/>
        </w:rPr>
        <w:t>Since every one of the 31 hiding rules only uses the master string to ask “does this attribute have any valid options right now,” Aryx could answer that directly by checking the attribute's own live valid_opts list (already computed for constraint evaluation) instead of relying on the string-membership proxy. Likely faster to implement and doesn't require reverse-engineering BigMachines' internal computation — but needs verification that “has options” is really the ONLY condition the specific-business-rule hides (some, like Extend Range and DHS Asset Tag, layer an additional Federal/customer-group condition on top that this bypass would NOT reproduce).</w:t>
      </w:r>
    </w:p>
    <w:p>
      <w:pPr>
        <w:shd w:val="clear" w:color="auto" w:fill="F1E3CD"/>
      </w:pPr>
      <w:r>
        <w:rPr>
          <w:b/>
          <w:color w:val="9A5B13"/>
          <w:sz w:val="18"/>
        </w:rPr>
        <w:t>RECOMMENDATION</w:t>
        <w:br/>
      </w:r>
      <w:r>
        <w:rPr>
          <w:sz w:val="21"/>
        </w:rPr>
        <w:t>Path B first for the generic “no values available” cases (majority of the 31), since it's lower-risk and faster. Path A (or a hand-authored declarative equivalent) is still needed for the handful with a genuine extra business condition (Extend Range: Federal/privileged only; DHS Asset Tag/CBP QR: specific customer group; Housing: XE-model only) — those need the real condition captured, not just an “has options” check.</w:t>
      </w:r>
    </w:p>
    <w:p/>
    <w:p>
      <w:pPr>
        <w:pStyle w:val="Heading1"/>
      </w:pPr>
      <w:r>
        <w:rPr>
          <w:color w:val="9A5B13"/>
        </w:rPr>
        <w:t>08  Final Verdict</w:t>
      </w:r>
    </w:p>
    <w:p>
      <w:pPr>
        <w:shd w:val="clear" w:color="auto" w:fill="E3EFE6"/>
      </w:pPr>
      <w:r>
        <w:rPr>
          <w:b/>
          <w:color w:val="2F6B46"/>
          <w:sz w:val="18"/>
        </w:rPr>
        <w:t>NOT A DEFECT IN THE NEW LAYOUT/AUTO-FILL WORK</w:t>
        <w:br/>
      </w:r>
      <w:r>
        <w:rPr>
          <w:sz w:val="21"/>
        </w:rPr>
        <w:t>This is a pre-existing gap in how much of BigMachines' native business logic Aryx's rule engine can execute — not something introduced or worsened by the layout-visibility/auto-fill discipline shipped earlier. That work correctly surfaces the symptom (asking instead of silently guessing) rather than masking it.</w:t>
      </w:r>
    </w:p>
    <w:p/>
    <w:p>
      <w:r>
        <w:rPr>
          <w:b w:val="0"/>
          <w:i w:val="0"/>
        </w:rPr>
        <w:t>Next step (superseded — see §09): Path A was implemented for the majority case. §09-§11 cover what shipped, a correction to this section's original Extend Range framing, and the plan for the one remaining fixable follow-up.</w:t>
      </w:r>
    </w:p>
    <w:p>
      <w:pPr>
        <w:pStyle w:val="Heading1"/>
      </w:pPr>
      <w:r>
        <w:rPr>
          <w:color w:val="9A5B13"/>
        </w:rPr>
        <w:t>09  Update — Path A Implemented and Live-Verified (2026-08-10)</w:t>
      </w:r>
    </w:p>
    <w:p>
      <w:pPr>
        <w:shd w:val="clear" w:color="auto" w:fill="E3EFE6"/>
      </w:pPr>
      <w:r>
        <w:rPr>
          <w:b/>
          <w:color w:val="2F6B46"/>
          <w:sz w:val="18"/>
        </w:rPr>
        <w:t>SHIPPED</w:t>
        <w:br/>
      </w:r>
      <w:r>
        <w:rPr>
          <w:sz w:val="21"/>
        </w:rPr>
        <w:t>Path A was implemented for the majority case: a new CpqEngine._compute_hidden_master_string() method reuses EXISTING, already-generic infrastructure (data_table_resolver.governed_attr_names_for_base_model, already wired into _suppress_ungoverned_attrs for a different purpose) to correctly populate hiddenMasterStringForAstroPortable_astro before hiding rules run. This was NOT a large rebuild — most of the hard part (deriving cpqModel, querying the attrSequence table) was already built for a different feature.</w:t>
      </w:r>
    </w:p>
    <w:p/>
    <w:p>
      <w:r>
        <w:rPr>
          <w:b w:val="0"/>
          <w:i w:val="0"/>
        </w:rPr>
        <w:t>Live-verified against workspace 39005 via real rule-trace data — the hiding rules now return a genuine, resolved decision instead of silence:</w:t>
      </w:r>
    </w:p>
    <w:p>
      <w:pPr>
        <w:spacing w:before="80" w:after="200"/>
        <w:shd w:val="clear" w:color="auto" w:fill="2B2820"/>
      </w:pPr>
      <w:r>
        <w:rPr>
          <w:rFonts w:ascii="Consolas" w:hAnsi="Consolas"/>
          <w:color w:val="ECD9B0"/>
          <w:sz w:val="19"/>
        </w:rPr>
        <w:t>BEFORE the fix: 0 trace rows for either rule (permanently "unknown")</w:t>
      </w:r>
      <w:r>
        <w:br/>
      </w:r>
      <w:r>
        <w:rPr>
          <w:rFonts w:ascii="Consolas" w:hAnsi="Consolas"/>
          <w:color w:val="ECD9B0"/>
          <w:sz w:val="19"/>
        </w:rPr>
        <w:t xml:space="preserve"> </w:t>
      </w:r>
      <w:r>
        <w:br/>
      </w:r>
      <w:r>
        <w:rPr>
          <w:rFonts w:ascii="Consolas" w:hAnsi="Consolas"/>
          <w:color w:val="ECD9B0"/>
          <w:sz w:val="19"/>
        </w:rPr>
        <w:t>AFTER the fix, real aryx_rule_trace_entry rows:</w:t>
      </w:r>
      <w:r>
        <w:br/>
      </w:r>
      <w:r>
        <w:rPr>
          <w:rFonts w:ascii="Consolas" w:hAnsi="Consolas"/>
          <w:color w:val="ECD9B0"/>
          <w:sz w:val="19"/>
        </w:rPr>
        <w:t xml:space="preserve">  hiding | Hide Model Selection Frequency Band Plus if no values available</w:t>
      </w:r>
      <w:r>
        <w:br/>
      </w:r>
      <w:r>
        <w:rPr>
          <w:rFonts w:ascii="Consolas" w:hAnsi="Consolas"/>
          <w:color w:val="ECD9B0"/>
          <w:sz w:val="19"/>
        </w:rPr>
        <w:t xml:space="preserve">         | modelSelectionFrequencyBandPlus_astro | outcome=hide</w:t>
      </w:r>
      <w:r>
        <w:br/>
      </w:r>
      <w:r>
        <w:rPr>
          <w:rFonts w:ascii="Consolas" w:hAnsi="Consolas"/>
          <w:color w:val="ECD9B0"/>
          <w:sz w:val="19"/>
        </w:rPr>
        <w:t xml:space="preserve">  hiding | Hide Wireless Carrier if no values available</w:t>
      </w:r>
      <w:r>
        <w:br/>
      </w:r>
      <w:r>
        <w:rPr>
          <w:rFonts w:ascii="Consolas" w:hAnsi="Consolas"/>
          <w:color w:val="ECD9B0"/>
          <w:sz w:val="19"/>
        </w:rPr>
        <w:t xml:space="preserve">         | wirelessCarrier_astro | outcome=show</w:t>
      </w:r>
    </w:p>
    <w:p>
      <w:r>
        <w:rPr>
          <w:b w:val="0"/>
          <w:i w:val="0"/>
        </w:rPr>
        <w:t>Confirmed end-to-end: “Additional Frequency Bands” no longer appears at all for an APX NEXT All Band order (the original bug report) — it simply isn't asked, isn't in the payload, matching the real business intent that this is a Single-Band-only concept.</w:t>
      </w:r>
    </w:p>
    <w:p>
      <w:r>
        <w:rPr>
          <w:b w:val="0"/>
          <w:i w:val="0"/>
        </w:rPr>
        <w:t>Shipped as: src/aryx/cpq/engine.py (new method + one wiring call in evaluate_rules_loop), 9 new unit tests in tests/test_cpq_auto_fill_data_table_tier.py (all pass), full CPQ suite re-run with only the same 3 known pre-existing, unrelated failures.</w:t>
      </w:r>
    </w:p>
    <w:p>
      <w:pPr>
        <w:shd w:val="clear" w:color="auto" w:fill="F1E3CD"/>
      </w:pPr>
      <w:r>
        <w:rPr>
          <w:b/>
          <w:color w:val="9A5B13"/>
          <w:sz w:val="18"/>
        </w:rPr>
        <w:t>ONE REAL SIDE EFFECT WORTH WATCHING</w:t>
        <w:br/>
      </w:r>
      <w:r>
        <w:rPr>
          <w:sz w:val="21"/>
        </w:rPr>
        <w:t>wirelessCarrier_astro now shows up as a genuine pending question instead of being silently skipped. Arguably more correct (real attrSequence data confirms it applies to this configuration, so asking beats guessing or omitting) — but it is a visible behavior change on real quotes.</w:t>
      </w:r>
    </w:p>
    <w:p/>
    <w:p>
      <w:pPr>
        <w:pStyle w:val="Heading1"/>
      </w:pPr>
      <w:r>
        <w:rPr>
          <w:color w:val="9A5B13"/>
        </w:rPr>
        <w:t>10  Correction — Not Every Follow-Up Needed the Same Fix</w:t>
      </w:r>
    </w:p>
    <w:p>
      <w:r>
        <w:rPr>
          <w:b w:val="0"/>
          <w:i w:val="0"/>
        </w:rPr>
        <w:t>Digging into the 3 attributes flagged in §07 as needing “an additional business condition” found each one is materially different — this section corrects the original framing.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F1E3CD"/>
          </w:tcPr>
          <w:p>
            <w:r/>
            <w:r>
              <w:rPr>
                <w:b/>
                <w:color w:val="232019"/>
                <w:sz w:val="19"/>
              </w:rPr>
              <w:t>Attribute</w:t>
            </w:r>
          </w:p>
        </w:tc>
        <w:tc>
          <w:tcPr>
            <w:tcW w:type="dxa" w:w="2304"/>
            <w:shd w:val="clear" w:color="auto" w:fill="F1E3CD"/>
          </w:tcPr>
          <w:p>
            <w:r/>
            <w:r>
              <w:rPr>
                <w:b/>
                <w:color w:val="232019"/>
                <w:sz w:val="19"/>
              </w:rPr>
              <w:t>Original (§07) framing</w:t>
            </w:r>
          </w:p>
        </w:tc>
        <w:tc>
          <w:tcPr>
            <w:tcW w:type="dxa" w:w="4896"/>
            <w:shd w:val="clear" w:color="auto" w:fill="F1E3CD"/>
          </w:tcPr>
          <w:p>
            <w:r/>
            <w:r>
              <w:rPr>
                <w:b/>
                <w:color w:val="232019"/>
                <w:sz w:val="19"/>
              </w:rPr>
              <w:t>Corrected finding</w:t>
            </w:r>
          </w:p>
        </w:tc>
      </w:tr>
      <w:tr>
        <w:tc>
          <w:tcPr>
            <w:tcW w:type="dxa" w:w="2880"/>
          </w:tcPr>
          <w:p>
            <w:r/>
            <w:r>
              <w:rPr>
                <w:sz w:val="19"/>
              </w:rPr>
              <w:t>modelSelectionHousing_astro</w:t>
            </w:r>
          </w:p>
        </w:tc>
        <w:tc>
          <w:tcPr>
            <w:tcW w:type="dxa" w:w="2304"/>
          </w:tcPr>
          <w:p>
            <w:r/>
            <w:r>
              <w:rPr>
                <w:sz w:val="19"/>
              </w:rPr>
              <w:t>XE-model only — needs extra condition</w:t>
            </w:r>
          </w:p>
        </w:tc>
        <w:tc>
          <w:tcPr>
            <w:tcW w:type="dxa" w:w="4896"/>
          </w:tcPr>
          <w:p>
            <w:r/>
            <w:r>
              <w:rPr>
                <w:sz w:val="19"/>
              </w:rPr>
              <w:t>Already fully fixed. Its XE-check rule is pure product-value logic BmlEvaluator's Tier 1 already resolved correctly, independent of this fix. Its OTHER rule (generic "no values available") is now resolved by §09's fix. Confirmed live both directions: hidden for All Band, visible + resolved to "GREEN" for XE All Band.</w:t>
            </w:r>
          </w:p>
        </w:tc>
      </w:tr>
      <w:tr>
        <w:tc>
          <w:tcPr>
            <w:tcW w:type="dxa" w:w="2880"/>
          </w:tcPr>
          <w:p>
            <w:r/>
            <w:r>
              <w:rPr>
                <w:sz w:val="19"/>
              </w:rPr>
              <w:t>extendRangeTo762764MHz_astro</w:t>
            </w:r>
          </w:p>
        </w:tc>
        <w:tc>
          <w:tcPr>
            <w:tcW w:type="dxa" w:w="2304"/>
          </w:tcPr>
          <w:p>
            <w:r/>
            <w:r>
              <w:rPr>
                <w:sz w:val="19"/>
              </w:rPr>
              <w:t>Federal/privileged customer only</w:t>
            </w:r>
          </w:p>
        </w:tc>
        <w:tc>
          <w:tcPr>
            <w:tcW w:type="dxa" w:w="4896"/>
          </w:tcPr>
          <w:p>
            <w:r/>
            <w:r>
              <w:rPr>
                <w:sz w:val="19"/>
              </w:rPr>
              <w:t>WRONG. Real script depends on _BM_USER_GROUPS — which BigMachines SALES REP is logged in, not any customer attribute. This codebase has already, deliberately decided never to guess this (bom_gate.py's _is_noise_var excludes it from both payload and conversation) since it requires real CRM/account-context integration Aryx does not have. Not fixable the same way as §09.</w:t>
            </w:r>
          </w:p>
        </w:tc>
      </w:tr>
      <w:tr>
        <w:tc>
          <w:tcPr>
            <w:tcW w:type="dxa" w:w="2880"/>
          </w:tcPr>
          <w:p>
            <w:r/>
            <w:r>
              <w:rPr>
                <w:sz w:val="19"/>
              </w:rPr>
              <w:t>cBPQRCode_astro / fedQRCode_astro / dHSAssetTagLabel_astro</w:t>
            </w:r>
          </w:p>
        </w:tc>
        <w:tc>
          <w:tcPr>
            <w:tcW w:type="dxa" w:w="2304"/>
          </w:tcPr>
          <w:p>
            <w:r/>
            <w:r>
              <w:rPr>
                <w:sz w:val="19"/>
              </w:rPr>
              <w:t>Specific customer group</w:t>
            </w:r>
          </w:p>
        </w:tc>
        <w:tc>
          <w:tcPr>
            <w:tcW w:type="dxa" w:w="4896"/>
          </w:tcPr>
          <w:p>
            <w:r/>
            <w:r>
              <w:rPr>
                <w:sz w:val="19"/>
              </w:rPr>
              <w:t>Confirmed correct in spirit, but harder than expected: depends on real, knowable customerUIN checked against a UserGroupMapping data table — but that table type is NOT currently ingested or recognized anywhere for this workspace (checked all 75 ingested entity types — zero matches). Fixable in principle, but needs both new data AND new code. See §11.</w:t>
            </w:r>
          </w:p>
        </w:tc>
      </w:tr>
    </w:tbl>
    <w:p/>
    <w:p>
      <w:pPr>
        <w:pStyle w:val="Heading1"/>
      </w:pPr>
      <w:r>
        <w:rPr>
          <w:color w:val="9A5B13"/>
        </w:rPr>
        <w:t>11  Next Plan — UserGroupMapping Support</w:t>
      </w:r>
    </w:p>
    <w:p>
      <w:r>
        <w:rPr>
          <w:b w:val="0"/>
          <w:i w:val="0"/>
        </w:rPr>
        <w:t>See docs/CPQ_USER_GROUP_MAPPING_HIDING_RULE_PLAN_2026_08_10.md for the full plan. Summary:</w:t>
      </w:r>
    </w:p>
    <w:p>
      <w:pPr>
        <w:pStyle w:val="ListBullet"/>
      </w:pPr>
      <w:r>
        <w:t>Add one new shape detector to data_table_resolver.py's _SHAPE_DETECTORS (id_name + group_name columns — disjoint from all 4 existing shapes, so this is additive, not a rework of the existing four).</w:t>
      </w:r>
    </w:p>
    <w:p>
      <w:pPr>
        <w:pStyle w:val="ListBullet"/>
      </w:pPr>
      <w:r>
        <w:t>Add one new resolver function (customer_in_user_group(customer_uin, group_name, workspace_id, catalog_prefix, cache)) following the same pattern as governed_attr_names_for_base_model.</w:t>
      </w:r>
    </w:p>
    <w:p>
      <w:pPr>
        <w:shd w:val="clear" w:color="auto" w:fill="F6E4E1"/>
      </w:pPr>
      <w:r>
        <w:rPr>
          <w:b/>
          <w:color w:val="A13A2F"/>
          <w:sz w:val="18"/>
        </w:rPr>
        <w:t>REAL BLOCKER — DATA, NOT CODE</w:t>
        <w:br/>
      </w:r>
      <w:r>
        <w:rPr>
          <w:sz w:val="21"/>
        </w:rPr>
        <w:t>Confirmed live: no UserGroupMapping-shaped table is ingested anywhere in this workspace today (checked all 75 real ingested entity types). The code fix can be written and unit tested against a synthetic fixture, but it CANNOT be live-verified — and will not change real behavior at all — until the actual UserGroupMapping (or equivalently-shaped) CSV export is uploaded through the normal ingestion flow. This is a genuine dependency on someone providing that data file, not an engineering estimate.</w:t>
      </w:r>
    </w:p>
    <w:p/>
    <w:p>
      <w:pPr>
        <w:pStyle w:val="Heading1"/>
      </w:pPr>
      <w:r>
        <w:rPr>
          <w:color w:val="9A5B13"/>
        </w:rPr>
        <w:t>12  Exhaustive Data Gap Audit</w:t>
      </w:r>
    </w:p>
    <w:p>
      <w:r>
        <w:rPr>
          <w:b w:val="0"/>
          <w:i w:val="0"/>
        </w:rPr>
        <w:t>Two more real questions came up after §11: is the UserGroupMapping gap unique, or are there OTHER missing exports the same way — and is the earlier “missing BmFunction script” finding from this investigation's first pass (before the §02 correction) still real anywhere? Both checked directly, with numbers, not assumed.</w:t>
      </w:r>
    </w:p>
    <w:p>
      <w:pPr>
        <w:pStyle w:val="Heading2"/>
      </w:pPr>
      <w:r>
        <w:rPr>
          <w:color w:val="232019"/>
        </w:rPr>
        <w:t>12a. BmFunction script coverage, per workspace</w:t>
      </w:r>
    </w:p>
    <w:p>
      <w:r>
        <w:rPr>
          <w:b w:val="0"/>
          <w:i w:val="0"/>
        </w:rPr>
        <w:t>The very first pass of this investigation found 22 rules referencing an external BmFunction script that could not be found in the ingested bmfunction table for workspace 3 — including the exact rule ("Restrict Attribute Values Based on Model &amp; Base Model (Portable)") originally, wrongly blamed for the Wireless Carrier symptom. Re-checked systematically across all three workspaces:</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F1E3CD"/>
          </w:tcPr>
          <w:p>
            <w:r/>
            <w:r>
              <w:rPr>
                <w:b/>
                <w:color w:val="232019"/>
                <w:sz w:val="19"/>
              </w:rPr>
              <w:t>Workspace</w:t>
            </w:r>
          </w:p>
        </w:tc>
        <w:tc>
          <w:tcPr>
            <w:tcW w:type="dxa" w:w="3168"/>
            <w:shd w:val="clear" w:color="auto" w:fill="F1E3CD"/>
          </w:tcPr>
          <w:p>
            <w:r/>
            <w:r>
              <w:rPr>
                <w:b/>
                <w:color w:val="232019"/>
                <w:sz w:val="19"/>
              </w:rPr>
              <w:t>Rec / Con / Hiding rules</w:t>
            </w:r>
          </w:p>
        </w:tc>
        <w:tc>
          <w:tcPr>
            <w:tcW w:type="dxa" w:w="3168"/>
            <w:shd w:val="clear" w:color="auto" w:fill="F1E3CD"/>
          </w:tcPr>
          <w:p>
            <w:r/>
            <w:r>
              <w:rPr>
                <w:b/>
                <w:color w:val="232019"/>
                <w:sz w:val="19"/>
              </w:rPr>
              <w:t>Unresolved BmFunction references</w:t>
            </w:r>
          </w:p>
        </w:tc>
      </w:tr>
      <w:tr>
        <w:tc>
          <w:tcPr>
            <w:tcW w:type="dxa" w:w="3744"/>
          </w:tcPr>
          <w:p>
            <w:r/>
            <w:r>
              <w:rPr>
                <w:sz w:val="19"/>
              </w:rPr>
              <w:t>3 ("Apx Next") — older ingestion</w:t>
            </w:r>
          </w:p>
        </w:tc>
        <w:tc>
          <w:tcPr>
            <w:tcW w:type="dxa" w:w="3168"/>
          </w:tcPr>
          <w:p>
            <w:r/>
            <w:r>
              <w:rPr>
                <w:sz w:val="19"/>
              </w:rPr>
              <w:t>545 / 212 / 502</w:t>
            </w:r>
          </w:p>
        </w:tc>
        <w:tc>
          <w:tcPr>
            <w:tcW w:type="dxa" w:w="3168"/>
          </w:tcPr>
          <w:p>
            <w:r/>
            <w:r>
              <w:rPr>
                <w:sz w:val="19"/>
              </w:rPr>
              <w:t>22</w:t>
            </w:r>
          </w:p>
        </w:tc>
      </w:tr>
      <w:tr>
        <w:tc>
          <w:tcPr>
            <w:tcW w:type="dxa" w:w="3744"/>
          </w:tcPr>
          <w:p>
            <w:r/>
            <w:r>
              <w:rPr>
                <w:sz w:val="19"/>
              </w:rPr>
              <w:t>39004 ("AstroApx")</w:t>
            </w:r>
          </w:p>
        </w:tc>
        <w:tc>
          <w:tcPr>
            <w:tcW w:type="dxa" w:w="3168"/>
          </w:tcPr>
          <w:p>
            <w:r/>
            <w:r>
              <w:rPr>
                <w:sz w:val="19"/>
              </w:rPr>
              <w:t>571 / 215 / 525</w:t>
            </w:r>
          </w:p>
        </w:tc>
        <w:tc>
          <w:tcPr>
            <w:tcW w:type="dxa" w:w="3168"/>
          </w:tcPr>
          <w:p>
            <w:r/>
            <w:r>
              <w:rPr>
                <w:sz w:val="19"/>
              </w:rPr>
              <w:t>0</w:t>
            </w:r>
          </w:p>
        </w:tc>
      </w:tr>
      <w:tr>
        <w:tc>
          <w:tcPr>
            <w:tcW w:type="dxa" w:w="3744"/>
          </w:tcPr>
          <w:p>
            <w:r/>
            <w:r>
              <w:rPr>
                <w:sz w:val="19"/>
              </w:rPr>
              <w:t>39005 ("MSI CPQ V2") — today's full CSV upload</w:t>
            </w:r>
          </w:p>
        </w:tc>
        <w:tc>
          <w:tcPr>
            <w:tcW w:type="dxa" w:w="3168"/>
          </w:tcPr>
          <w:p>
            <w:r/>
            <w:r>
              <w:rPr>
                <w:sz w:val="19"/>
              </w:rPr>
              <w:t>572 / 216 / 528</w:t>
            </w:r>
          </w:p>
        </w:tc>
        <w:tc>
          <w:tcPr>
            <w:tcW w:type="dxa" w:w="3168"/>
          </w:tcPr>
          <w:p>
            <w:r/>
            <w:r>
              <w:rPr>
                <w:sz w:val="19"/>
              </w:rPr>
              <w:t>0</w:t>
            </w:r>
          </w:p>
        </w:tc>
      </w:tr>
    </w:tbl>
    <w:p/>
    <w:p>
      <w:r>
        <w:rPr>
          <w:b w:val="0"/>
          <w:i w:val="0"/>
        </w:rPr>
        <w:t>The workspace this whole investigation and fix targets (39005) already has ZERO of this gap — today's full CSV re-upload incidentally already resolved it, before this was even known to be a separate issue. Workspace 3 is the only one still missing this data; if it's still in active use, the same kind of full re-upload done for 39005 would likely resolve it the same way.</w:t>
      </w:r>
    </w:p>
    <w:p>
      <w:pPr>
        <w:pStyle w:val="Heading2"/>
      </w:pPr>
      <w:r>
        <w:rPr>
          <w:color w:val="232019"/>
        </w:rPr>
        <w:t>12b. UserGroupMapping — confirmed missing, three independent ways</w:t>
      </w:r>
    </w:p>
    <w:p>
      <w:r>
        <w:rPr>
          <w:b w:val="0"/>
          <w:i w:val="0"/>
        </w:rPr>
        <w:t>Re-verified beyond the original name-based search, since this system classifies data tables by column SHAPE, not name:</w:t>
      </w:r>
    </w:p>
    <w:p>
      <w:pPr>
        <w:pStyle w:val="ListNumber"/>
      </w:pPr>
      <w:r>
        <w:t>By exact shape (id_name + group_name columns) across all 75+105+38 = 218 ingested entity types across workspaces 3, 39004, and 39005 — zero matches.</w:t>
      </w:r>
    </w:p>
    <w:p>
      <w:pPr>
        <w:pStyle w:val="ListNumber"/>
      </w:pPr>
      <w:r>
        <w:t>By near-miss shape (any column containing "group" at all, any type name containing "usergroup") across the same three workspaces — zero matches.</w:t>
      </w:r>
    </w:p>
    <w:p>
      <w:pPr>
        <w:pStyle w:val="ListNumber"/>
      </w:pPr>
      <w:r>
        <w:t>On disk, uningested — searched the filesystem for a file named anything like "usergroup", and every CSV under the working environment for a header row containing group_name or id_name — no real data file found.</w:t>
      </w:r>
    </w:p>
    <w:p>
      <w:r>
        <w:rPr>
          <w:b w:val="0"/>
          <w:i w:val="0"/>
        </w:rPr>
        <w:t>Conclusion: this export was never provided to the system at all, in any form, in any workspace — not a classification bug, not an unuploaded-but-present file.</w:t>
      </w:r>
    </w:p>
    <w:p>
      <w:pPr>
        <w:pStyle w:val="Heading1"/>
      </w:pPr>
      <w:r>
        <w:rPr>
          <w:color w:val="9A5B13"/>
        </w:rPr>
        <w:t>13  Data Gap vs. Session-Identity Gap — Why _BM_USER_GROUPS Is Different</w:t>
      </w:r>
    </w:p>
    <w:p>
      <w:r>
        <w:rPr>
          <w:b w:val="0"/>
          <w:i w:val="0"/>
        </w:rPr>
        <w:t>A natural follow-up: is _BM_USER_GROUPS (Extend Range's real dependency, §10) “missing data” in the same sense as UserGroupMapping — i.e., could uploading the right export fix it too? Checked directly. The answer is no, and the distinction matters for what's even possible to fix.</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F1E3CD"/>
          </w:tcPr>
          <w:p>
            <w:r/>
            <w:r>
              <w:rPr>
                <w:b/>
                <w:color w:val="232019"/>
                <w:sz w:val="19"/>
              </w:rPr>
            </w:r>
          </w:p>
        </w:tc>
        <w:tc>
          <w:tcPr>
            <w:tcW w:type="dxa" w:w="3744"/>
            <w:shd w:val="clear" w:color="auto" w:fill="F1E3CD"/>
          </w:tcPr>
          <w:p>
            <w:r/>
            <w:r>
              <w:rPr>
                <w:b/>
                <w:color w:val="232019"/>
                <w:sz w:val="19"/>
              </w:rPr>
              <w:t>UserGroupMapping</w:t>
            </w:r>
          </w:p>
        </w:tc>
        <w:tc>
          <w:tcPr>
            <w:tcW w:type="dxa" w:w="4032"/>
            <w:shd w:val="clear" w:color="auto" w:fill="F1E3CD"/>
          </w:tcPr>
          <w:p>
            <w:r/>
            <w:r>
              <w:rPr>
                <w:b/>
                <w:color w:val="232019"/>
                <w:sz w:val="19"/>
              </w:rPr>
              <w:t>_BM_USER_GROUPS</w:t>
            </w:r>
          </w:p>
        </w:tc>
      </w:tr>
      <w:tr>
        <w:tc>
          <w:tcPr>
            <w:tcW w:type="dxa" w:w="2304"/>
          </w:tcPr>
          <w:p>
            <w:r/>
            <w:r>
              <w:rPr>
                <w:sz w:val="19"/>
              </w:rPr>
              <w:t>What it is</w:t>
            </w:r>
          </w:p>
        </w:tc>
        <w:tc>
          <w:tcPr>
            <w:tcW w:type="dxa" w:w="3744"/>
          </w:tcPr>
          <w:p>
            <w:r/>
            <w:r>
              <w:rPr>
                <w:sz w:val="19"/>
              </w:rPr>
              <w:t>A real data table (rows), keyed by customerUIN</w:t>
            </w:r>
          </w:p>
        </w:tc>
        <w:tc>
          <w:tcPr>
            <w:tcW w:type="dxa" w:w="4032"/>
          </w:tcPr>
          <w:p>
            <w:r/>
            <w:r>
              <w:rPr>
                <w:sz w:val="19"/>
              </w:rPr>
              <w:t>A live BigMachines LOGIN SESSION variable</w:t>
            </w:r>
          </w:p>
        </w:tc>
      </w:tr>
      <w:tr>
        <w:tc>
          <w:tcPr>
            <w:tcW w:type="dxa" w:w="2304"/>
          </w:tcPr>
          <w:p>
            <w:r/>
            <w:r>
              <w:rPr>
                <w:sz w:val="19"/>
              </w:rPr>
              <w:t>Confirmed ingested?</w:t>
            </w:r>
          </w:p>
        </w:tc>
        <w:tc>
          <w:tcPr>
            <w:tcW w:type="dxa" w:w="3744"/>
          </w:tcPr>
          <w:p>
            <w:r/>
            <w:r>
              <w:rPr>
                <w:sz w:val="19"/>
              </w:rPr>
              <w:t>No — genuinely absent everywhere (§12b)</w:t>
            </w:r>
          </w:p>
        </w:tc>
        <w:tc>
          <w:tcPr>
            <w:tcW w:type="dxa" w:w="4032"/>
          </w:tcPr>
          <w:p>
            <w:r/>
            <w:r>
              <w:rPr>
                <w:sz w:val="19"/>
              </w:rPr>
              <w:t>Exists as a catalog attribute (required=1) but with zero backing data — no menu options, no data table, ever</w:t>
            </w:r>
          </w:p>
        </w:tc>
      </w:tr>
      <w:tr>
        <w:tc>
          <w:tcPr>
            <w:tcW w:type="dxa" w:w="2304"/>
          </w:tcPr>
          <w:p>
            <w:r/>
            <w:r>
              <w:rPr>
                <w:sz w:val="19"/>
              </w:rPr>
              <w:t>Is there an alternate real path to it?</w:t>
            </w:r>
          </w:p>
        </w:tc>
        <w:tc>
          <w:tcPr>
            <w:tcW w:type="dxa" w:w="3744"/>
          </w:tcPr>
          <w:p>
            <w:r/>
            <w:r>
              <w:rPr>
                <w:sz w:val="19"/>
              </w:rPr>
              <w:t>N/A — this IS the real path</w:t>
            </w:r>
          </w:p>
        </w:tc>
        <w:tc>
          <w:tcPr>
            <w:tcW w:type="dxa" w:w="4032"/>
          </w:tcPr>
          <w:p>
            <w:r/>
            <w:r>
              <w:rPr>
                <w:sz w:val="19"/>
              </w:rPr>
              <w:t>Checked: the only other attribute that reads it (privilegedUserGroup) just re-derives from the SAME variable via the SAME script pattern — no independent source exists anywhere in the catalog</w:t>
            </w:r>
          </w:p>
        </w:tc>
      </w:tr>
      <w:tr>
        <w:tc>
          <w:tcPr>
            <w:tcW w:type="dxa" w:w="2304"/>
          </w:tcPr>
          <w:p>
            <w:r/>
            <w:r>
              <w:rPr>
                <w:sz w:val="19"/>
              </w:rPr>
              <w:t>Fixable by finding/uploading a file?</w:t>
            </w:r>
          </w:p>
        </w:tc>
        <w:tc>
          <w:tcPr>
            <w:tcW w:type="dxa" w:w="3744"/>
          </w:tcPr>
          <w:p>
            <w:r/>
            <w:r>
              <w:rPr>
                <w:sz w:val="19"/>
              </w:rPr>
              <w:t>Yes, in principle (§11's plan)</w:t>
            </w:r>
          </w:p>
        </w:tc>
        <w:tc>
          <w:tcPr>
            <w:tcW w:type="dxa" w:w="4032"/>
          </w:tcPr>
          <w:p>
            <w:r/>
            <w:r>
              <w:rPr>
                <w:sz w:val="19"/>
              </w:rPr>
              <w:t>No — there is no file to export. It represents WHICH BigMachines sales rep is logged in right now, a runtime identity fact, not a table of business data</w:t>
            </w:r>
          </w:p>
        </w:tc>
      </w:tr>
      <w:tr>
        <w:tc>
          <w:tcPr>
            <w:tcW w:type="dxa" w:w="2304"/>
          </w:tcPr>
          <w:p>
            <w:r/>
            <w:r>
              <w:rPr>
                <w:sz w:val="19"/>
              </w:rPr>
              <w:t>What it would actually take</w:t>
            </w:r>
          </w:p>
        </w:tc>
        <w:tc>
          <w:tcPr>
            <w:tcW w:type="dxa" w:w="3744"/>
          </w:tcPr>
          <w:p>
            <w:r/>
            <w:r>
              <w:rPr>
                <w:sz w:val="19"/>
              </w:rPr>
              <w:t>Locate and ingest the real export</w:t>
            </w:r>
          </w:p>
        </w:tc>
        <w:tc>
          <w:tcPr>
            <w:tcW w:type="dxa" w:w="4032"/>
          </w:tcPr>
          <w:p>
            <w:r/>
            <w:r>
              <w:rPr>
                <w:sz w:val="19"/>
              </w:rPr>
              <w:t>Real CRM/account-context/SSO integration telling Aryx which BM rep is behind a given conversation — a materially larger, different kind of change</w:t>
            </w:r>
          </w:p>
        </w:tc>
      </w:tr>
    </w:tbl>
    <w:p/>
    <w:p>
      <w:pPr>
        <w:shd w:val="clear" w:color="auto" w:fill="F1E3CD"/>
      </w:pPr>
      <w:r>
        <w:rPr>
          <w:b/>
          <w:color w:val="9A5B13"/>
          <w:sz w:val="18"/>
        </w:rPr>
        <w:t>WHY THIS DISTINCTION MATTERS</w:t>
        <w:br/>
      </w:r>
      <w:r>
        <w:rPr>
          <w:sz w:val="21"/>
        </w:rPr>
        <w:t>Lumping both under “missing data” would wrongly suggest Extend Range is just waiting on the same kind of file upload as the DHS/CBP QR case. It is not — it needs a different, bigger category of integration this codebase has already, deliberately decided not to fake (bom_gate.py's _is_noise_var treatment of _BM_USER_GROUPS and its siblings).</w:t>
      </w:r>
    </w:p>
    <w:p/>
    <w:p>
      <w:pPr>
        <w:pStyle w:val="Heading1"/>
      </w:pPr>
      <w:r>
        <w:rPr>
          <w:color w:val="9A5B13"/>
        </w:rPr>
        <w:t>14  Impact Analysis</w:t>
      </w:r>
    </w:p>
    <w:p>
      <w:pPr>
        <w:pStyle w:val="Heading2"/>
      </w:pPr>
      <w:r>
        <w:rPr>
          <w:color w:val="232019"/>
        </w:rPr>
        <w:t>Positive</w:t>
      </w:r>
    </w:p>
    <w:p>
      <w:pPr>
        <w:pStyle w:val="ListBullet"/>
      </w:pPr>
      <w:r>
        <w:t>Most of the 31 flagged attributes (confirmed: all 30 depending on hiddenMasterStringForAstroPortable_astro, including modelSelectionHousing_astro fully) now hide/show based on real product and base-model data instead of always defaulting to visible.</w:t>
      </w:r>
    </w:p>
    <w:p>
      <w:pPr>
        <w:pStyle w:val="ListBullet"/>
      </w:pPr>
      <w:r>
        <w:t>Directly resolves the reported symptom: “Additional Frequency Bands” no longer appears at all for an APX NEXT All Band order.</w:t>
      </w:r>
    </w:p>
    <w:p>
      <w:pPr>
        <w:pStyle w:val="ListBullet"/>
      </w:pPr>
      <w:r>
        <w:t>Zero new interpreter, zero schema changes, zero hardcoded catalog specifics — reuses code already running in production for a different feature (_suppress_ungoverned_attrs), confirmed via 9 new passing unit tests plus a full CPQ regression run (839 passed, same 3 known pre-existing failures).</w:t>
      </w:r>
    </w:p>
    <w:p>
      <w:pPr>
        <w:pStyle w:val="ListBullet"/>
      </w:pPr>
      <w:r>
        <w:t>Catalog-agnostic: works identically for any workspace with attrSequence-shaped data — not a one-off patch for this product line, confirmed live across all three workspaces.</w:t>
      </w:r>
    </w:p>
    <w:p>
      <w:pPr>
        <w:pStyle w:val="ListBullet"/>
      </w:pPr>
      <w:r>
        <w:t>Incidental discovery: today's full CSV re-upload for workspace 39005 also silently closed the separate 22-rule BmFunction gap that still affects workspace 3.</w:t>
      </w:r>
    </w:p>
    <w:p>
      <w:pPr>
        <w:pStyle w:val="Heading2"/>
      </w:pPr>
      <w:r>
        <w:rPr>
          <w:color w:val="232019"/>
        </w:rPr>
        <w:t>Negative / things to watch</w:t>
      </w:r>
    </w:p>
    <w:p>
      <w:pPr>
        <w:pStyle w:val="ListBullet"/>
      </w:pPr>
      <w:r>
        <w:t>Real behavior change on live quotes: fields that always showed up (even incorrectly) may now disappear — e.g. Additional Frequency Bands vanishing for All Band products. This is the intended fix, but will look like a change to anyone used to the old, wrong behavior.</w:t>
      </w:r>
    </w:p>
    <w:p>
      <w:pPr>
        <w:pStyle w:val="ListBullet"/>
      </w:pPr>
      <w:r>
        <w:t>wirelessCarrier_astro now shows up as a genuine pending question instead of being silently skipped — arguably more correct, but a visible behavior change worth flagging before go-live.</w:t>
      </w:r>
    </w:p>
    <w:p>
      <w:pPr>
        <w:pStyle w:val="ListBullet"/>
      </w:pPr>
      <w:r>
        <w:t>Does not fix everything: extendRangeTo762764MHz_astro is blocked on integration work outside this codebase's current design; the DHS/CBP QR / Fed QR trio is blocked on a real, currently nonexistent data export (§11/§12b).</w:t>
      </w:r>
    </w:p>
    <w:p>
      <w:pPr>
        <w:pStyle w:val="ListBullet"/>
      </w:pPr>
      <w:r>
        <w:t>Adds one more data-table lookup per evaluate_rules_loop pass — cheap in practice (reuses the already-cached attrSequence scan) but not independently re-benchmarked against the separate, still-open performance investigation into BmlEvaluator turn latency.</w:t>
      </w:r>
    </w:p>
    <w:p>
      <w:pPr>
        <w:pStyle w:val="ListBullet"/>
      </w:pPr>
      <w:r>
        <w:t>Workspace 3's still-open 22-rule BmFunction gap (§12a) was not created by this investigation, but is now more precisely characterized — worth a decision on whether that workspace still matters enough to re-ingest.</w:t>
      </w:r>
    </w:p>
    <w:p>
      <w:pPr>
        <w:pStyle w:val="Heading1"/>
      </w:pPr>
      <w:r>
        <w:rPr>
          <w:color w:val="9A5B13"/>
        </w:rPr>
        <w:t>15  Consolidated Root Cause — Every Attribute Investigated</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color="auto" w:fill="F1E3CD"/>
          </w:tcPr>
          <w:p>
            <w:r/>
            <w:r>
              <w:rPr>
                <w:b/>
                <w:color w:val="232019"/>
                <w:sz w:val="19"/>
              </w:rPr>
              <w:t>Attribute / Issue</w:t>
            </w:r>
          </w:p>
        </w:tc>
        <w:tc>
          <w:tcPr>
            <w:tcW w:type="dxa" w:w="4320"/>
            <w:shd w:val="clear" w:color="auto" w:fill="F1E3CD"/>
          </w:tcPr>
          <w:p>
            <w:r/>
            <w:r>
              <w:rPr>
                <w:b/>
                <w:color w:val="232019"/>
                <w:sz w:val="19"/>
              </w:rPr>
              <w:t>Root cause</w:t>
            </w:r>
          </w:p>
        </w:tc>
        <w:tc>
          <w:tcPr>
            <w:tcW w:type="dxa" w:w="2448"/>
            <w:shd w:val="clear" w:color="auto" w:fill="F1E3CD"/>
          </w:tcPr>
          <w:p>
            <w:r/>
            <w:r>
              <w:rPr>
                <w:b/>
                <w:color w:val="232019"/>
                <w:sz w:val="19"/>
              </w:rPr>
              <w:t>Status</w:t>
            </w:r>
          </w:p>
        </w:tc>
      </w:tr>
      <w:tr>
        <w:tc>
          <w:tcPr>
            <w:tcW w:type="dxa" w:w="3312"/>
          </w:tcPr>
          <w:p>
            <w:r/>
            <w:r>
              <w:rPr>
                <w:sz w:val="19"/>
              </w:rPr>
              <w:t>30 of 31 flagged attrs (Wireless Carrier, Antenna/Battery/Belt Clip Type, etc.)</w:t>
            </w:r>
          </w:p>
        </w:tc>
        <w:tc>
          <w:tcPr>
            <w:tcW w:type="dxa" w:w="4320"/>
          </w:tcPr>
          <w:p>
            <w:r/>
            <w:r>
              <w:rPr>
                <w:sz w:val="19"/>
              </w:rPr>
              <w:t>hiddenMasterStringForAstroPortable_astro never computed — upstream BM script too complex for BmlEvaluator</w:t>
            </w:r>
          </w:p>
        </w:tc>
        <w:tc>
          <w:tcPr>
            <w:tcW w:type="dxa" w:w="2448"/>
          </w:tcPr>
          <w:p>
            <w:r/>
            <w:r>
              <w:rPr>
                <w:sz w:val="19"/>
              </w:rPr>
              <w:t>FIXED — shipped §09</w:t>
            </w:r>
          </w:p>
        </w:tc>
      </w:tr>
      <w:tr>
        <w:tc>
          <w:tcPr>
            <w:tcW w:type="dxa" w:w="3312"/>
          </w:tcPr>
          <w:p>
            <w:r/>
            <w:r>
              <w:rPr>
                <w:sz w:val="19"/>
              </w:rPr>
              <w:t>modelSelectionFrequencyBands_astro (the 31st)</w:t>
            </w:r>
          </w:p>
        </w:tc>
        <w:tc>
          <w:tcPr>
            <w:tcW w:type="dxa" w:w="4320"/>
          </w:tcPr>
          <w:p>
            <w:r/>
            <w:r>
              <w:rPr>
                <w:sz w:val="19"/>
              </w:rPr>
              <w:t>Depends on a sibling variable, hiddenHidingRuleMasterString, not ingested as a real catalog attribute at all</w:t>
            </w:r>
          </w:p>
        </w:tc>
        <w:tc>
          <w:tcPr>
            <w:tcW w:type="dxa" w:w="2448"/>
          </w:tcPr>
          <w:p>
            <w:r/>
            <w:r>
              <w:rPr>
                <w:sz w:val="19"/>
              </w:rPr>
              <w:t>Out of scope — attribute doesn't exist in this catalog's ingested data</w:t>
            </w:r>
          </w:p>
        </w:tc>
      </w:tr>
      <w:tr>
        <w:tc>
          <w:tcPr>
            <w:tcW w:type="dxa" w:w="3312"/>
          </w:tcPr>
          <w:p>
            <w:r/>
            <w:r>
              <w:rPr>
                <w:sz w:val="19"/>
              </w:rPr>
              <w:t>modelSelectionHousing_astro</w:t>
            </w:r>
          </w:p>
        </w:tc>
        <w:tc>
          <w:tcPr>
            <w:tcW w:type="dxa" w:w="4320"/>
          </w:tcPr>
          <w:p>
            <w:r/>
            <w:r>
              <w:rPr>
                <w:sz w:val="19"/>
              </w:rPr>
              <w:t>XE-model rule already resolvable via Tier 1; "no values available" rule fixed by §09</w:t>
            </w:r>
          </w:p>
        </w:tc>
        <w:tc>
          <w:tcPr>
            <w:tcW w:type="dxa" w:w="2448"/>
          </w:tcPr>
          <w:p>
            <w:r/>
            <w:r>
              <w:rPr>
                <w:sz w:val="19"/>
              </w:rPr>
              <w:t>FULLY FIXED — confirmed both directions</w:t>
            </w:r>
          </w:p>
        </w:tc>
      </w:tr>
      <w:tr>
        <w:tc>
          <w:tcPr>
            <w:tcW w:type="dxa" w:w="3312"/>
          </w:tcPr>
          <w:p>
            <w:r/>
            <w:r>
              <w:rPr>
                <w:sz w:val="19"/>
              </w:rPr>
              <w:t>extendRangeTo762764MHz_astro</w:t>
            </w:r>
          </w:p>
        </w:tc>
        <w:tc>
          <w:tcPr>
            <w:tcW w:type="dxa" w:w="4320"/>
          </w:tcPr>
          <w:p>
            <w:r/>
            <w:r>
              <w:rPr>
                <w:sz w:val="19"/>
              </w:rPr>
              <w:t>Depends on _BM_USER_GROUPS — session identity, not data (§13)</w:t>
            </w:r>
          </w:p>
        </w:tc>
        <w:tc>
          <w:tcPr>
            <w:tcW w:type="dxa" w:w="2448"/>
          </w:tcPr>
          <w:p>
            <w:r/>
            <w:r>
              <w:rPr>
                <w:sz w:val="19"/>
              </w:rPr>
              <w:t>BLOCKED — needs real CRM/SSO integration, not a data upload</w:t>
            </w:r>
          </w:p>
        </w:tc>
      </w:tr>
      <w:tr>
        <w:tc>
          <w:tcPr>
            <w:tcW w:type="dxa" w:w="3312"/>
          </w:tcPr>
          <w:p>
            <w:r/>
            <w:r>
              <w:rPr>
                <w:sz w:val="19"/>
              </w:rPr>
              <w:t>cBPQRCode_astro / fedQRCode_astro / dHSAssetTagLabel_astro</w:t>
            </w:r>
          </w:p>
        </w:tc>
        <w:tc>
          <w:tcPr>
            <w:tcW w:type="dxa" w:w="4320"/>
          </w:tcPr>
          <w:p>
            <w:r/>
            <w:r>
              <w:rPr>
                <w:sz w:val="19"/>
              </w:rPr>
              <w:t>Depends on customerUIN + a UserGroupMapping table that is genuinely never ingested (§12b)</w:t>
            </w:r>
          </w:p>
        </w:tc>
        <w:tc>
          <w:tcPr>
            <w:tcW w:type="dxa" w:w="2448"/>
          </w:tcPr>
          <w:p>
            <w:r/>
            <w:r>
              <w:rPr>
                <w:sz w:val="19"/>
              </w:rPr>
              <w:t>BLOCKED — needs a real data export located and uploaded; code side planned (§11)</w:t>
            </w:r>
          </w:p>
        </w:tc>
      </w:tr>
      <w:tr>
        <w:tc>
          <w:tcPr>
            <w:tcW w:type="dxa" w:w="3312"/>
          </w:tcPr>
          <w:p>
            <w:r/>
            <w:r>
              <w:rPr>
                <w:sz w:val="19"/>
              </w:rPr>
              <w:t>22 rules in workspace 3 with an unresolved BmFunction reference</w:t>
            </w:r>
          </w:p>
        </w:tc>
        <w:tc>
          <w:tcPr>
            <w:tcW w:type="dxa" w:w="4320"/>
          </w:tcPr>
          <w:p>
            <w:r/>
            <w:r>
              <w:rPr>
                <w:sz w:val="19"/>
              </w:rPr>
              <w:t>Older/incomplete ingestion — same category workspace 39005 already resolved via today's full upload</w:t>
            </w:r>
          </w:p>
        </w:tc>
        <w:tc>
          <w:tcPr>
            <w:tcW w:type="dxa" w:w="2448"/>
          </w:tcPr>
          <w:p>
            <w:r/>
            <w:r>
              <w:rPr>
                <w:sz w:val="19"/>
              </w:rPr>
              <w:t>Open only for workspace 3 — re-ingest to close, same as 39005</w:t>
            </w:r>
          </w:p>
        </w:tc>
      </w:tr>
      <w:tr>
        <w:tc>
          <w:tcPr>
            <w:tcW w:type="dxa" w:w="3312"/>
          </w:tcPr>
          <w:p>
            <w:r/>
            <w:r>
              <w:rPr>
                <w:sz w:val="19"/>
              </w:rPr>
              <w:t>Original "missing script" hypothesis (this doc's first pass)</w:t>
            </w:r>
          </w:p>
        </w:tc>
        <w:tc>
          <w:tcPr>
            <w:tcW w:type="dxa" w:w="4320"/>
          </w:tcPr>
          <w:p>
            <w:r/>
            <w:r>
              <w:rPr>
                <w:sz w:val="19"/>
              </w:rPr>
              <w:t>Wrong — scripts were fully present; real gap was the master-string evaluation dependency</w:t>
            </w:r>
          </w:p>
        </w:tc>
        <w:tc>
          <w:tcPr>
            <w:tcW w:type="dxa" w:w="2448"/>
          </w:tcPr>
          <w:p>
            <w:r/>
            <w:r>
              <w:rPr>
                <w:sz w:val="19"/>
              </w:rPr>
              <w:t>CORRECTED — see §02</w:t>
            </w:r>
          </w:p>
        </w:tc>
      </w:tr>
    </w:tbl>
    <w:p/>
    <w:p>
      <w:pPr>
        <w:pStyle w:val="Heading1"/>
      </w:pPr>
      <w:r>
        <w:rPr>
          <w:color w:val="9A5B13"/>
        </w:rPr>
        <w:t>16  Data Gaps — Consolidated Summary</w:t>
      </w:r>
    </w:p>
    <w:p>
      <w:r>
        <w:rPr>
          <w:b w:val="0"/>
          <w:i w:val="0"/>
        </w:rPr>
        <w:t>Across this whole investigation, exactly two things are genuine “missing data” gaps — as opposed to a code bug or a different kind of limitation entirely. Resolving either is explicitly out of scope for this revision (tracked here for reference; not pursued further at this time).</w:t>
      </w:r>
    </w:p>
    <w:p>
      <w:pPr>
        <w:pStyle w:val="Heading2"/>
      </w:pPr>
      <w:r>
        <w:rPr>
          <w:color w:val="232019"/>
        </w:rPr>
        <w:t>1. UserGroupMapping — confirmed missing everywhere</w:t>
      </w:r>
    </w:p>
    <w:p>
      <w:r>
        <w:rPr>
          <w:b w:val="0"/>
          <w:i w:val="0"/>
        </w:rPr>
        <w:t>A data table that should list which customers belong to specific groups (e.g. “APXRADIOS9YRS”). Checked three independent ways — exact column shape, near-miss naming, and on-disk for any un-ingested file — across all three workspaces. It does not exist anywhere in this system. Blocks 3 attributes (CBP QR code, Fed QR Code, DHS ICE Asset Tag Label) from ever resolving their hiding rule correctly. Fix requires locating this export in BigMachines and uploading it — see CPQ_USER_GROUP_MAPPING_HIDING_RULE_PLAN_2026_08_10.md for the ready-to-implement code side.</w:t>
      </w:r>
    </w:p>
    <w:p>
      <w:pPr>
        <w:pStyle w:val="Heading2"/>
      </w:pPr>
      <w:r>
        <w:rPr>
          <w:color w:val="232019"/>
        </w:rPr>
        <w:t>2. Missing BmFunction scripts — found, but already resolved for the active workspace</w:t>
      </w:r>
    </w:p>
    <w:tbl>
      <w:tblPr>
        <w:tblStyle w:val="TableGrid"/>
        <w:tblW w:type="auto" w:w="0"/>
        <w:jc w:val="center"/>
        <w:tblLook w:firstColumn="1" w:firstRow="1" w:lastColumn="0" w:lastRow="0" w:noHBand="0" w:noVBand="1" w:val="04A0"/>
      </w:tblPr>
      <w:tblGrid>
        <w:gridCol w:w="4320"/>
        <w:gridCol w:w="4320"/>
      </w:tblGrid>
      <w:tr>
        <w:tc>
          <w:tcPr>
            <w:tcW w:type="dxa" w:w="5760"/>
            <w:shd w:val="clear" w:color="auto" w:fill="F1E3CD"/>
          </w:tcPr>
          <w:p>
            <w:r/>
            <w:r>
              <w:rPr>
                <w:b/>
                <w:color w:val="232019"/>
                <w:sz w:val="19"/>
              </w:rPr>
              <w:t>Workspace</w:t>
            </w:r>
          </w:p>
        </w:tc>
        <w:tc>
          <w:tcPr>
            <w:tcW w:type="dxa" w:w="2880"/>
            <w:shd w:val="clear" w:color="auto" w:fill="F1E3CD"/>
          </w:tcPr>
          <w:p>
            <w:r/>
            <w:r>
              <w:rPr>
                <w:b/>
                <w:color w:val="232019"/>
                <w:sz w:val="19"/>
              </w:rPr>
              <w:t>Missing scripts</w:t>
            </w:r>
          </w:p>
        </w:tc>
      </w:tr>
      <w:tr>
        <w:tc>
          <w:tcPr>
            <w:tcW w:type="dxa" w:w="5760"/>
          </w:tcPr>
          <w:p>
            <w:r/>
            <w:r>
              <w:rPr>
                <w:sz w:val="19"/>
              </w:rPr>
              <w:t>3 ("Apx Next") — older ingestion</w:t>
            </w:r>
          </w:p>
        </w:tc>
        <w:tc>
          <w:tcPr>
            <w:tcW w:type="dxa" w:w="2880"/>
          </w:tcPr>
          <w:p>
            <w:r/>
            <w:r>
              <w:rPr>
                <w:sz w:val="19"/>
              </w:rPr>
              <w:t>22</w:t>
            </w:r>
          </w:p>
        </w:tc>
      </w:tr>
      <w:tr>
        <w:tc>
          <w:tcPr>
            <w:tcW w:type="dxa" w:w="5760"/>
          </w:tcPr>
          <w:p>
            <w:r/>
            <w:r>
              <w:rPr>
                <w:sz w:val="19"/>
              </w:rPr>
              <w:t>39004 ("AstroApx")</w:t>
            </w:r>
          </w:p>
        </w:tc>
        <w:tc>
          <w:tcPr>
            <w:tcW w:type="dxa" w:w="2880"/>
          </w:tcPr>
          <w:p>
            <w:r/>
            <w:r>
              <w:rPr>
                <w:sz w:val="19"/>
              </w:rPr>
              <w:t>0</w:t>
            </w:r>
          </w:p>
        </w:tc>
      </w:tr>
      <w:tr>
        <w:tc>
          <w:tcPr>
            <w:tcW w:type="dxa" w:w="5760"/>
          </w:tcPr>
          <w:p>
            <w:r/>
            <w:r>
              <w:rPr>
                <w:sz w:val="19"/>
              </w:rPr>
              <w:t>39005 ("MSI CPQ V2") — today's full CSV upload</w:t>
            </w:r>
          </w:p>
        </w:tc>
        <w:tc>
          <w:tcPr>
            <w:tcW w:type="dxa" w:w="2880"/>
          </w:tcPr>
          <w:p>
            <w:r/>
            <w:r>
              <w:rPr>
                <w:sz w:val="19"/>
              </w:rPr>
              <w:t>0</w:t>
            </w:r>
          </w:p>
        </w:tc>
      </w:tr>
    </w:tbl>
    <w:p/>
    <w:p>
      <w:r>
        <w:rPr>
          <w:b w:val="0"/>
          <w:i w:val="0"/>
        </w:rPr>
        <w:t>Already fixed for the workspace actually in use (39005) — a full CSV re-upload done earlier this session incidentally resolved it before this was even known to be a separate issue. Only still open for workspace 3, if that one remains in active use.</w:t>
      </w:r>
    </w:p>
    <w:p>
      <w:pPr>
        <w:pStyle w:val="Heading2"/>
      </w:pPr>
      <w:r>
        <w:rPr>
          <w:color w:val="232019"/>
        </w:rPr>
        <w:t>Not a data gap, despite resembling one: _BM_USER_GROUPS</w:t>
      </w:r>
    </w:p>
    <w:p>
      <w:r>
        <w:rPr>
          <w:b w:val="0"/>
          <w:i w:val="0"/>
        </w:rPr>
        <w:t>Behind extendRangeTo762764MHz_astro. Not a missing file — a live BigMachines login-session variable (which sales rep is authenticated right now). There is no CSV to export for “who is currently logged in.” Requires real CRM/SSO integration, not a data upload — see §13 for the full comparison against UserGroupMapping.</w:t>
      </w:r>
    </w:p>
    <w:p>
      <w:pPr>
        <w:pStyle w:val="Heading1"/>
      </w:pPr>
      <w:r>
        <w:rPr>
          <w:color w:val="9A5B13"/>
        </w:rPr>
        <w:t>17  Follow-Up — The Layout-Visibility Baseline Gap (Shipped 2026-08-10)</w:t>
      </w:r>
    </w:p>
    <w:p>
      <w:r>
        <w:rPr>
          <w:b w:val="0"/>
          <w:i w:val="0"/>
        </w:rPr>
        <w:t>A separate, later finding in this same investigation thread: even after the master-string fix (§09), 37 attributes still showed up as “configuration incomplete” on a real order. Checking all 37 against the layout config directly found 26 were marked hide:true — the layout explicitly said never show these — yet they were still being asked.</w:t>
      </w:r>
    </w:p>
    <w:p>
      <w:r>
        <w:rPr>
          <w:b w:val="0"/>
          <w:i w:val="0"/>
        </w:rPr>
        <w:t>Root cause: three separate, structurally identical gaps in CpqEngine.auto_fill, each letting a rule-governed attribute get asked or blind-filled without ever checking whether the layout actually marks it visible. Found and fixed one at a time as each fix's real impact was smaller than expected:</w:t>
      </w:r>
    </w:p>
    <w:tbl>
      <w:tblPr>
        <w:tblStyle w:val="TableGrid"/>
        <w:tblW w:type="auto" w:w="0"/>
        <w:jc w:val="center"/>
        <w:tblLook w:firstColumn="1" w:firstRow="1" w:lastColumn="0" w:lastRow="0" w:noHBand="0" w:noVBand="1" w:val="04A0"/>
      </w:tblPr>
      <w:tblGrid>
        <w:gridCol w:w="4320"/>
        <w:gridCol w:w="4320"/>
      </w:tblGrid>
      <w:tr>
        <w:tc>
          <w:tcPr>
            <w:tcW w:type="dxa" w:w="5760"/>
            <w:shd w:val="clear" w:color="auto" w:fill="F1E3CD"/>
          </w:tcPr>
          <w:p>
            <w:r/>
            <w:r>
              <w:rPr>
                <w:b/>
                <w:color w:val="232019"/>
                <w:sz w:val="19"/>
              </w:rPr>
              <w:t>Fix</w:t>
            </w:r>
          </w:p>
        </w:tc>
        <w:tc>
          <w:tcPr>
            <w:tcW w:type="dxa" w:w="3600"/>
            <w:shd w:val="clear" w:color="auto" w:fill="F1E3CD"/>
          </w:tcPr>
          <w:p>
            <w:r/>
            <w:r>
              <w:rPr>
                <w:b/>
                <w:color w:val="232019"/>
                <w:sz w:val="19"/>
              </w:rPr>
              <w:t>Real impact</w:t>
            </w:r>
          </w:p>
        </w:tc>
      </w:tr>
      <w:tr>
        <w:tc>
          <w:tcPr>
            <w:tcW w:type="dxa" w:w="5760"/>
          </w:tcPr>
          <w:p>
            <w:r/>
            <w:r>
              <w:rPr>
                <w:sz w:val="19"/>
              </w:rPr>
              <w:t>None</w:t>
            </w:r>
          </w:p>
        </w:tc>
        <w:tc>
          <w:tcPr>
            <w:tcW w:type="dxa" w:w="3600"/>
          </w:tcPr>
          <w:p>
            <w:r/>
            <w:r>
              <w:rPr>
                <w:sz w:val="19"/>
              </w:rPr>
              <w:t>37 pending</w:t>
            </w:r>
          </w:p>
        </w:tc>
      </w:tr>
      <w:tr>
        <w:tc>
          <w:tcPr>
            <w:tcW w:type="dxa" w:w="5760"/>
          </w:tcPr>
          <w:p>
            <w:r/>
            <w:r>
              <w:rPr>
                <w:sz w:val="19"/>
              </w:rPr>
              <w:t>#1 — dominant governed-attr blind-pick branch</w:t>
            </w:r>
          </w:p>
        </w:tc>
        <w:tc>
          <w:tcPr>
            <w:tcW w:type="dxa" w:w="3600"/>
          </w:tcPr>
          <w:p>
            <w:r/>
            <w:r>
              <w:rPr>
                <w:sz w:val="19"/>
              </w:rPr>
              <w:t>34 pending</w:t>
            </w:r>
          </w:p>
        </w:tc>
      </w:tr>
      <w:tr>
        <w:tc>
          <w:tcPr>
            <w:tcW w:type="dxa" w:w="5760"/>
          </w:tcPr>
          <w:p>
            <w:r/>
            <w:r>
              <w:rPr>
                <w:sz w:val="19"/>
              </w:rPr>
              <w:t>#2 — attrSequence-specific governed branch</w:t>
            </w:r>
          </w:p>
        </w:tc>
        <w:tc>
          <w:tcPr>
            <w:tcW w:type="dxa" w:w="3600"/>
          </w:tcPr>
          <w:p>
            <w:r/>
            <w:r>
              <w:rPr>
                <w:sz w:val="19"/>
              </w:rPr>
              <w:t>34 pending (no additional real-world hit)</w:t>
            </w:r>
          </w:p>
        </w:tc>
      </w:tr>
      <w:tr>
        <w:tc>
          <w:tcPr>
            <w:tcW w:type="dxa" w:w="5760"/>
          </w:tcPr>
          <w:p>
            <w:r/>
            <w:r>
              <w:rPr>
                <w:sz w:val="19"/>
              </w:rPr>
              <w:t>#3 — “never governed anywhere” safety net</w:t>
            </w:r>
          </w:p>
        </w:tc>
        <w:tc>
          <w:tcPr>
            <w:tcW w:type="dxa" w:w="3600"/>
          </w:tcPr>
          <w:p>
            <w:r/>
            <w:r>
              <w:rPr>
                <w:sz w:val="19"/>
              </w:rPr>
              <w:t>11 pending — matches expected</w:t>
            </w:r>
          </w:p>
        </w:tc>
      </w:tr>
    </w:tbl>
    <w:p/>
    <w:p>
      <w:r>
        <w:rPr>
          <w:b w:val="0"/>
          <w:i w:val="0"/>
        </w:rPr>
        <w:t>The final 11 are exactly the independently-confirmed layout-visible set: the 3 blocked on the UserGroupMapping data gap above, plus 8 genuine, unresolved product questions (Wireless Carrier, Subscription Billing, Train the Trainer Training, and others) that this exact configuration's own rules never auto-resolve and have no catalog default for — correctly asked, not a bug. Full detail: CPQ_DATA_TABLE_GOVERNED_LAYOUT_VISIBILITY_GAP_PLAN_2026_08_10.md.</w:t>
      </w:r>
    </w:p>
    <w:p>
      <w:pPr>
        <w:shd w:val="clear" w:color="auto" w:fill="E3EFE6"/>
      </w:pPr>
      <w:r>
        <w:rPr>
          <w:b/>
          <w:color w:val="2F6B46"/>
          <w:sz w:val="18"/>
        </w:rPr>
        <w:t>STATUS: SHIPPED AND LIVE-VERIFIED</w:t>
        <w:br/>
      </w:r>
      <w:r>
        <w:rPr>
          <w:sz w:val="21"/>
        </w:rPr>
        <w:t>35 unit tests passing, full CPQ suite at 843 passed (same 3 known pre-existing, unrelated failures), and the real container replay confirmed 37 → 11 exactly as predicted. The layout config is now the enforced ceiling across every code path that decides whether to ask, blind-fill, or skip a governed attribute.</w:t>
      </w:r>
    </w:p>
    <w:p/>
    <w:p/>
    <w:p>
      <w:r>
        <w:rPr>
          <w:i/>
          <w:color w:val="56503F"/>
          <w:sz w:val="17"/>
        </w:rPr>
        <w:t>Investigated against the live APX Next / ApxnextConfigdata catalog (workspaces 3, 39004, 39005) via direct rule-trace queries, raw bm_config_rule inspection, live BmlEvaluator execution against real conversation state, and exhaustive shape-based data audits. No synthetic data used, no assumption left unverified. This revision (5) adds §16 (a consolidated data-gaps summary) and §17 (the layout-visibility baseline fix, shipped and live-verified 37→11 pending attributes).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0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