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color="auto" w:val="clear"/>
        <w:spacing w:after="0" w:before="60"/>
        <w:jc w:val="center"/>
      </w:pPr>
      <w:r>
        <w:rPr>
          <w:rFonts w:ascii="Arial" w:cs="Arial" w:eastAsia="Arial" w:hAnsi="Arial"/>
          <w:b/>
          <w:bCs/>
          <w:color w:val="FFFFFF"/>
          <w:sz w:val="56"/>
          <w:szCs w:val="56"/>
        </w:rPr>
        <w:t xml:space="preserve">K2-AI</w:t>
      </w:r>
    </w:p>
    <w:p>
      <w:pPr>
        <w:shd w:fill="1F4E79" w:color="auto" w:val="clear"/>
        <w:spacing w:after="0" w:before="0"/>
        <w:jc w:val="center"/>
      </w:pPr>
      <w:r>
        <w:rPr>
          <w:rFonts w:ascii="Arial" w:cs="Arial" w:eastAsia="Arial" w:hAnsi="Arial"/>
          <w:b/>
          <w:bCs/>
          <w:color w:val="FFFFFF"/>
          <w:sz w:val="36"/>
          <w:szCs w:val="36"/>
        </w:rPr>
        <w:t xml:space="preserve">Diagnosi Express</w:t>
      </w:r>
    </w:p>
    <w:p>
      <w:pPr>
        <w:shd w:fill="1F4E79" w:color="auto" w:val="clear"/>
        <w:spacing w:after="0" w:before="0"/>
        <w:jc w:val="center"/>
      </w:pPr>
      <w:r>
        <w:rPr>
          <w:rFonts w:ascii="Arial" w:cs="Arial" w:eastAsia="Arial" w:hAnsi="Arial"/>
          <w:b/>
          <w:bCs/>
          <w:color w:val="F0B800"/>
          <w:sz w:val="32"/>
          <w:szCs w:val="32"/>
        </w:rPr>
        <w:t xml:space="preserve">€ 0 / gratuito</w:t>
      </w:r>
    </w:p>
    <w:p>
      <w:pPr>
        <w:shd w:fill="1F4E79" w:color="auto" w:val="clear"/>
        <w:spacing w:after="60" w:before="0"/>
        <w:jc w:val="center"/>
      </w:pPr>
      <w:r>
        <w:rPr>
          <w:rFonts w:ascii="Arial" w:cs="Arial" w:eastAsia="Arial" w:hAnsi="Arial"/>
          <w:color w:val="D0E8FF"/>
          <w:sz w:val="22"/>
          <w:szCs w:val="22"/>
        </w:rPr>
        <w:t xml:space="preserve">Il tuo check-up aziendale in 5 minuti · Lead Magnet K2-AI</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Azienda</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Artigiana Italiana S.r.l.</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Titolare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Marco Ferretti</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Settore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Metalmeccanica — Manifatturiero</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Sede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Bergamo (BG), Lombardia</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Dipendenti</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18</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Fatturato</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€ 2.400.000 (anno precedente)</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Data Report</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Aprile 2026</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Tier K2-AI</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Free — €0</w:t>
            </w:r>
          </w:p>
        </w:tc>
      </w:tr>
    </w:tbl>
    <w:p>
      <w:pPr>
        <w:spacing w:after="0" w:before="120"/>
      </w:pPr>
      <w:r>
        <w:t xml:space="preserve"/>
      </w:r>
    </w:p>
    <w:p>
      <w:r>
        <w:br w:type="page"/>
      </w:r>
    </w:p>
    <w:p>
      <w:pPr>
        <w:pBdr>
          <w:bottom w:val="single" w:color="1F4E79" w:sz="8"/>
        </w:pBdr>
        <w:spacing w:after="120" w:before="240"/>
      </w:pPr>
      <w:r>
        <w:rPr>
          <w:rFonts w:ascii="Arial" w:cs="Arial" w:eastAsia="Arial" w:hAnsi="Arial"/>
          <w:b/>
          <w:bCs/>
          <w:color w:val="1F4E79"/>
          <w:sz w:val="36"/>
          <w:szCs w:val="36"/>
        </w:rPr>
        <w:t xml:space="preserve">Score Globale K2-AI</w:t>
      </w:r>
    </w:p>
    <w:p>
      <w:pPr>
        <w:spacing w:after="60" w:before="60"/>
        <w:jc w:val="left"/>
      </w:pPr>
      <w:r>
        <w:rPr>
          <w:rFonts w:ascii="Arial" w:cs="Arial" w:eastAsia="Arial" w:hAnsi="Arial"/>
          <w:b w:val="false"/>
          <w:bCs w:val="false"/>
          <w:color w:val="000000"/>
          <w:sz w:val="22"/>
          <w:szCs w:val="22"/>
        </w:rPr>
        <w:t xml:space="preserve">Il sistema K2-AI ha analizzato il profilo della tua azienda in base alle risposte fornite nel questionario. Il punteggio sintetico qui sotto rappresenta la salute complessiva della tua PMI lungo 5 dimensioni chiave: Redditività, Solidità Finanziaria, Liquidità Operativa, Posizionamento Competitivo e Dipendenza Clienti.</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8E4" w:sz="4"/>
              <w:left w:val="single" w:color="D0D8E4" w:sz="4"/>
              <w:bottom w:val="single" w:color="D0D8E4" w:sz="4"/>
              <w:right w:val="single" w:color="D0D8E4" w:sz="4"/>
            </w:tcBorders>
            <w:shd w:fill="1F4E79" w:color="auto" w:val="clear"/>
            <w:tcMar>
              <w:top w:type="dxa" w:w="200"/>
              <w:left w:type="dxa" w:w="400"/>
              <w:bottom w:type="dxa" w:w="200"/>
              <w:right w:type="dxa" w:w="400"/>
            </w:tcMar>
          </w:tcPr>
          <w:p>
            <w:pPr>
              <w:jc w:val="center"/>
            </w:pPr>
            <w:r>
              <w:rPr>
                <w:rFonts w:ascii="Arial" w:cs="Arial" w:eastAsia="Arial" w:hAnsi="Arial"/>
                <w:b/>
                <w:bCs/>
                <w:color w:val="D0E8FF"/>
                <w:sz w:val="28"/>
                <w:szCs w:val="28"/>
              </w:rPr>
              <w:t xml:space="preserve">SCORE COMPLESSIVO</w:t>
            </w:r>
          </w:p>
          <w:p>
            <w:pPr>
              <w:jc w:val="center"/>
            </w:pPr>
            <w:r>
              <w:rPr>
                <w:rFonts w:ascii="Arial" w:cs="Arial" w:eastAsia="Arial" w:hAnsi="Arial"/>
                <w:b/>
                <w:bCs/>
                <w:color w:val="F0B800"/>
                <w:sz w:val="64"/>
                <w:szCs w:val="64"/>
              </w:rPr>
              <w:t xml:space="preserve">62 / 100</w:t>
            </w:r>
          </w:p>
          <w:p>
            <w:pPr>
              <w:jc w:val="center"/>
            </w:pPr>
            <w:r>
              <w:rPr>
                <w:rFonts w:ascii="Arial" w:cs="Arial" w:eastAsia="Arial" w:hAnsi="Arial"/>
                <w:b/>
                <w:bCs/>
                <w:color w:val="FFFFFF"/>
                <w:sz w:val="24"/>
                <w:szCs w:val="24"/>
              </w:rPr>
              <w:t xml:space="preserve">⚠ AREA DI ATTENZIONE — Interventi consigliati</w:t>
            </w:r>
          </w:p>
        </w:tc>
      </w:tr>
    </w:tbl>
    <w:p>
      <w:pPr>
        <w:spacing w:after="0" w:before="120"/>
      </w:pPr>
      <w:r>
        <w:t xml:space="preserve"/>
      </w:r>
    </w:p>
    <w:p>
      <w:pPr>
        <w:spacing w:after="60" w:before="60"/>
        <w:jc w:val="left"/>
      </w:pPr>
      <w:r>
        <w:rPr>
          <w:rFonts w:ascii="Arial" w:cs="Arial" w:eastAsia="Arial" w:hAnsi="Arial"/>
          <w:b w:val="false"/>
          <w:bCs w:val="false"/>
          <w:color w:val="000000"/>
          <w:sz w:val="22"/>
          <w:szCs w:val="22"/>
        </w:rPr>
        <w:t xml:space="preserve">Un punteggio tra 50 e 69 indica un'azienda con basi solide ma con aree di miglioramento significative. Artigiana Italiana S.r.l. mostra punti di forza nella gestione operativa quotidiana, ma registra criticità nella struttura finanziaria e nel posizionamento di mercato che meritano attenzione nei prossimi 6-12 mesi.</w:t>
      </w:r>
    </w:p>
    <w:p>
      <w:r>
        <w:br w:type="page"/>
      </w:r>
    </w:p>
    <w:p>
      <w:pPr>
        <w:pBdr>
          <w:bottom w:val="single" w:color="1F4E79" w:sz="8"/>
        </w:pBdr>
        <w:spacing w:after="120" w:before="240"/>
      </w:pPr>
      <w:r>
        <w:rPr>
          <w:rFonts w:ascii="Arial" w:cs="Arial" w:eastAsia="Arial" w:hAnsi="Arial"/>
          <w:b/>
          <w:bCs/>
          <w:color w:val="1F4E79"/>
          <w:sz w:val="36"/>
          <w:szCs w:val="36"/>
        </w:rPr>
        <w:t xml:space="preserve">I 5 Semafori della Tua Azienda</w:t>
      </w:r>
    </w:p>
    <w:p>
      <w:pPr>
        <w:spacing w:after="60" w:before="60"/>
        <w:jc w:val="left"/>
      </w:pPr>
      <w:r>
        <w:rPr>
          <w:rFonts w:ascii="Arial" w:cs="Arial" w:eastAsia="Arial" w:hAnsi="Arial"/>
          <w:b w:val="false"/>
          <w:bCs w:val="false"/>
          <w:color w:val="000000"/>
          <w:sz w:val="22"/>
          <w:szCs w:val="22"/>
        </w:rPr>
        <w:t xml:space="preserve">Ogni dimensione è valutata su una scala da 0 a 100 e classificata con un semaforo (Verde = ottimo, Giallo = attenzione, Rosso = critico). Di seguito il dettaglio per ciascun indicatore.</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600"/>
        <w:gridCol w:w="2726"/>
      </w:tblGrid>
      <w:tr>
        <w:tc>
          <w:tcPr>
            <w:tcW w:type="dxa" w:w="32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Dimensione</w:t>
            </w:r>
          </w:p>
        </w:tc>
        <w:tc>
          <w:tcPr>
            <w:tcW w:type="dxa" w:w="15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Punteggio</w:t>
            </w:r>
          </w:p>
        </w:tc>
        <w:tc>
          <w:tcPr>
            <w:tcW w:type="dxa" w:w="16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Semaforo</w:t>
            </w:r>
          </w:p>
        </w:tc>
        <w:tc>
          <w:tcPr>
            <w:tcW w:type="dxa" w:w="2726"/>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Benchmark PMI Italia</w:t>
            </w:r>
          </w:p>
        </w:tc>
      </w:tr>
      <w:tr>
        <w:tc>
          <w:tcPr>
            <w:tcW w:type="dxa" w:w="3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Redditività (ROE / Margine Netto)</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58 / 100</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GIALLO</w:t>
            </w:r>
          </w:p>
        </w:tc>
        <w:tc>
          <w:tcPr>
            <w:tcW w:type="dxa" w:w="27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65 / 100</w:t>
            </w:r>
          </w:p>
        </w:tc>
      </w:tr>
      <w:tr>
        <w:tc>
          <w:tcPr>
            <w:tcW w:type="dxa" w:w="3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Solidità Finanziaria (D/E Ratio)</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45 / 100</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ROSSO</w:t>
            </w:r>
          </w:p>
        </w:tc>
        <w:tc>
          <w:tcPr>
            <w:tcW w:type="dxa" w:w="27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70 / 100</w:t>
            </w:r>
          </w:p>
        </w:tc>
      </w:tr>
      <w:tr>
        <w:tc>
          <w:tcPr>
            <w:tcW w:type="dxa" w:w="3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Liquidità Operativa (Current Ratio)</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72 / 100</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VERDE</w:t>
            </w:r>
          </w:p>
        </w:tc>
        <w:tc>
          <w:tcPr>
            <w:tcW w:type="dxa" w:w="27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68 / 100</w:t>
            </w:r>
          </w:p>
        </w:tc>
      </w:tr>
      <w:tr>
        <w:tc>
          <w:tcPr>
            <w:tcW w:type="dxa" w:w="3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Posizionamento Competitivo</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61 / 100</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GIALLO</w:t>
            </w:r>
          </w:p>
        </w:tc>
        <w:tc>
          <w:tcPr>
            <w:tcW w:type="dxa" w:w="27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72 / 100</w:t>
            </w:r>
          </w:p>
        </w:tc>
      </w:tr>
      <w:tr>
        <w:tc>
          <w:tcPr>
            <w:tcW w:type="dxa" w:w="3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Dipendenza Clienti (Top-3 %)</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50 / 100</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GIALLO</w:t>
            </w:r>
          </w:p>
        </w:tc>
        <w:tc>
          <w:tcPr>
            <w:tcW w:type="dxa" w:w="27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62 / 100</w:t>
            </w:r>
          </w:p>
        </w:tc>
      </w:tr>
    </w:tbl>
    <w:p>
      <w:pPr>
        <w:spacing w:after="0" w:before="120"/>
      </w:pPr>
      <w:r>
        <w:t xml:space="preserve"/>
      </w:r>
    </w:p>
    <w:p>
      <w:pPr>
        <w:spacing w:after="60" w:before="60"/>
        <w:jc w:val="left"/>
      </w:pPr>
      <w:r>
        <w:rPr>
          <w:rFonts w:ascii="Arial" w:cs="Arial" w:eastAsia="Arial" w:hAnsi="Arial"/>
          <w:b w:val="false"/>
          <w:bCs w:val="false"/>
          <w:color w:val="000000"/>
          <w:sz w:val="22"/>
          <w:szCs w:val="22"/>
        </w:rPr>
        <w:t xml:space="preserve">Nota: i benchmark rappresentano la mediana delle PMI manifatturiere italiane con 10–50 dipendenti (fonte: elaborazione K2-AI su dati ISTAT e Cerved 2024–2025).</w:t>
      </w:r>
    </w:p>
    <w:p>
      <w:pPr>
        <w:spacing w:after="0" w:before="160"/>
      </w:pPr>
      <w:r>
        <w:t xml:space="preserve"/>
      </w:r>
    </w:p>
    <w:p>
      <w:pPr>
        <w:spacing w:after="80" w:before="200"/>
      </w:pPr>
      <w:r>
        <w:rPr>
          <w:rFonts w:ascii="Arial" w:cs="Arial" w:eastAsia="Arial" w:hAnsi="Arial"/>
          <w:b/>
          <w:bCs/>
          <w:color w:val="2E75B6"/>
          <w:sz w:val="28"/>
          <w:szCs w:val="28"/>
        </w:rPr>
        <w:t xml:space="preserve">Lettura rapida dei semafori</w:t>
      </w:r>
    </w:p>
    <w:p>
      <w:pPr>
        <w:spacing w:after="60" w:before="60"/>
        <w:jc w:val="left"/>
      </w:pPr>
      <w:r>
        <w:rPr>
          <w:rFonts w:ascii="Arial" w:cs="Arial" w:eastAsia="Arial" w:hAnsi="Arial"/>
          <w:b w:val="false"/>
          <w:bCs w:val="false"/>
          <w:color w:val="000000"/>
          <w:sz w:val="22"/>
          <w:szCs w:val="22"/>
        </w:rPr>
        <w:t xml:space="preserve">🟢 Liquidità Operativa — Il current ratio di Artigiana Italiana S.r.l. si attesta su valori sani: l'azienda è in grado di coprire gli impegni a breve con le risorse correnti disponibili. Questa solidità operativa è il principale punto di forza su cui costruire il piano di crescita.</w:t>
      </w:r>
    </w:p>
    <w:p>
      <w:pPr>
        <w:spacing w:after="60" w:before="60"/>
        <w:jc w:val="left"/>
      </w:pPr>
      <w:r>
        <w:rPr>
          <w:rFonts w:ascii="Arial" w:cs="Arial" w:eastAsia="Arial" w:hAnsi="Arial"/>
          <w:b w:val="false"/>
          <w:bCs w:val="false"/>
          <w:color w:val="000000"/>
          <w:sz w:val="22"/>
          <w:szCs w:val="22"/>
        </w:rPr>
        <w:t xml:space="preserve">🟡 Redditività — Il margine netto è inferiore al benchmark di settore. L'analisi suggerisce che i costi fissi (affitti, utenze, personale indiretto) incidono più del previsto rispetto al fatturato. Una revisione del pricing e della struttura dei costi fissi potrebbe portare il margine netto al 6-8% nel medio termine.</w:t>
      </w:r>
    </w:p>
    <w:p>
      <w:pPr>
        <w:spacing w:after="60" w:before="60"/>
        <w:jc w:val="left"/>
      </w:pPr>
      <w:r>
        <w:rPr>
          <w:rFonts w:ascii="Arial" w:cs="Arial" w:eastAsia="Arial" w:hAnsi="Arial"/>
          <w:b w:val="false"/>
          <w:bCs w:val="false"/>
          <w:color w:val="000000"/>
          <w:sz w:val="22"/>
          <w:szCs w:val="22"/>
        </w:rPr>
        <w:t xml:space="preserve">🟡 Posizionamento Competitivo — L'azienda opera in un mercato locale/regionale con concorrenza diretta di 4-6 player di dimensioni simili. La differenziazione è bassa; il rischio principale è la competizione su prezzo che erode i margini.</w:t>
      </w:r>
    </w:p>
    <w:p>
      <w:pPr>
        <w:spacing w:after="60" w:before="60"/>
        <w:jc w:val="left"/>
      </w:pPr>
      <w:r>
        <w:rPr>
          <w:rFonts w:ascii="Arial" w:cs="Arial" w:eastAsia="Arial" w:hAnsi="Arial"/>
          <w:b w:val="false"/>
          <w:bCs w:val="false"/>
          <w:color w:val="000000"/>
          <w:sz w:val="22"/>
          <w:szCs w:val="22"/>
        </w:rPr>
        <w:t xml:space="preserve">🟡 Dipendenza Clienti — I primi 3 clienti rappresentano oltre il 55% del fatturato totale. Questa concentrazione espone l'azienda a rischi significativi in caso di perdita anche di un solo cliente chiave. Diversificare la base clienti è una priorità strategica.</w:t>
      </w:r>
    </w:p>
    <w:p>
      <w:pPr>
        <w:spacing w:after="60" w:before="60"/>
        <w:jc w:val="left"/>
      </w:pPr>
      <w:r>
        <w:rPr>
          <w:rFonts w:ascii="Arial" w:cs="Arial" w:eastAsia="Arial" w:hAnsi="Arial"/>
          <w:b w:val="false"/>
          <w:bCs w:val="false"/>
          <w:color w:val="000000"/>
          <w:sz w:val="22"/>
          <w:szCs w:val="22"/>
        </w:rPr>
        <w:t xml:space="preserve">🔴 Solidità Finanziaria — Il rapporto debiti/patrimonio netto è elevato rispetto alla media di settore. Questo limita la capacità di accesso al credito e riduce la flessibilità finanziaria per investimenti futuri. Intervento urgente consigliato.</w:t>
      </w:r>
    </w:p>
    <w:p>
      <w:r>
        <w:br w:type="page"/>
      </w:r>
    </w:p>
    <w:p>
      <w:pPr>
        <w:pBdr>
          <w:bottom w:val="single" w:color="1F4E79" w:sz="8"/>
        </w:pBdr>
        <w:spacing w:after="120" w:before="240"/>
      </w:pPr>
      <w:r>
        <w:rPr>
          <w:rFonts w:ascii="Arial" w:cs="Arial" w:eastAsia="Arial" w:hAnsi="Arial"/>
          <w:b/>
          <w:bCs/>
          <w:color w:val="1F4E79"/>
          <w:sz w:val="36"/>
          <w:szCs w:val="36"/>
        </w:rPr>
        <w:t xml:space="preserve">Top 3 Criticità Identificate</w:t>
      </w:r>
    </w:p>
    <w:p>
      <w:pPr>
        <w:spacing w:after="60" w:before="60"/>
        <w:jc w:val="left"/>
      </w:pPr>
      <w:r>
        <w:rPr>
          <w:rFonts w:ascii="Arial" w:cs="Arial" w:eastAsia="Arial" w:hAnsi="Arial"/>
          <w:b w:val="false"/>
          <w:bCs w:val="false"/>
          <w:color w:val="000000"/>
          <w:sz w:val="22"/>
          <w:szCs w:val="22"/>
        </w:rPr>
        <w:t xml:space="preserve">Sulla base dell'analisi del profilo aziendale, K2-AI ha identificato le 3 aree che richiedono intervento prioritario. Per ciascuna criticità è indicato il livello di urgenza e l'impatto atteso sull'azienda.</w:t>
      </w:r>
    </w:p>
    <w:p>
      <w:pPr>
        <w:spacing w:after="0" w:before="160"/>
      </w:pPr>
      <w:r>
        <w:t xml:space="preserve"/>
      </w:r>
    </w:p>
    <w:p>
      <w:pPr>
        <w:spacing w:after="60" w:before="160"/>
      </w:pPr>
      <w:r>
        <w:rPr>
          <w:rFonts w:ascii="Arial" w:cs="Arial" w:eastAsia="Arial" w:hAnsi="Arial"/>
          <w:b/>
          <w:bCs/>
          <w:color w:val="1F4E79"/>
          <w:sz w:val="24"/>
          <w:szCs w:val="24"/>
        </w:rPr>
        <w:t xml:space="preserve">🔴 Criticità #1 — Struttura Finanziaria (Urgenza: ALTA)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0D8E4" w:sz="4"/>
              <w:left w:val="single" w:color="D0D8E4" w:sz="4"/>
              <w:bottom w:val="single" w:color="D0D8E4" w:sz="4"/>
              <w:right w:val="single" w:color="D0D8E4" w:sz="4"/>
            </w:tcBorders>
            <w:shd w:fill="FFE8E8" w:color="auto" w:val="clear"/>
            <w:tcMar>
              <w:top w:type="dxa" w:w="80"/>
              <w:left w:type="dxa" w:w="160"/>
              <w:bottom w:type="dxa" w:w="80"/>
              <w:right w:type="dxa" w:w="160"/>
            </w:tcMar>
            <w:vAlign w:val="top"/>
          </w:tcPr>
          <w:p>
            <w:r>
              <w:rPr>
                <w:rFonts w:ascii="Arial" w:cs="Arial" w:eastAsia="Arial" w:hAnsi="Arial"/>
                <w:b/>
                <w:bCs/>
                <w:sz w:val="22"/>
                <w:szCs w:val="22"/>
              </w:rPr>
              <w:t xml:space="preserve">Problema rilevato</w:t>
            </w:r>
          </w:p>
        </w:tc>
        <w:tc>
          <w:tcPr>
            <w:tcW w:type="dxa" w:w="66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Il rapporto Debiti Totali / Patrimonio Netto supera 2,1x, ben al di sopra del benchmark di settore (1,2x). Questo crea pressione sul flusso di cassa e limita l'accesso a nuove linee di credito.</w:t>
            </w:r>
          </w:p>
        </w:tc>
      </w:tr>
      <w:tr>
        <w:tc>
          <w:tcPr>
            <w:tcW w:type="dxa" w:w="2400"/>
            <w:tcBorders>
              <w:top w:val="single" w:color="D0D8E4" w:sz="4"/>
              <w:left w:val="single" w:color="D0D8E4" w:sz="4"/>
              <w:bottom w:val="single" w:color="D0D8E4" w:sz="4"/>
              <w:right w:val="single" w:color="D0D8E4" w:sz="4"/>
            </w:tcBorders>
            <w:shd w:fill="FFE8E8" w:color="auto" w:val="clear"/>
            <w:tcMar>
              <w:top w:type="dxa" w:w="80"/>
              <w:left w:type="dxa" w:w="160"/>
              <w:bottom w:type="dxa" w:w="80"/>
              <w:right w:type="dxa" w:w="160"/>
            </w:tcMar>
            <w:vAlign w:val="top"/>
          </w:tcPr>
          <w:p>
            <w:r>
              <w:rPr>
                <w:rFonts w:ascii="Arial" w:cs="Arial" w:eastAsia="Arial" w:hAnsi="Arial"/>
                <w:b/>
                <w:bCs/>
                <w:sz w:val="22"/>
                <w:szCs w:val="22"/>
              </w:rPr>
              <w:t xml:space="preserve">Impatto stimato</w:t>
            </w:r>
          </w:p>
        </w:tc>
        <w:tc>
          <w:tcPr>
            <w:tcW w:type="dxa" w:w="66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Rischio di tensioni di liquidità nei prossimi 12-18 mesi in caso di rallentamento delle vendite. Riduzione potenziale della capacità di investimento del 40%.</w:t>
            </w:r>
          </w:p>
        </w:tc>
      </w:tr>
      <w:tr>
        <w:tc>
          <w:tcPr>
            <w:tcW w:type="dxa" w:w="2400"/>
            <w:tcBorders>
              <w:top w:val="single" w:color="D0D8E4" w:sz="4"/>
              <w:left w:val="single" w:color="D0D8E4" w:sz="4"/>
              <w:bottom w:val="single" w:color="D0D8E4" w:sz="4"/>
              <w:right w:val="single" w:color="D0D8E4" w:sz="4"/>
            </w:tcBorders>
            <w:shd w:fill="FFE8E8" w:color="auto" w:val="clear"/>
            <w:tcMar>
              <w:top w:type="dxa" w:w="80"/>
              <w:left w:type="dxa" w:w="160"/>
              <w:bottom w:type="dxa" w:w="80"/>
              <w:right w:type="dxa" w:w="160"/>
            </w:tcMar>
            <w:vAlign w:val="top"/>
          </w:tcPr>
          <w:p>
            <w:r>
              <w:rPr>
                <w:rFonts w:ascii="Arial" w:cs="Arial" w:eastAsia="Arial" w:hAnsi="Arial"/>
                <w:b/>
                <w:bCs/>
                <w:sz w:val="22"/>
                <w:szCs w:val="22"/>
              </w:rPr>
              <w:t xml:space="preserve">Azione raccomandata</w:t>
            </w:r>
          </w:p>
        </w:tc>
        <w:tc>
          <w:tcPr>
            <w:tcW w:type="dxa" w:w="66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Avviare una revisione del piano di rientro dei debiti finanziari. Valutare la rinegoziazione dei mutui e linee di credito a tassi agevolati (es. Sabatini, garanzie MCC).</w:t>
            </w:r>
          </w:p>
        </w:tc>
      </w:tr>
    </w:tbl>
    <w:p>
      <w:pPr>
        <w:spacing w:after="0" w:before="100"/>
      </w:pPr>
      <w:r>
        <w:t xml:space="preserve"/>
      </w:r>
    </w:p>
    <w:p>
      <w:pPr>
        <w:spacing w:after="60" w:before="160"/>
      </w:pPr>
      <w:r>
        <w:rPr>
          <w:rFonts w:ascii="Arial" w:cs="Arial" w:eastAsia="Arial" w:hAnsi="Arial"/>
          <w:b/>
          <w:bCs/>
          <w:color w:val="1F4E79"/>
          <w:sz w:val="24"/>
          <w:szCs w:val="24"/>
        </w:rPr>
        <w:t xml:space="preserve">🟡 Criticità #2 — Concentrazione Clienti (Urgenza: MEDIA-ALTA)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0D8E4" w:sz="4"/>
              <w:left w:val="single" w:color="D0D8E4" w:sz="4"/>
              <w:bottom w:val="single" w:color="D0D8E4" w:sz="4"/>
              <w:right w:val="single" w:color="D0D8E4" w:sz="4"/>
            </w:tcBorders>
            <w:shd w:fill="FFF8E0" w:color="auto" w:val="clear"/>
            <w:tcMar>
              <w:top w:type="dxa" w:w="80"/>
              <w:left w:type="dxa" w:w="160"/>
              <w:bottom w:type="dxa" w:w="80"/>
              <w:right w:type="dxa" w:w="160"/>
            </w:tcMar>
            <w:vAlign w:val="top"/>
          </w:tcPr>
          <w:p>
            <w:r>
              <w:rPr>
                <w:rFonts w:ascii="Arial" w:cs="Arial" w:eastAsia="Arial" w:hAnsi="Arial"/>
                <w:b/>
                <w:bCs/>
                <w:sz w:val="22"/>
                <w:szCs w:val="22"/>
              </w:rPr>
              <w:t xml:space="preserve">Problema rilevato</w:t>
            </w:r>
          </w:p>
        </w:tc>
        <w:tc>
          <w:tcPr>
            <w:tcW w:type="dxa" w:w="66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 top 3 clienti generano il 55% del fatturato totale. Due di questi sono relazioni storiche con contratti annuali rinnovabili. La perdita anche di uno solo potrebbe ridurre il fatturato di circa €500.000.</w:t>
            </w:r>
          </w:p>
        </w:tc>
      </w:tr>
      <w:tr>
        <w:tc>
          <w:tcPr>
            <w:tcW w:type="dxa" w:w="2400"/>
            <w:tcBorders>
              <w:top w:val="single" w:color="D0D8E4" w:sz="4"/>
              <w:left w:val="single" w:color="D0D8E4" w:sz="4"/>
              <w:bottom w:val="single" w:color="D0D8E4" w:sz="4"/>
              <w:right w:val="single" w:color="D0D8E4" w:sz="4"/>
            </w:tcBorders>
            <w:shd w:fill="FFF8E0" w:color="auto" w:val="clear"/>
            <w:tcMar>
              <w:top w:type="dxa" w:w="80"/>
              <w:left w:type="dxa" w:w="160"/>
              <w:bottom w:type="dxa" w:w="80"/>
              <w:right w:type="dxa" w:w="160"/>
            </w:tcMar>
            <w:vAlign w:val="top"/>
          </w:tcPr>
          <w:p>
            <w:r>
              <w:rPr>
                <w:rFonts w:ascii="Arial" w:cs="Arial" w:eastAsia="Arial" w:hAnsi="Arial"/>
                <w:b/>
                <w:bCs/>
                <w:sz w:val="22"/>
                <w:szCs w:val="22"/>
              </w:rPr>
              <w:t xml:space="preserve">Impatto stimato</w:t>
            </w:r>
          </w:p>
        </w:tc>
        <w:tc>
          <w:tcPr>
            <w:tcW w:type="dxa" w:w="66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Volatilità del fatturato. Dipendenza negoziale sfavorevole. Riduzione margini su rinnovi contrattuali.</w:t>
            </w:r>
          </w:p>
        </w:tc>
      </w:tr>
      <w:tr>
        <w:tc>
          <w:tcPr>
            <w:tcW w:type="dxa" w:w="2400"/>
            <w:tcBorders>
              <w:top w:val="single" w:color="D0D8E4" w:sz="4"/>
              <w:left w:val="single" w:color="D0D8E4" w:sz="4"/>
              <w:bottom w:val="single" w:color="D0D8E4" w:sz="4"/>
              <w:right w:val="single" w:color="D0D8E4" w:sz="4"/>
            </w:tcBorders>
            <w:shd w:fill="FFF8E0" w:color="auto" w:val="clear"/>
            <w:tcMar>
              <w:top w:type="dxa" w:w="80"/>
              <w:left w:type="dxa" w:w="160"/>
              <w:bottom w:type="dxa" w:w="80"/>
              <w:right w:type="dxa" w:w="160"/>
            </w:tcMar>
            <w:vAlign w:val="top"/>
          </w:tcPr>
          <w:p>
            <w:r>
              <w:rPr>
                <w:rFonts w:ascii="Arial" w:cs="Arial" w:eastAsia="Arial" w:hAnsi="Arial"/>
                <w:b/>
                <w:bCs/>
                <w:sz w:val="22"/>
                <w:szCs w:val="22"/>
              </w:rPr>
              <w:t xml:space="preserve">Azione raccomandata</w:t>
            </w:r>
          </w:p>
        </w:tc>
        <w:tc>
          <w:tcPr>
            <w:tcW w:type="dxa" w:w="66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Avviare un piano di acquisizione di 5-8 nuovi clienti nel prossimo anno. Target: aziende manifatturiere nella fascia €50.000-€200.000/anno di potenziale acquisto.</w:t>
            </w:r>
          </w:p>
        </w:tc>
      </w:tr>
    </w:tbl>
    <w:p>
      <w:pPr>
        <w:spacing w:after="0" w:before="100"/>
      </w:pPr>
      <w:r>
        <w:t xml:space="preserve"/>
      </w:r>
    </w:p>
    <w:p>
      <w:pPr>
        <w:spacing w:after="60" w:before="160"/>
      </w:pPr>
      <w:r>
        <w:rPr>
          <w:rFonts w:ascii="Arial" w:cs="Arial" w:eastAsia="Arial" w:hAnsi="Arial"/>
          <w:b/>
          <w:bCs/>
          <w:color w:val="1F4E79"/>
          <w:sz w:val="24"/>
          <w:szCs w:val="24"/>
        </w:rPr>
        <w:t xml:space="preserve">🟡 Criticità #3 — Differenziazione Competitiva (Urgenza: MEDIA)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0D8E4" w:sz="4"/>
              <w:left w:val="single" w:color="D0D8E4" w:sz="4"/>
              <w:bottom w:val="single" w:color="D0D8E4" w:sz="4"/>
              <w:right w:val="single" w:color="D0D8E4" w:sz="4"/>
            </w:tcBorders>
            <w:shd w:fill="FFF8E0" w:color="auto" w:val="clear"/>
            <w:tcMar>
              <w:top w:type="dxa" w:w="80"/>
              <w:left w:type="dxa" w:w="160"/>
              <w:bottom w:type="dxa" w:w="80"/>
              <w:right w:type="dxa" w:w="160"/>
            </w:tcMar>
            <w:vAlign w:val="top"/>
          </w:tcPr>
          <w:p>
            <w:r>
              <w:rPr>
                <w:rFonts w:ascii="Arial" w:cs="Arial" w:eastAsia="Arial" w:hAnsi="Arial"/>
                <w:b/>
                <w:bCs/>
                <w:sz w:val="22"/>
                <w:szCs w:val="22"/>
              </w:rPr>
              <w:t xml:space="preserve">Problema rilevato</w:t>
            </w:r>
          </w:p>
        </w:tc>
        <w:tc>
          <w:tcPr>
            <w:tcW w:type="dxa" w:w="66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L'offerta è percepita come commodity nel mercato locale. La differenziazione si basa principalmente sul rapporto personale con il titolare, non su elementi strutturali dell'offerta.</w:t>
            </w:r>
          </w:p>
        </w:tc>
      </w:tr>
      <w:tr>
        <w:tc>
          <w:tcPr>
            <w:tcW w:type="dxa" w:w="2400"/>
            <w:tcBorders>
              <w:top w:val="single" w:color="D0D8E4" w:sz="4"/>
              <w:left w:val="single" w:color="D0D8E4" w:sz="4"/>
              <w:bottom w:val="single" w:color="D0D8E4" w:sz="4"/>
              <w:right w:val="single" w:color="D0D8E4" w:sz="4"/>
            </w:tcBorders>
            <w:shd w:fill="FFF8E0" w:color="auto" w:val="clear"/>
            <w:tcMar>
              <w:top w:type="dxa" w:w="80"/>
              <w:left w:type="dxa" w:w="160"/>
              <w:bottom w:type="dxa" w:w="80"/>
              <w:right w:type="dxa" w:w="160"/>
            </w:tcMar>
            <w:vAlign w:val="top"/>
          </w:tcPr>
          <w:p>
            <w:r>
              <w:rPr>
                <w:rFonts w:ascii="Arial" w:cs="Arial" w:eastAsia="Arial" w:hAnsi="Arial"/>
                <w:b/>
                <w:bCs/>
                <w:sz w:val="22"/>
                <w:szCs w:val="22"/>
              </w:rPr>
              <w:t xml:space="preserve">Impatto stimato</w:t>
            </w:r>
          </w:p>
        </w:tc>
        <w:tc>
          <w:tcPr>
            <w:tcW w:type="dxa" w:w="66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Pressione costante sul prezzo. Difficoltà nell'attrarre nuovi clienti senza sconti. Margini erosi nel tempo.</w:t>
            </w:r>
          </w:p>
        </w:tc>
      </w:tr>
      <w:tr>
        <w:tc>
          <w:tcPr>
            <w:tcW w:type="dxa" w:w="2400"/>
            <w:tcBorders>
              <w:top w:val="single" w:color="D0D8E4" w:sz="4"/>
              <w:left w:val="single" w:color="D0D8E4" w:sz="4"/>
              <w:bottom w:val="single" w:color="D0D8E4" w:sz="4"/>
              <w:right w:val="single" w:color="D0D8E4" w:sz="4"/>
            </w:tcBorders>
            <w:shd w:fill="FFF8E0" w:color="auto" w:val="clear"/>
            <w:tcMar>
              <w:top w:type="dxa" w:w="80"/>
              <w:left w:type="dxa" w:w="160"/>
              <w:bottom w:type="dxa" w:w="80"/>
              <w:right w:type="dxa" w:w="160"/>
            </w:tcMar>
            <w:vAlign w:val="top"/>
          </w:tcPr>
          <w:p>
            <w:r>
              <w:rPr>
                <w:rFonts w:ascii="Arial" w:cs="Arial" w:eastAsia="Arial" w:hAnsi="Arial"/>
                <w:b/>
                <w:bCs/>
                <w:sz w:val="22"/>
                <w:szCs w:val="22"/>
              </w:rPr>
              <w:t xml:space="preserve">Azione raccomandata</w:t>
            </w:r>
          </w:p>
        </w:tc>
        <w:tc>
          <w:tcPr>
            <w:tcW w:type="dxa" w:w="66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Definire 2-3 value proposition chiare e documentabili. Investire nella comunicazione digitale (sito, LinkedIn). Certificazioni di qualità come elemento di differenziazione.</w:t>
            </w:r>
          </w:p>
        </w:tc>
      </w:tr>
    </w:tbl>
    <w:p>
      <w:r>
        <w:br w:type="page"/>
      </w:r>
    </w:p>
    <w:p>
      <w:pPr>
        <w:pBdr>
          <w:bottom w:val="single" w:color="1F4E79" w:sz="8"/>
        </w:pBdr>
        <w:spacing w:after="120" w:before="240"/>
      </w:pPr>
      <w:r>
        <w:rPr>
          <w:rFonts w:ascii="Arial" w:cs="Arial" w:eastAsia="Arial" w:hAnsi="Arial"/>
          <w:b/>
          <w:bCs/>
          <w:color w:val="1F4E79"/>
          <w:sz w:val="36"/>
          <w:szCs w:val="36"/>
        </w:rPr>
        <w:t xml:space="preserve">3 Quick Win Implementabili Subito</w:t>
      </w:r>
    </w:p>
    <w:p>
      <w:pPr>
        <w:spacing w:after="60" w:before="60"/>
        <w:jc w:val="left"/>
      </w:pPr>
      <w:r>
        <w:rPr>
          <w:rFonts w:ascii="Arial" w:cs="Arial" w:eastAsia="Arial" w:hAnsi="Arial"/>
          <w:b w:val="false"/>
          <w:bCs w:val="false"/>
          <w:color w:val="000000"/>
          <w:sz w:val="22"/>
          <w:szCs w:val="22"/>
        </w:rPr>
        <w:t xml:space="preserve">Queste azioni possono essere avviate entro 30 giorni senza investimenti significativi e producono risultati misurabili entro 60-90 giorni.</w:t>
      </w:r>
    </w:p>
    <w:p>
      <w:pPr>
        <w:spacing w:after="0" w:before="160"/>
      </w:pPr>
      <w:r>
        <w:t xml:space="preserve"/>
      </w:r>
    </w:p>
    <w:p>
      <w:pPr>
        <w:spacing w:after="60" w:before="160"/>
      </w:pPr>
      <w:r>
        <w:rPr>
          <w:rFonts w:ascii="Arial" w:cs="Arial" w:eastAsia="Arial" w:hAnsi="Arial"/>
          <w:b/>
          <w:bCs/>
          <w:color w:val="1F4E79"/>
          <w:sz w:val="24"/>
          <w:szCs w:val="24"/>
        </w:rPr>
        <w:t xml:space="preserve">Quick Win #1 — Revisione Prezzi Listino (0-2 settimane)</w:t>
      </w:r>
    </w:p>
    <w:p>
      <w:pPr>
        <w:pStyle w:val="ListParagraph"/>
        <w:numPr>
          <w:ilvl w:val="0"/>
          <w:numId w:val="2"/>
        </w:numPr>
        <w:spacing w:after="40" w:before="40"/>
      </w:pPr>
      <w:r>
        <w:rPr>
          <w:rFonts w:ascii="Arial" w:cs="Arial" w:eastAsia="Arial" w:hAnsi="Arial"/>
          <w:sz w:val="22"/>
          <w:szCs w:val="22"/>
        </w:rPr>
        <w:t xml:space="preserve">Analizzare i margini per linea di prodotto/servizio</w:t>
      </w:r>
    </w:p>
    <w:p>
      <w:pPr>
        <w:pStyle w:val="ListParagraph"/>
        <w:numPr>
          <w:ilvl w:val="0"/>
          <w:numId w:val="2"/>
        </w:numPr>
        <w:spacing w:after="40" w:before="40"/>
      </w:pPr>
      <w:r>
        <w:rPr>
          <w:rFonts w:ascii="Arial" w:cs="Arial" w:eastAsia="Arial" w:hAnsi="Arial"/>
          <w:sz w:val="22"/>
          <w:szCs w:val="22"/>
        </w:rPr>
        <w:t xml:space="preserve">Identificare i 3 prodotti/servizi con margine più alto</w:t>
      </w:r>
    </w:p>
    <w:p>
      <w:pPr>
        <w:pStyle w:val="ListParagraph"/>
        <w:numPr>
          <w:ilvl w:val="0"/>
          <w:numId w:val="2"/>
        </w:numPr>
        <w:spacing w:after="40" w:before="40"/>
      </w:pPr>
      <w:r>
        <w:rPr>
          <w:rFonts w:ascii="Arial" w:cs="Arial" w:eastAsia="Arial" w:hAnsi="Arial"/>
          <w:sz w:val="22"/>
          <w:szCs w:val="22"/>
        </w:rPr>
        <w:t xml:space="preserve">Aumentare i prezzi di lista del 3-5% sui prodotti a bassa elasticità</w:t>
      </w:r>
    </w:p>
    <w:p>
      <w:pPr>
        <w:pStyle w:val="ListParagraph"/>
        <w:numPr>
          <w:ilvl w:val="0"/>
          <w:numId w:val="2"/>
        </w:numPr>
        <w:spacing w:after="40" w:before="40"/>
      </w:pPr>
      <w:r>
        <w:rPr>
          <w:rFonts w:ascii="Arial" w:cs="Arial" w:eastAsia="Arial" w:hAnsi="Arial"/>
          <w:sz w:val="22"/>
          <w:szCs w:val="22"/>
        </w:rPr>
        <w:t xml:space="preserve">Impatto atteso: +€30.000-50.000 di margine lordo annuo</w:t>
      </w:r>
    </w:p>
    <w:p>
      <w:pPr>
        <w:spacing w:after="0" w:before="80"/>
      </w:pPr>
      <w:r>
        <w:t xml:space="preserve"/>
      </w:r>
    </w:p>
    <w:p>
      <w:pPr>
        <w:spacing w:after="60" w:before="160"/>
      </w:pPr>
      <w:r>
        <w:rPr>
          <w:rFonts w:ascii="Arial" w:cs="Arial" w:eastAsia="Arial" w:hAnsi="Arial"/>
          <w:b/>
          <w:bCs/>
          <w:color w:val="1F4E79"/>
          <w:sz w:val="24"/>
          <w:szCs w:val="24"/>
        </w:rPr>
        <w:t xml:space="preserve">Quick Win #2 — Riattivazione Clienti Dormienti (2-4 settimane)</w:t>
      </w:r>
    </w:p>
    <w:p>
      <w:pPr>
        <w:pStyle w:val="ListParagraph"/>
        <w:numPr>
          <w:ilvl w:val="0"/>
          <w:numId w:val="2"/>
        </w:numPr>
        <w:spacing w:after="40" w:before="40"/>
      </w:pPr>
      <w:r>
        <w:rPr>
          <w:rFonts w:ascii="Arial" w:cs="Arial" w:eastAsia="Arial" w:hAnsi="Arial"/>
          <w:sz w:val="22"/>
          <w:szCs w:val="22"/>
        </w:rPr>
        <w:t xml:space="preserve">Estrarre dal CRM (o Excel) la lista clienti inattivi negli ultimi 12 mesi</w:t>
      </w:r>
    </w:p>
    <w:p>
      <w:pPr>
        <w:pStyle w:val="ListParagraph"/>
        <w:numPr>
          <w:ilvl w:val="0"/>
          <w:numId w:val="2"/>
        </w:numPr>
        <w:spacing w:after="40" w:before="40"/>
      </w:pPr>
      <w:r>
        <w:rPr>
          <w:rFonts w:ascii="Arial" w:cs="Arial" w:eastAsia="Arial" w:hAnsi="Arial"/>
          <w:sz w:val="22"/>
          <w:szCs w:val="22"/>
        </w:rPr>
        <w:t xml:space="preserve">Contattare telefonicamente i top 10 per fatturato storico</w:t>
      </w:r>
    </w:p>
    <w:p>
      <w:pPr>
        <w:pStyle w:val="ListParagraph"/>
        <w:numPr>
          <w:ilvl w:val="0"/>
          <w:numId w:val="2"/>
        </w:numPr>
        <w:spacing w:after="40" w:before="40"/>
      </w:pPr>
      <w:r>
        <w:rPr>
          <w:rFonts w:ascii="Arial" w:cs="Arial" w:eastAsia="Arial" w:hAnsi="Arial"/>
          <w:sz w:val="22"/>
          <w:szCs w:val="22"/>
        </w:rPr>
        <w:t xml:space="preserve">Offrire una proposta personalizzata di riattivazione</w:t>
      </w:r>
    </w:p>
    <w:p>
      <w:pPr>
        <w:pStyle w:val="ListParagraph"/>
        <w:numPr>
          <w:ilvl w:val="0"/>
          <w:numId w:val="2"/>
        </w:numPr>
        <w:spacing w:after="40" w:before="40"/>
      </w:pPr>
      <w:r>
        <w:rPr>
          <w:rFonts w:ascii="Arial" w:cs="Arial" w:eastAsia="Arial" w:hAnsi="Arial"/>
          <w:sz w:val="22"/>
          <w:szCs w:val="22"/>
        </w:rPr>
        <w:t xml:space="preserve">Impatto atteso: +€80.000-120.000 di fatturato nel primo semestre</w:t>
      </w:r>
    </w:p>
    <w:p>
      <w:pPr>
        <w:spacing w:after="0" w:before="80"/>
      </w:pPr>
      <w:r>
        <w:t xml:space="preserve"/>
      </w:r>
    </w:p>
    <w:p>
      <w:pPr>
        <w:spacing w:after="60" w:before="160"/>
      </w:pPr>
      <w:r>
        <w:rPr>
          <w:rFonts w:ascii="Arial" w:cs="Arial" w:eastAsia="Arial" w:hAnsi="Arial"/>
          <w:b/>
          <w:bCs/>
          <w:color w:val="1F4E79"/>
          <w:sz w:val="24"/>
          <w:szCs w:val="24"/>
        </w:rPr>
        <w:t xml:space="preserve">Quick Win #3 — LinkedIn Aziendale (3-4 settimane)</w:t>
      </w:r>
    </w:p>
    <w:p>
      <w:pPr>
        <w:pStyle w:val="ListParagraph"/>
        <w:numPr>
          <w:ilvl w:val="0"/>
          <w:numId w:val="2"/>
        </w:numPr>
        <w:spacing w:after="40" w:before="40"/>
      </w:pPr>
      <w:r>
        <w:rPr>
          <w:rFonts w:ascii="Arial" w:cs="Arial" w:eastAsia="Arial" w:hAnsi="Arial"/>
          <w:sz w:val="22"/>
          <w:szCs w:val="22"/>
        </w:rPr>
        <w:t xml:space="preserve">Creare/ottimizzare la pagina LinkedIn aziendale</w:t>
      </w:r>
    </w:p>
    <w:p>
      <w:pPr>
        <w:pStyle w:val="ListParagraph"/>
        <w:numPr>
          <w:ilvl w:val="0"/>
          <w:numId w:val="2"/>
        </w:numPr>
        <w:spacing w:after="40" w:before="40"/>
      </w:pPr>
      <w:r>
        <w:rPr>
          <w:rFonts w:ascii="Arial" w:cs="Arial" w:eastAsia="Arial" w:hAnsi="Arial"/>
          <w:sz w:val="22"/>
          <w:szCs w:val="22"/>
        </w:rPr>
        <w:t xml:space="preserve">Pubblicare 2-3 contenuti/settimana sul know-how manifatturiero</w:t>
      </w:r>
    </w:p>
    <w:p>
      <w:pPr>
        <w:pStyle w:val="ListParagraph"/>
        <w:numPr>
          <w:ilvl w:val="0"/>
          <w:numId w:val="2"/>
        </w:numPr>
        <w:spacing w:after="40" w:before="40"/>
      </w:pPr>
      <w:r>
        <w:rPr>
          <w:rFonts w:ascii="Arial" w:cs="Arial" w:eastAsia="Arial" w:hAnsi="Arial"/>
          <w:sz w:val="22"/>
          <w:szCs w:val="22"/>
        </w:rPr>
        <w:t xml:space="preserve">Connettere con i responsabili acquisti dei target identificati</w:t>
      </w:r>
    </w:p>
    <w:p>
      <w:pPr>
        <w:pStyle w:val="ListParagraph"/>
        <w:numPr>
          <w:ilvl w:val="0"/>
          <w:numId w:val="2"/>
        </w:numPr>
        <w:spacing w:after="40" w:before="40"/>
      </w:pPr>
      <w:r>
        <w:rPr>
          <w:rFonts w:ascii="Arial" w:cs="Arial" w:eastAsia="Arial" w:hAnsi="Arial"/>
          <w:sz w:val="22"/>
          <w:szCs w:val="22"/>
        </w:rPr>
        <w:t xml:space="preserve">Impatto atteso: 5-10 nuovi contatti qualificati nel primo trimestre</w:t>
      </w:r>
    </w:p>
    <w:p>
      <w:pPr>
        <w:spacing w:after="0" w:before="160"/>
      </w:pPr>
      <w:r>
        <w:t xml:space="preserve"/>
      </w:r>
    </w:p>
    <w:p>
      <w:pPr>
        <w:pBdr>
          <w:bottom w:val="single" w:color="D0D8E4" w:sz="6"/>
        </w:pBdr>
        <w:spacing w:after="120" w:before="120"/>
      </w:pPr>
      <w:r>
        <w:t xml:space="preserve"/>
      </w:r>
    </w:p>
    <w:p>
      <w:pPr>
        <w:spacing w:after="0" w:before="80"/>
      </w:pPr>
      <w:r>
        <w:t xml:space="preserve"/>
      </w:r>
    </w:p>
    <w:p>
      <w:pPr>
        <w:shd w:fill="1F4E79" w:color="auto" w:val="clear"/>
        <w:spacing w:after="60" w:before="60"/>
        <w:ind w:left="180" w:right="180"/>
      </w:pPr>
      <w:r>
        <w:rPr>
          <w:rFonts w:ascii="Arial" w:cs="Arial" w:eastAsia="Arial" w:hAnsi="Arial"/>
          <w:b/>
          <w:bCs/>
          <w:color w:val="FFFFFF"/>
          <w:sz w:val="26"/>
          <w:szCs w:val="26"/>
        </w:rPr>
        <w:t xml:space="preserve">🚀 VUOI PASSARE AL LIVELLO SUCCESSIVO?</w:t>
      </w:r>
    </w:p>
    <w:p>
      <w:pPr>
        <w:spacing w:after="0" w:before="80"/>
      </w:pPr>
      <w:r>
        <w:t xml:space="preserve"/>
      </w:r>
    </w:p>
    <w:p>
      <w:pPr>
        <w:spacing w:after="60" w:before="60"/>
        <w:jc w:val="left"/>
      </w:pPr>
      <w:r>
        <w:rPr>
          <w:rFonts w:ascii="Arial" w:cs="Arial" w:eastAsia="Arial" w:hAnsi="Arial"/>
          <w:b w:val="false"/>
          <w:bCs w:val="false"/>
          <w:color w:val="000000"/>
          <w:sz w:val="22"/>
          <w:szCs w:val="22"/>
        </w:rPr>
        <w:t xml:space="preserve">Questa Diagnosi Express ti ha fornito una fotografia sintetica della tua azienda. Con il piano Starter K2-AI (€69/mese) ricevi ogni mese un Report Mensile Base con analisi approfondita dei KPI, monitoraggio delle azioni implementate e piano operativo per i successivi 30 giorni.</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0D8E4" w:sz="4"/>
              <w:left w:val="single" w:color="D0D8E4" w:sz="4"/>
              <w:bottom w:val="single" w:color="D0D8E4" w:sz="4"/>
              <w:right w:val="single" w:color="D0D8E4" w:sz="4"/>
            </w:tcBorders>
            <w:shd w:fill="E8F4E8" w:color="auto" w:val="clear"/>
            <w:tcMar>
              <w:top w:type="dxa" w:w="80"/>
              <w:left w:type="dxa" w:w="160"/>
              <w:bottom w:type="dxa" w:w="80"/>
              <w:right w:type="dxa" w:w="160"/>
            </w:tcMar>
            <w:vAlign w:val="top"/>
          </w:tcPr>
          <w:p>
            <w:r>
              <w:rPr>
                <w:rFonts w:ascii="Arial" w:cs="Arial" w:eastAsia="Arial" w:hAnsi="Arial"/>
                <w:b/>
                <w:bCs/>
                <w:sz w:val="22"/>
                <w:szCs w:val="22"/>
              </w:rPr>
              <w:t xml:space="preserve">Piano consigliato</w:t>
            </w:r>
          </w:p>
        </w:tc>
        <w:tc>
          <w:tcPr>
            <w:tcW w:type="dxa" w:w="62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Starter — €69/mese</w:t>
            </w:r>
          </w:p>
        </w:tc>
      </w:tr>
      <w:tr>
        <w:tc>
          <w:tcPr>
            <w:tcW w:type="dxa" w:w="2800"/>
            <w:tcBorders>
              <w:top w:val="single" w:color="D0D8E4" w:sz="4"/>
              <w:left w:val="single" w:color="D0D8E4" w:sz="4"/>
              <w:bottom w:val="single" w:color="D0D8E4" w:sz="4"/>
              <w:right w:val="single" w:color="D0D8E4" w:sz="4"/>
            </w:tcBorders>
            <w:shd w:fill="E8F4E8" w:color="auto" w:val="clear"/>
            <w:tcMar>
              <w:top w:type="dxa" w:w="80"/>
              <w:left w:type="dxa" w:w="160"/>
              <w:bottom w:type="dxa" w:w="80"/>
              <w:right w:type="dxa" w:w="160"/>
            </w:tcMar>
            <w:vAlign w:val="top"/>
          </w:tcPr>
          <w:p>
            <w:r>
              <w:rPr>
                <w:rFonts w:ascii="Arial" w:cs="Arial" w:eastAsia="Arial" w:hAnsi="Arial"/>
                <w:b/>
                <w:bCs/>
                <w:sz w:val="22"/>
                <w:szCs w:val="22"/>
              </w:rPr>
              <w:t xml:space="preserve">Cosa include</w:t>
            </w:r>
          </w:p>
        </w:tc>
        <w:tc>
          <w:tcPr>
            <w:tcW w:type="dxa" w:w="62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Report mensile PDF/Word · KPI Dashboard · Piano 30gg · Supporto email</w:t>
            </w:r>
          </w:p>
        </w:tc>
      </w:tr>
      <w:tr>
        <w:tc>
          <w:tcPr>
            <w:tcW w:type="dxa" w:w="2800"/>
            <w:tcBorders>
              <w:top w:val="single" w:color="D0D8E4" w:sz="4"/>
              <w:left w:val="single" w:color="D0D8E4" w:sz="4"/>
              <w:bottom w:val="single" w:color="D0D8E4" w:sz="4"/>
              <w:right w:val="single" w:color="D0D8E4" w:sz="4"/>
            </w:tcBorders>
            <w:shd w:fill="E8F4E8" w:color="auto" w:val="clear"/>
            <w:tcMar>
              <w:top w:type="dxa" w:w="80"/>
              <w:left w:type="dxa" w:w="160"/>
              <w:bottom w:type="dxa" w:w="80"/>
              <w:right w:type="dxa" w:w="160"/>
            </w:tcMar>
            <w:vAlign w:val="top"/>
          </w:tcPr>
          <w:p>
            <w:r>
              <w:rPr>
                <w:rFonts w:ascii="Arial" w:cs="Arial" w:eastAsia="Arial" w:hAnsi="Arial"/>
                <w:b/>
                <w:bCs/>
                <w:sz w:val="22"/>
                <w:szCs w:val="22"/>
              </w:rPr>
              <w:t xml:space="preserve">Risparmio stimato</w:t>
            </w:r>
          </w:p>
        </w:tc>
        <w:tc>
          <w:tcPr>
            <w:tcW w:type="dxa" w:w="62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Equivale a 2-3 ore di consulenza tradizionale al mese</w:t>
            </w:r>
          </w:p>
        </w:tc>
      </w:tr>
      <w:tr>
        <w:tc>
          <w:tcPr>
            <w:tcW w:type="dxa" w:w="2800"/>
            <w:tcBorders>
              <w:top w:val="single" w:color="D0D8E4" w:sz="4"/>
              <w:left w:val="single" w:color="D0D8E4" w:sz="4"/>
              <w:bottom w:val="single" w:color="D0D8E4" w:sz="4"/>
              <w:right w:val="single" w:color="D0D8E4" w:sz="4"/>
            </w:tcBorders>
            <w:shd w:fill="E8F4E8" w:color="auto" w:val="clear"/>
            <w:tcMar>
              <w:top w:type="dxa" w:w="80"/>
              <w:left w:type="dxa" w:w="160"/>
              <w:bottom w:type="dxa" w:w="80"/>
              <w:right w:type="dxa" w:w="160"/>
            </w:tcMar>
            <w:vAlign w:val="top"/>
          </w:tcPr>
          <w:p>
            <w:r>
              <w:rPr>
                <w:rFonts w:ascii="Arial" w:cs="Arial" w:eastAsia="Arial" w:hAnsi="Arial"/>
                <w:b/>
                <w:bCs/>
                <w:sz w:val="22"/>
                <w:szCs w:val="22"/>
              </w:rPr>
              <w:t xml:space="preserve">Prossimo passo</w:t>
            </w:r>
          </w:p>
        </w:tc>
        <w:tc>
          <w:tcPr>
            <w:tcW w:type="dxa" w:w="62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Prenota una chiamata gratuita di 20 minuti → k2-ai.it/starter</w:t>
            </w:r>
          </w:p>
        </w:tc>
      </w:tr>
    </w:tbl>
    <w:p>
      <w:pPr>
        <w:spacing w:after="0" w:before="160"/>
      </w:pPr>
      <w:r>
        <w:t xml:space="preserve"/>
      </w:r>
    </w:p>
    <w:p>
      <w:r>
        <w:br w:type="page"/>
      </w:r>
    </w:p>
    <w:p>
      <w:pPr>
        <w:shd w:fill="1F4E79" w:color="auto" w:val="clear"/>
        <w:spacing w:after="0" w:before="60"/>
        <w:jc w:val="center"/>
      </w:pPr>
      <w:r>
        <w:rPr>
          <w:rFonts w:ascii="Arial" w:cs="Arial" w:eastAsia="Arial" w:hAnsi="Arial"/>
          <w:b/>
          <w:bCs/>
          <w:color w:val="FFFFFF"/>
          <w:sz w:val="56"/>
          <w:szCs w:val="56"/>
        </w:rPr>
        <w:t xml:space="preserve">K2-AI</w:t>
      </w:r>
    </w:p>
    <w:p>
      <w:pPr>
        <w:shd w:fill="1F4E79" w:color="auto" w:val="clear"/>
        <w:spacing w:after="0" w:before="0"/>
        <w:jc w:val="center"/>
      </w:pPr>
      <w:r>
        <w:rPr>
          <w:rFonts w:ascii="Arial" w:cs="Arial" w:eastAsia="Arial" w:hAnsi="Arial"/>
          <w:b/>
          <w:bCs/>
          <w:color w:val="FFFFFF"/>
          <w:sz w:val="36"/>
          <w:szCs w:val="36"/>
        </w:rPr>
        <w:t xml:space="preserve">Report Mensile Base</w:t>
      </w:r>
    </w:p>
    <w:p>
      <w:pPr>
        <w:shd w:fill="1F4E79" w:color="auto" w:val="clear"/>
        <w:spacing w:after="0" w:before="0"/>
        <w:jc w:val="center"/>
      </w:pPr>
      <w:r>
        <w:rPr>
          <w:rFonts w:ascii="Arial" w:cs="Arial" w:eastAsia="Arial" w:hAnsi="Arial"/>
          <w:b/>
          <w:bCs/>
          <w:color w:val="F0B800"/>
          <w:sz w:val="32"/>
          <w:szCs w:val="32"/>
        </w:rPr>
        <w:t xml:space="preserve">€ 69 / mese</w:t>
      </w:r>
    </w:p>
    <w:p>
      <w:pPr>
        <w:shd w:fill="1F4E79" w:color="auto" w:val="clear"/>
        <w:spacing w:after="60" w:before="0"/>
        <w:jc w:val="center"/>
      </w:pPr>
      <w:r>
        <w:rPr>
          <w:rFonts w:ascii="Arial" w:cs="Arial" w:eastAsia="Arial" w:hAnsi="Arial"/>
          <w:color w:val="D0E8FF"/>
          <w:sz w:val="22"/>
          <w:szCs w:val="22"/>
        </w:rPr>
        <w:t xml:space="preserve">Il tuo report operativo mensile · Piano 30 giorni incluso</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Azienda</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Artigiana Italiana S.r.l.</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Titolare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Marco Ferretti</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Settore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Metalmeccanica — Manifatturiero</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Sede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Bergamo (BG), Lombardia</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Dipendenti</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18</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Fatturato</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€ 2.400.000 (anno precedente)</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Data Report</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Aprile 2026</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Tier K2-AI</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Starter — €69/mese</w:t>
            </w:r>
          </w:p>
        </w:tc>
      </w:tr>
    </w:tbl>
    <w:p>
      <w:pPr>
        <w:spacing w:after="0" w:before="120"/>
      </w:pPr>
      <w:r>
        <w:t xml:space="preserve"/>
      </w:r>
    </w:p>
    <w:p>
      <w:r>
        <w:br w:type="page"/>
      </w:r>
    </w:p>
    <w:p>
      <w:pPr>
        <w:pBdr>
          <w:bottom w:val="single" w:color="1F4E79" w:sz="8"/>
        </w:pBdr>
        <w:spacing w:after="120" w:before="240"/>
      </w:pPr>
      <w:r>
        <w:rPr>
          <w:rFonts w:ascii="Arial" w:cs="Arial" w:eastAsia="Arial" w:hAnsi="Arial"/>
          <w:b/>
          <w:bCs/>
          <w:color w:val="1F4E79"/>
          <w:sz w:val="36"/>
          <w:szCs w:val="36"/>
        </w:rPr>
        <w:t xml:space="preserve">Executive Summary — Aprile 2026</w:t>
      </w:r>
    </w:p>
    <w:p>
      <w:pPr>
        <w:shd w:fill="E8A000" w:color="auto" w:val="clear"/>
        <w:spacing w:after="60" w:before="60"/>
        <w:ind w:left="180" w:right="180"/>
      </w:pPr>
      <w:r>
        <w:rPr>
          <w:rFonts w:ascii="Arial" w:cs="Arial" w:eastAsia="Arial" w:hAnsi="Arial"/>
          <w:b/>
          <w:bCs/>
          <w:color w:val="000000"/>
          <w:sz w:val="22"/>
          <w:szCs w:val="22"/>
        </w:rPr>
        <w:t xml:space="preserve">SINTESI DEL MESE: RISULTATI IN LINEA CON IL PIANO — 2 AZIONI PRIORITARIE</w:t>
      </w:r>
    </w:p>
    <w:p>
      <w:pPr>
        <w:spacing w:after="0" w:before="100"/>
      </w:pPr>
      <w:r>
        <w:t xml:space="preserve"/>
      </w:r>
    </w:p>
    <w:p>
      <w:pPr>
        <w:spacing w:after="60" w:before="60"/>
        <w:jc w:val="left"/>
      </w:pPr>
      <w:r>
        <w:rPr>
          <w:rFonts w:ascii="Arial" w:cs="Arial" w:eastAsia="Arial" w:hAnsi="Arial"/>
          <w:b w:val="false"/>
          <w:bCs w:val="false"/>
          <w:color w:val="000000"/>
          <w:sz w:val="22"/>
          <w:szCs w:val="22"/>
        </w:rPr>
        <w:t xml:space="preserve">Il mese di aprile 2026 si è chiuso con risultati sostanzialmente in linea con il piano operativo concordato a marzo. Artigiana Italiana S.r.l. ha registrato una crescita del fatturato del +4,2% rispetto allo stesso periodo dell'anno precedente, con un miglioramento del margine lordo di +1,1 punti percentuali. Le azioni avviate il mese scorso sul fronte della diversificazione clienti hanno prodotto i primi risultati concreti: 2 nuovi preventivi inviati a prospect qualificati, con una trattativa in fase avanzata per un potenziale contratto da €65.000 annui.</w:t>
      </w:r>
    </w:p>
    <w:p>
      <w:pPr>
        <w:spacing w:after="60" w:before="60"/>
        <w:jc w:val="left"/>
      </w:pPr>
      <w:r>
        <w:rPr>
          <w:rFonts w:ascii="Arial" w:cs="Arial" w:eastAsia="Arial" w:hAnsi="Arial"/>
          <w:b w:val="false"/>
          <w:bCs w:val="false"/>
          <w:color w:val="000000"/>
          <w:sz w:val="22"/>
          <w:szCs w:val="22"/>
        </w:rPr>
        <w:t xml:space="preserve">Rimangono due aree di attenzione che richiedono intervento nel mese di maggio: (1) il ritardo nella digitalizzazione del processo di offerta, che continua a rallentare i tempi di risposta ai prospect; (2) il costo del lavoro straordinario, aumentato del 12% rispetto al budget previsto per via di un picco di ordini non pianificato.</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300"/>
        <w:gridCol w:w="926"/>
      </w:tblGrid>
      <w:tr>
        <w:tc>
          <w:tcPr>
            <w:tcW w:type="dxa" w:w="28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Indicatore</w:t>
            </w:r>
          </w:p>
        </w:tc>
        <w:tc>
          <w:tcPr>
            <w:tcW w:type="dxa" w:w="15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Aprile 2026</w:t>
            </w:r>
          </w:p>
        </w:tc>
        <w:tc>
          <w:tcPr>
            <w:tcW w:type="dxa" w:w="15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Marzo 2026</w:t>
            </w:r>
          </w:p>
        </w:tc>
        <w:tc>
          <w:tcPr>
            <w:tcW w:type="dxa" w:w="13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Variazione</w:t>
            </w:r>
          </w:p>
        </w:tc>
        <w:tc>
          <w:tcPr>
            <w:tcW w:type="dxa" w:w="926"/>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Status</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Fatturato mensile</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€ 204.000</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€ 196.000</w:t>
            </w:r>
          </w:p>
        </w:tc>
        <w:tc>
          <w:tcPr>
            <w:tcW w:type="dxa" w:w="13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+4,2%</w:t>
            </w:r>
          </w:p>
        </w:tc>
        <w:tc>
          <w:tcPr>
            <w:tcW w:type="dxa" w:w="9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Margine lordo %</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31,4%</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30,3%</w:t>
            </w:r>
          </w:p>
        </w:tc>
        <w:tc>
          <w:tcPr>
            <w:tcW w:type="dxa" w:w="13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+1,1 pp</w:t>
            </w:r>
          </w:p>
        </w:tc>
        <w:tc>
          <w:tcPr>
            <w:tcW w:type="dxa" w:w="9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N° nuovi clienti</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0</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0</w:t>
            </w:r>
          </w:p>
        </w:tc>
        <w:tc>
          <w:tcPr>
            <w:tcW w:type="dxa" w:w="13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0</w:t>
            </w:r>
          </w:p>
        </w:tc>
        <w:tc>
          <w:tcPr>
            <w:tcW w:type="dxa" w:w="9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Preventivi inviati</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7</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5</w:t>
            </w:r>
          </w:p>
        </w:tc>
        <w:tc>
          <w:tcPr>
            <w:tcW w:type="dxa" w:w="13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+2</w:t>
            </w:r>
          </w:p>
        </w:tc>
        <w:tc>
          <w:tcPr>
            <w:tcW w:type="dxa" w:w="9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Tasso conversione</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43%</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40%</w:t>
            </w:r>
          </w:p>
        </w:tc>
        <w:tc>
          <w:tcPr>
            <w:tcW w:type="dxa" w:w="13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+3 pp</w:t>
            </w:r>
          </w:p>
        </w:tc>
        <w:tc>
          <w:tcPr>
            <w:tcW w:type="dxa" w:w="9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Costo straordinari</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€ 8.400</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€ 7.500</w:t>
            </w:r>
          </w:p>
        </w:tc>
        <w:tc>
          <w:tcPr>
            <w:tcW w:type="dxa" w:w="13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+12%</w:t>
            </w:r>
          </w:p>
        </w:tc>
        <w:tc>
          <w:tcPr>
            <w:tcW w:type="dxa" w:w="9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r>
    </w:tbl>
    <w:p>
      <w:r>
        <w:br w:type="page"/>
      </w:r>
    </w:p>
    <w:p>
      <w:pPr>
        <w:pBdr>
          <w:bottom w:val="single" w:color="1F4E79" w:sz="8"/>
        </w:pBdr>
        <w:spacing w:after="120" w:before="240"/>
      </w:pPr>
      <w:r>
        <w:rPr>
          <w:rFonts w:ascii="Arial" w:cs="Arial" w:eastAsia="Arial" w:hAnsi="Arial"/>
          <w:b/>
          <w:bCs/>
          <w:color w:val="1F4E79"/>
          <w:sz w:val="36"/>
          <w:szCs w:val="36"/>
        </w:rPr>
        <w:t xml:space="preserve">Profilo Aziendale Aggiornato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Ragione Sociale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Artigiana Italiana S.r.l.</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Codice ATECO</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25.62 — Lavori di meccanica generale</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Anno fondazione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2008</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Forma giuridica</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Società a Responsabilità Limitata</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Fatturato LTM</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€ 2.400.000 (ultimi 12 mesi)</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Margine EBITDA stimato</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€ 168.000 (7,0% su fatturato)</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Dipendenti totali</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18 (14 produzione, 2 commerciale, 2 amministrazione)</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Mercato principale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B2B — clienti produttori di macchinari industriali, Lombardia/Piemonte</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Principali clienti</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ClienteAlfa (28% fatturato), ClienteBeta (16%), ClienteGamma (11%)</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Piano K2-AI attivo</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Starter — attivo da Gennaio 2026 (mese 4/12)</w:t>
            </w:r>
          </w:p>
        </w:tc>
      </w:tr>
    </w:tbl>
    <w:p>
      <w:pPr>
        <w:spacing w:after="0" w:before="120"/>
      </w:pPr>
      <w:r>
        <w:t xml:space="preserve"/>
      </w:r>
    </w:p>
    <w:p>
      <w:pPr>
        <w:spacing w:after="80" w:before="200"/>
      </w:pPr>
      <w:r>
        <w:rPr>
          <w:rFonts w:ascii="Arial" w:cs="Arial" w:eastAsia="Arial" w:hAnsi="Arial"/>
          <w:b/>
          <w:bCs/>
          <w:color w:val="2E75B6"/>
          <w:sz w:val="28"/>
          <w:szCs w:val="28"/>
        </w:rPr>
        <w:t xml:space="preserve">KPI Principali del Mese</w:t>
      </w:r>
    </w:p>
    <w:p>
      <w:pPr>
        <w:spacing w:after="60" w:before="60"/>
        <w:jc w:val="left"/>
      </w:pPr>
      <w:r>
        <w:rPr>
          <w:rFonts w:ascii="Arial" w:cs="Arial" w:eastAsia="Arial" w:hAnsi="Arial"/>
          <w:b w:val="false"/>
          <w:bCs w:val="false"/>
          <w:color w:val="000000"/>
          <w:sz w:val="22"/>
          <w:szCs w:val="22"/>
        </w:rPr>
        <w:t xml:space="preserve">I seguenti KPI sono monitorati mensilmente e confrontati con il baseline stabilito a inizio anno (Gennaio 2026) e con il benchmark di settore K2-AI.</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600"/>
        <w:gridCol w:w="1626"/>
      </w:tblGrid>
      <w:tr>
        <w:tc>
          <w:tcPr>
            <w:tcW w:type="dxa" w:w="28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KPI</w:t>
            </w:r>
          </w:p>
        </w:tc>
        <w:tc>
          <w:tcPr>
            <w:tcW w:type="dxa" w:w="15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Valore Aprile</w:t>
            </w:r>
          </w:p>
        </w:tc>
        <w:tc>
          <w:tcPr>
            <w:tcW w:type="dxa" w:w="15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Target Mese</w:t>
            </w:r>
          </w:p>
        </w:tc>
        <w:tc>
          <w:tcPr>
            <w:tcW w:type="dxa" w:w="16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Baseline Gen'26</w:t>
            </w:r>
          </w:p>
        </w:tc>
        <w:tc>
          <w:tcPr>
            <w:tcW w:type="dxa" w:w="1626"/>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Trend</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Fatturato mensile</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€ 204.000</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€ 200.000</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€ 192.000</w:t>
            </w:r>
          </w:p>
        </w:tc>
        <w:tc>
          <w:tcPr>
            <w:tcW w:type="dxa" w:w="16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+6,3%</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N° ordini ricevuti</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23</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22</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20</w:t>
            </w:r>
          </w:p>
        </w:tc>
        <w:tc>
          <w:tcPr>
            <w:tcW w:type="dxa" w:w="16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+15%</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Ticket medio ordine</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€ 8.870</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€ 9.000</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€ 9.600</w:t>
            </w:r>
          </w:p>
        </w:tc>
        <w:tc>
          <w:tcPr>
            <w:tcW w:type="dxa" w:w="16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-7,6%</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Giorni incasso medio (DSO)</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52 gg</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45 gg</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58 gg</w:t>
            </w:r>
          </w:p>
        </w:tc>
        <w:tc>
          <w:tcPr>
            <w:tcW w:type="dxa" w:w="16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miglioramento</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Clienti attivi nel mese</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11</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12</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10</w:t>
            </w:r>
          </w:p>
        </w:tc>
        <w:tc>
          <w:tcPr>
            <w:tcW w:type="dxa" w:w="16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stabile</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Ore produzione / ordine</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14,2 h</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13,5 h</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15,8 h</w:t>
            </w:r>
          </w:p>
        </w:tc>
        <w:tc>
          <w:tcPr>
            <w:tcW w:type="dxa" w:w="16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efficienza</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Costo materiali / fatturato</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38,2%</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37,0%</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40,1%</w:t>
            </w:r>
          </w:p>
        </w:tc>
        <w:tc>
          <w:tcPr>
            <w:tcW w:type="dxa" w:w="16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miglioramento</w:t>
            </w:r>
          </w:p>
        </w:tc>
      </w:tr>
    </w:tbl>
    <w:p>
      <w:r>
        <w:br w:type="page"/>
      </w:r>
    </w:p>
    <w:p>
      <w:pPr>
        <w:pBdr>
          <w:bottom w:val="single" w:color="1F4E79" w:sz="8"/>
        </w:pBdr>
        <w:spacing w:after="120" w:before="240"/>
      </w:pPr>
      <w:r>
        <w:rPr>
          <w:rFonts w:ascii="Arial" w:cs="Arial" w:eastAsia="Arial" w:hAnsi="Arial"/>
          <w:b/>
          <w:bCs/>
          <w:color w:val="1F4E79"/>
          <w:sz w:val="36"/>
          <w:szCs w:val="36"/>
        </w:rPr>
        <w:t xml:space="preserve">Attività Svolte nel Mese</w:t>
      </w:r>
    </w:p>
    <w:p>
      <w:pPr>
        <w:spacing w:after="80" w:before="200"/>
      </w:pPr>
      <w:r>
        <w:rPr>
          <w:rFonts w:ascii="Arial" w:cs="Arial" w:eastAsia="Arial" w:hAnsi="Arial"/>
          <w:b/>
          <w:bCs/>
          <w:color w:val="2E75B6"/>
          <w:sz w:val="28"/>
          <w:szCs w:val="28"/>
        </w:rPr>
        <w:t xml:space="preserve">Azioni completate (da piano marzo 2026)</w:t>
      </w:r>
    </w:p>
    <w:p>
      <w:pPr>
        <w:pStyle w:val="ListParagraph"/>
        <w:numPr>
          <w:ilvl w:val="0"/>
          <w:numId w:val="3"/>
        </w:numPr>
        <w:spacing w:after="40" w:before="40"/>
      </w:pPr>
      <w:r>
        <w:rPr>
          <w:rFonts w:ascii="Arial" w:cs="Arial" w:eastAsia="Arial" w:hAnsi="Arial"/>
          <w:sz w:val="22"/>
          <w:szCs w:val="22"/>
        </w:rPr>
        <w:t xml:space="preserve">Revisione listino prezzi: completata. Applicato aumento del 3% su 4 codici prodotto a bassa elasticità. Impatto stimato: +€18.000 annui su margine.</w:t>
      </w:r>
    </w:p>
    <w:p>
      <w:pPr>
        <w:pStyle w:val="ListParagraph"/>
        <w:numPr>
          <w:ilvl w:val="0"/>
          <w:numId w:val="3"/>
        </w:numPr>
        <w:spacing w:after="40" w:before="40"/>
      </w:pPr>
      <w:r>
        <w:rPr>
          <w:rFonts w:ascii="Arial" w:cs="Arial" w:eastAsia="Arial" w:hAnsi="Arial"/>
          <w:sz w:val="22"/>
          <w:szCs w:val="22"/>
        </w:rPr>
        <w:t xml:space="preserve">Call con ClienteBeta per rinnovo contratto: avvenuta il 14 aprile. Cliente confermato per altri 12 mesi con aumento volume del +8%. Valore aggiuntivo: +€22.000/anno.</w:t>
      </w:r>
    </w:p>
    <w:p>
      <w:pPr>
        <w:pStyle w:val="ListParagraph"/>
        <w:numPr>
          <w:ilvl w:val="0"/>
          <w:numId w:val="3"/>
        </w:numPr>
        <w:spacing w:after="40" w:before="40"/>
      </w:pPr>
      <w:r>
        <w:rPr>
          <w:rFonts w:ascii="Arial" w:cs="Arial" w:eastAsia="Arial" w:hAnsi="Arial"/>
          <w:sz w:val="22"/>
          <w:szCs w:val="22"/>
        </w:rPr>
        <w:t xml:space="preserve">Formazione interna lean manufacturing: 8 ore completate con responsabile di produzione e 4 operatori chiave. Obiettivo: riduzione scarti del 15% entro Q3 2026.</w:t>
      </w:r>
    </w:p>
    <w:p>
      <w:pPr>
        <w:pStyle w:val="ListParagraph"/>
        <w:numPr>
          <w:ilvl w:val="0"/>
          <w:numId w:val="3"/>
        </w:numPr>
        <w:spacing w:after="40" w:before="40"/>
      </w:pPr>
      <w:r>
        <w:rPr>
          <w:rFonts w:ascii="Arial" w:cs="Arial" w:eastAsia="Arial" w:hAnsi="Arial"/>
          <w:sz w:val="22"/>
          <w:szCs w:val="22"/>
        </w:rPr>
        <w:t xml:space="preserve">Setup Google My Business aggiornato: completato. Aggiunte 12 foto aggiornate, risposta a 3 recensioni, categoria principale aggiornata.</w:t>
      </w:r>
    </w:p>
    <w:p>
      <w:pPr>
        <w:spacing w:after="0" w:before="120"/>
      </w:pPr>
      <w:r>
        <w:t xml:space="preserve"/>
      </w:r>
    </w:p>
    <w:p>
      <w:pPr>
        <w:spacing w:after="80" w:before="200"/>
      </w:pPr>
      <w:r>
        <w:rPr>
          <w:rFonts w:ascii="Arial" w:cs="Arial" w:eastAsia="Arial" w:hAnsi="Arial"/>
          <w:b/>
          <w:bCs/>
          <w:color w:val="2E75B6"/>
          <w:sz w:val="28"/>
          <w:szCs w:val="28"/>
        </w:rPr>
        <w:t xml:space="preserve">Azioni parzialmente completate</w:t>
      </w:r>
    </w:p>
    <w:p>
      <w:pPr>
        <w:pStyle w:val="ListParagraph"/>
        <w:numPr>
          <w:ilvl w:val="0"/>
          <w:numId w:val="2"/>
        </w:numPr>
        <w:spacing w:after="40" w:before="40"/>
      </w:pPr>
      <w:r>
        <w:rPr>
          <w:rFonts w:ascii="Arial" w:cs="Arial" w:eastAsia="Arial" w:hAnsi="Arial"/>
          <w:sz w:val="22"/>
          <w:szCs w:val="22"/>
        </w:rPr>
        <w:t xml:space="preserve">Digitalizzazione processo offerte: sistema CRM aggiornato con nuovi template ma formazione operatori non ancora completata (60% avanzamento). Completamento atteso: 15 maggio.</w:t>
      </w:r>
    </w:p>
    <w:p>
      <w:pPr>
        <w:pStyle w:val="ListParagraph"/>
        <w:numPr>
          <w:ilvl w:val="0"/>
          <w:numId w:val="2"/>
        </w:numPr>
        <w:spacing w:after="40" w:before="40"/>
      </w:pPr>
      <w:r>
        <w:rPr>
          <w:rFonts w:ascii="Arial" w:cs="Arial" w:eastAsia="Arial" w:hAnsi="Arial"/>
          <w:sz w:val="22"/>
          <w:szCs w:val="22"/>
        </w:rPr>
        <w:t xml:space="preserve">Analisi costi straordinari: raccolta dati iniziata, analisi non ancora formalizzata. Attesa entro fine maggio.</w:t>
      </w:r>
    </w:p>
    <w:p>
      <w:pPr>
        <w:spacing w:after="0" w:before="120"/>
      </w:pPr>
      <w:r>
        <w:t xml:space="preserve"/>
      </w:r>
    </w:p>
    <w:p>
      <w:pPr>
        <w:spacing w:after="80" w:before="200"/>
      </w:pPr>
      <w:r>
        <w:rPr>
          <w:rFonts w:ascii="Arial" w:cs="Arial" w:eastAsia="Arial" w:hAnsi="Arial"/>
          <w:b/>
          <w:bCs/>
          <w:color w:val="2E75B6"/>
          <w:sz w:val="28"/>
          <w:szCs w:val="28"/>
        </w:rPr>
        <w:t xml:space="preserve">Azioni non avviate (da ripianificare)</w:t>
      </w:r>
    </w:p>
    <w:p>
      <w:pPr>
        <w:pStyle w:val="ListParagraph"/>
        <w:numPr>
          <w:ilvl w:val="0"/>
          <w:numId w:val="2"/>
        </w:numPr>
        <w:spacing w:after="40" w:before="40"/>
      </w:pPr>
      <w:r>
        <w:rPr>
          <w:rFonts w:ascii="Arial" w:cs="Arial" w:eastAsia="Arial" w:hAnsi="Arial"/>
          <w:sz w:val="22"/>
          <w:szCs w:val="22"/>
        </w:rPr>
        <w:t xml:space="preserve">Certificazione ISO 9001: rimandato a giugno per carenza di risorse interne. K2-AI valuterà riassegnazione priorità nel piano maggio.</w:t>
      </w:r>
    </w:p>
    <w:p>
      <w:pPr>
        <w:spacing w:after="0" w:before="140"/>
      </w:pPr>
      <w:r>
        <w:t xml:space="preserve"/>
      </w:r>
    </w:p>
    <w:p>
      <w:pPr>
        <w:pBdr>
          <w:bottom w:val="single" w:color="1F4E79" w:sz="8"/>
        </w:pBdr>
        <w:spacing w:after="120" w:before="240"/>
      </w:pPr>
      <w:r>
        <w:rPr>
          <w:rFonts w:ascii="Arial" w:cs="Arial" w:eastAsia="Arial" w:hAnsi="Arial"/>
          <w:b/>
          <w:bCs/>
          <w:color w:val="1F4E79"/>
          <w:sz w:val="36"/>
          <w:szCs w:val="36"/>
        </w:rPr>
        <w:t xml:space="preserve">Piano Operativo — Maggio 2026</w:t>
      </w:r>
    </w:p>
    <w:p>
      <w:pPr>
        <w:spacing w:after="60" w:before="60"/>
        <w:jc w:val="left"/>
      </w:pPr>
      <w:r>
        <w:rPr>
          <w:rFonts w:ascii="Arial" w:cs="Arial" w:eastAsia="Arial" w:hAnsi="Arial"/>
          <w:b w:val="false"/>
          <w:bCs w:val="false"/>
          <w:color w:val="000000"/>
          <w:sz w:val="22"/>
          <w:szCs w:val="22"/>
        </w:rPr>
        <w:t xml:space="preserve">Sulla base dei risultati di aprile e delle opportunità identificate, K2-AI ha predisposto il piano operativo per il mese di maggio 2026. Le azioni sono ordinate per priorità e accompagnate da KPI di controllo.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1000"/>
        <w:gridCol w:w="2426"/>
      </w:tblGrid>
      <w:tr>
        <w:tc>
          <w:tcPr>
            <w:tcW w:type="dxa" w:w="9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Priorità</w:t>
            </w:r>
          </w:p>
        </w:tc>
        <w:tc>
          <w:tcPr>
            <w:tcW w:type="dxa" w:w="32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Azione</w:t>
            </w:r>
          </w:p>
        </w:tc>
        <w:tc>
          <w:tcPr>
            <w:tcW w:type="dxa" w:w="15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Responsabile</w:t>
            </w:r>
          </w:p>
        </w:tc>
        <w:tc>
          <w:tcPr>
            <w:tcW w:type="dxa" w:w="10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Scadenza</w:t>
            </w:r>
          </w:p>
        </w:tc>
        <w:tc>
          <w:tcPr>
            <w:tcW w:type="dxa" w:w="2426"/>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KPI Atteso</w:t>
            </w:r>
          </w:p>
        </w:tc>
      </w:tr>
      <w:tr>
        <w:tc>
          <w:tcPr>
            <w:tcW w:type="dxa" w:w="9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ALTA</w:t>
            </w:r>
          </w:p>
        </w:tc>
        <w:tc>
          <w:tcPr>
            <w:tcW w:type="dxa" w:w="3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Completare formazione CRM per 3 operatori commerciali</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Titolare + K2-AI</w:t>
            </w:r>
          </w:p>
        </w:tc>
        <w:tc>
          <w:tcPr>
            <w:tcW w:type="dxa" w:w="1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15 mag</w:t>
            </w:r>
          </w:p>
        </w:tc>
        <w:tc>
          <w:tcPr>
            <w:tcW w:type="dxa" w:w="24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Tempo medio offerta &lt; 48h</w:t>
            </w:r>
          </w:p>
        </w:tc>
      </w:tr>
      <w:tr>
        <w:tc>
          <w:tcPr>
            <w:tcW w:type="dxa" w:w="9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ALTA</w:t>
            </w:r>
          </w:p>
        </w:tc>
        <w:tc>
          <w:tcPr>
            <w:tcW w:type="dxa" w:w="3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Analisi straordinari: identificare cause picco e piano preventivo</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Resp. Produzione</w:t>
            </w:r>
          </w:p>
        </w:tc>
        <w:tc>
          <w:tcPr>
            <w:tcW w:type="dxa" w:w="1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20 mag</w:t>
            </w:r>
          </w:p>
        </w:tc>
        <w:tc>
          <w:tcPr>
            <w:tcW w:type="dxa" w:w="24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Straordinari &lt; €7.000/mese</w:t>
            </w:r>
          </w:p>
        </w:tc>
      </w:tr>
      <w:tr>
        <w:tc>
          <w:tcPr>
            <w:tcW w:type="dxa" w:w="9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MEDIA</w:t>
            </w:r>
          </w:p>
        </w:tc>
        <w:tc>
          <w:tcPr>
            <w:tcW w:type="dxa" w:w="3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Inviare 3 nuovi preventivi a prospect identificati</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Commerciale</w:t>
            </w:r>
          </w:p>
        </w:tc>
        <w:tc>
          <w:tcPr>
            <w:tcW w:type="dxa" w:w="1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31 mag</w:t>
            </w:r>
          </w:p>
        </w:tc>
        <w:tc>
          <w:tcPr>
            <w:tcW w:type="dxa" w:w="24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 contratto firmato entro giugno</w:t>
            </w:r>
          </w:p>
        </w:tc>
      </w:tr>
      <w:tr>
        <w:tc>
          <w:tcPr>
            <w:tcW w:type="dxa" w:w="9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MEDIA</w:t>
            </w:r>
          </w:p>
        </w:tc>
        <w:tc>
          <w:tcPr>
            <w:tcW w:type="dxa" w:w="3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Pubblicare 4 post LinkedIn sull'expertise manifatturiero</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Titolare</w:t>
            </w:r>
          </w:p>
        </w:tc>
        <w:tc>
          <w:tcPr>
            <w:tcW w:type="dxa" w:w="1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31 mag</w:t>
            </w:r>
          </w:p>
        </w:tc>
        <w:tc>
          <w:tcPr>
            <w:tcW w:type="dxa" w:w="24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200+ visualizzazioni</w:t>
            </w:r>
          </w:p>
        </w:tc>
      </w:tr>
      <w:tr>
        <w:tc>
          <w:tcPr>
            <w:tcW w:type="dxa" w:w="9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BASSA</w:t>
            </w:r>
          </w:p>
        </w:tc>
        <w:tc>
          <w:tcPr>
            <w:tcW w:type="dxa" w:w="3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Richiesta preventivo certificazione ISO 9001</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Titolare</w:t>
            </w:r>
          </w:p>
        </w:tc>
        <w:tc>
          <w:tcPr>
            <w:tcW w:type="dxa" w:w="1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31 mag</w:t>
            </w:r>
          </w:p>
        </w:tc>
        <w:tc>
          <w:tcPr>
            <w:tcW w:type="dxa" w:w="24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Ricevuti ≥ 2 preventivi</w:t>
            </w:r>
          </w:p>
        </w:tc>
      </w:tr>
    </w:tbl>
    <w:p>
      <w:pPr>
        <w:spacing w:after="0" w:before="160"/>
      </w:pPr>
      <w:r>
        <w:t xml:space="preserve"/>
      </w:r>
    </w:p>
    <w:p>
      <w:r>
        <w:br w:type="page"/>
      </w:r>
    </w:p>
    <w:p>
      <w:pPr>
        <w:pBdr>
          <w:bottom w:val="single" w:color="1F4E79" w:sz="8"/>
        </w:pBdr>
        <w:spacing w:after="120" w:before="240"/>
      </w:pPr>
      <w:r>
        <w:rPr>
          <w:rFonts w:ascii="Arial" w:cs="Arial" w:eastAsia="Arial" w:hAnsi="Arial"/>
          <w:b/>
          <w:bCs/>
          <w:color w:val="1F4E79"/>
          <w:sz w:val="36"/>
          <w:szCs w:val="36"/>
        </w:rPr>
        <w:t xml:space="preserve">Risorse K2-AI per il Tuo Piano</w:t>
      </w:r>
    </w:p>
    <w:p>
      <w:pPr>
        <w:spacing w:after="60" w:before="60"/>
        <w:jc w:val="left"/>
      </w:pPr>
      <w:r>
        <w:rPr>
          <w:rFonts w:ascii="Arial" w:cs="Arial" w:eastAsia="Arial" w:hAnsi="Arial"/>
          <w:b w:val="false"/>
          <w:bCs w:val="false"/>
          <w:color w:val="000000"/>
          <w:sz w:val="22"/>
          <w:szCs w:val="22"/>
        </w:rPr>
        <w:t xml:space="preserve">Come cliente Starter K2-AI hai accesso alle seguenti risorse incluse nel piano mensile: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Report mensile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Questo documento — consegnato entro il 5 del mese successivo</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Dashboard KPI</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Accesso al portale K2-AI con KPI aggiornati in tempo reale</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Supporto email</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Risposte garantite entro 24h su domande operative mensili (max 5/mese)</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Template Excel</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Accesso alla libreria template (budget, cashflow, KPI tracker)</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Webinar mensile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Partecipazione al webinar mensile K2-AI per PMI (1 ora)</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K2-BOT assistente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Accesso al chatbot K2-AI per domande rapide h24/7</w:t>
            </w:r>
          </w:p>
        </w:tc>
      </w:tr>
    </w:tbl>
    <w:p>
      <w:pPr>
        <w:spacing w:after="0" w:before="120"/>
      </w:pPr>
      <w:r>
        <w:t xml:space="preserve"/>
      </w:r>
    </w:p>
    <w:p>
      <w:pPr>
        <w:spacing w:after="80" w:before="200"/>
      </w:pPr>
      <w:r>
        <w:rPr>
          <w:rFonts w:ascii="Arial" w:cs="Arial" w:eastAsia="Arial" w:hAnsi="Arial"/>
          <w:b/>
          <w:bCs/>
          <w:color w:val="2E75B6"/>
          <w:sz w:val="28"/>
          <w:szCs w:val="28"/>
        </w:rPr>
        <w:t xml:space="preserve">Nota sui Limiti del Piano Starter</w:t>
      </w:r>
    </w:p>
    <w:p>
      <w:pPr>
        <w:spacing w:after="60" w:before="60"/>
        <w:jc w:val="left"/>
      </w:pPr>
      <w:r>
        <w:rPr>
          <w:rFonts w:ascii="Arial" w:cs="Arial" w:eastAsia="Arial" w:hAnsi="Arial"/>
          <w:b w:val="false"/>
          <w:bCs w:val="false"/>
          <w:color w:val="000000"/>
          <w:sz w:val="22"/>
          <w:szCs w:val="22"/>
        </w:rPr>
        <w:t xml:space="preserve">Il Piano Starter include analisi operative mensili e monitoraggio KPI. Non include: analisi strategica approfondita, analisi SWOT strutturata, roadmap trimestrale, financial modeling. Per accedere a questi strumenti, considera il passaggio al Piano Professional (€129/mese).</w:t>
      </w:r>
    </w:p>
    <w:p>
      <w:pPr>
        <w:spacing w:after="0" w:before="120"/>
      </w:pPr>
      <w:r>
        <w:t xml:space="preserve"/>
      </w:r>
    </w:p>
    <w:p>
      <w:pPr>
        <w:pBdr>
          <w:bottom w:val="single" w:color="D0D8E4" w:sz="6"/>
        </w:pBdr>
        <w:spacing w:after="120" w:before="120"/>
      </w:pPr>
      <w:r>
        <w:t xml:space="preserve"/>
      </w:r>
    </w:p>
    <w:p>
      <w:pPr>
        <w:pBdr>
          <w:bottom w:val="single" w:color="1F4E79" w:sz="8"/>
        </w:pBdr>
        <w:spacing w:after="120" w:before="240"/>
      </w:pPr>
      <w:r>
        <w:rPr>
          <w:rFonts w:ascii="Arial" w:cs="Arial" w:eastAsia="Arial" w:hAnsi="Arial"/>
          <w:b/>
          <w:bCs/>
          <w:color w:val="1F4E79"/>
          <w:sz w:val="36"/>
          <w:szCs w:val="36"/>
        </w:rPr>
        <w:t xml:space="preserve">Prossima Sessione — Giugno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Data report giugno</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5 Giugno 2026 (consegna automatica)</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Focus principale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Verifica risultati piano maggio · Analisi costi straordinari · Aggiornamento prospect pipeline</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KPI da monitorare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DSO &lt; 45gg · Straordinari &lt; €7.000 · Almeno 1 nuovo contratto firmato</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Azione K2-AI</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Invio questionario aggiornamento il 30 maggio — rispondere entro 48h</w:t>
            </w:r>
          </w:p>
        </w:tc>
      </w:tr>
    </w:tbl>
    <w:p>
      <w:pPr>
        <w:spacing w:after="0" w:before="160"/>
      </w:pPr>
      <w:r>
        <w:t xml:space="preserve"/>
      </w:r>
    </w:p>
    <w:p>
      <w:r>
        <w:br w:type="page"/>
      </w:r>
    </w:p>
    <w:p>
      <w:pPr>
        <w:shd w:fill="1F4E79" w:color="auto" w:val="clear"/>
        <w:spacing w:after="0" w:before="60"/>
        <w:jc w:val="center"/>
      </w:pPr>
      <w:r>
        <w:rPr>
          <w:rFonts w:ascii="Arial" w:cs="Arial" w:eastAsia="Arial" w:hAnsi="Arial"/>
          <w:b/>
          <w:bCs/>
          <w:color w:val="FFFFFF"/>
          <w:sz w:val="56"/>
          <w:szCs w:val="56"/>
        </w:rPr>
        <w:t xml:space="preserve">K2-AI</w:t>
      </w:r>
    </w:p>
    <w:p>
      <w:pPr>
        <w:shd w:fill="1F4E79" w:color="auto" w:val="clear"/>
        <w:spacing w:after="0" w:before="0"/>
        <w:jc w:val="center"/>
      </w:pPr>
      <w:r>
        <w:rPr>
          <w:rFonts w:ascii="Arial" w:cs="Arial" w:eastAsia="Arial" w:hAnsi="Arial"/>
          <w:b/>
          <w:bCs/>
          <w:color w:val="FFFFFF"/>
          <w:sz w:val="36"/>
          <w:szCs w:val="36"/>
        </w:rPr>
        <w:t xml:space="preserve">Report Mensile Avanzato</w:t>
      </w:r>
    </w:p>
    <w:p>
      <w:pPr>
        <w:shd w:fill="1F4E79" w:color="auto" w:val="clear"/>
        <w:spacing w:after="0" w:before="0"/>
        <w:jc w:val="center"/>
      </w:pPr>
      <w:r>
        <w:rPr>
          <w:rFonts w:ascii="Arial" w:cs="Arial" w:eastAsia="Arial" w:hAnsi="Arial"/>
          <w:b/>
          <w:bCs/>
          <w:color w:val="F0B800"/>
          <w:sz w:val="32"/>
          <w:szCs w:val="32"/>
        </w:rPr>
        <w:t xml:space="preserve">€ 129 / mese</w:t>
      </w:r>
    </w:p>
    <w:p>
      <w:pPr>
        <w:shd w:fill="1F4E79" w:color="auto" w:val="clear"/>
        <w:spacing w:after="60" w:before="0"/>
        <w:jc w:val="center"/>
      </w:pPr>
      <w:r>
        <w:rPr>
          <w:rFonts w:ascii="Arial" w:cs="Arial" w:eastAsia="Arial" w:hAnsi="Arial"/>
          <w:color w:val="D0E8FF"/>
          <w:sz w:val="22"/>
          <w:szCs w:val="22"/>
        </w:rPr>
        <w:t xml:space="preserve">Report operativo + analisi strategica mensile · AI Priority Matrix</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Azienda</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Artigiana Italiana S.r.l.</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Titolare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Marco Ferretti</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Settore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Metalmeccanica — Manifatturiero</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Sede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Bergamo (BG), Lombardia</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Dipendenti</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18</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Fatturato</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€ 2.400.000 (anno precedente)</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Data Report</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Aprile 2026</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Tier K2-AI</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Professional — €129/mese</w:t>
            </w:r>
          </w:p>
        </w:tc>
      </w:tr>
    </w:tbl>
    <w:p>
      <w:pPr>
        <w:spacing w:after="0" w:before="120"/>
      </w:pPr>
      <w:r>
        <w:t xml:space="preserve"/>
      </w:r>
    </w:p>
    <w:p>
      <w:r>
        <w:br w:type="page"/>
      </w:r>
    </w:p>
    <w:p>
      <w:pPr>
        <w:pBdr>
          <w:bottom w:val="single" w:color="1F4E79" w:sz="8"/>
        </w:pBdr>
        <w:spacing w:after="120" w:before="240"/>
      </w:pPr>
      <w:r>
        <w:rPr>
          <w:rFonts w:ascii="Arial" w:cs="Arial" w:eastAsia="Arial" w:hAnsi="Arial"/>
          <w:b/>
          <w:bCs/>
          <w:color w:val="1F4E79"/>
          <w:sz w:val="36"/>
          <w:szCs w:val="36"/>
        </w:rPr>
        <w:t xml:space="preserve">Executive Summary — Aprile 2026</w:t>
      </w:r>
    </w:p>
    <w:p>
      <w:pPr>
        <w:shd w:fill="1A6B3C" w:color="auto" w:val="clear"/>
        <w:spacing w:after="60" w:before="60"/>
        <w:ind w:left="180" w:right="180"/>
      </w:pPr>
      <w:r>
        <w:rPr>
          <w:rFonts w:ascii="Arial" w:cs="Arial" w:eastAsia="Arial" w:hAnsi="Arial"/>
          <w:b/>
          <w:bCs/>
          <w:color w:val="FFFFFF"/>
          <w:sz w:val="22"/>
          <w:szCs w:val="22"/>
        </w:rPr>
        <w:t xml:space="preserve">MESE POSITIVO CON SEGNALI DI TRASFORMAZIONE — 3 PRIORITÀ STRATEGICHE IDENTIFICATE</w:t>
      </w:r>
    </w:p>
    <w:p>
      <w:pPr>
        <w:spacing w:after="0" w:before="80"/>
      </w:pPr>
      <w:r>
        <w:t xml:space="preserve"/>
      </w:r>
    </w:p>
    <w:p>
      <w:pPr>
        <w:spacing w:after="60" w:before="60"/>
        <w:jc w:val="left"/>
      </w:pPr>
      <w:r>
        <w:rPr>
          <w:rFonts w:ascii="Arial" w:cs="Arial" w:eastAsia="Arial" w:hAnsi="Arial"/>
          <w:b w:val="false"/>
          <w:bCs w:val="false"/>
          <w:color w:val="000000"/>
          <w:sz w:val="22"/>
          <w:szCs w:val="22"/>
        </w:rPr>
        <w:t xml:space="preserve">Aprile 2026 segna il quarto mese consecutivo di crescita per Artigiana Italiana S.r.l. Il fatturato ha raggiunto €204.000 (+4,2% YoY), con un miglioramento del margine lordo che sale al 31,4%. Il dato più significativo del mese è l'evoluzione qualitativa della pipeline commerciale: per la prima volta da 18 mesi, l'azienda ha in corso trattative con 3 prospect outside della propria area geografica tradizionale, segnale di una graduale apertura verso nuovi mercati.</w:t>
      </w:r>
    </w:p>
    <w:p>
      <w:pPr>
        <w:spacing w:after="60" w:before="60"/>
        <w:jc w:val="left"/>
      </w:pPr>
      <w:r>
        <w:rPr>
          <w:rFonts w:ascii="Arial" w:cs="Arial" w:eastAsia="Arial" w:hAnsi="Arial"/>
          <w:b w:val="false"/>
          <w:bCs w:val="false"/>
          <w:color w:val="000000"/>
          <w:sz w:val="22"/>
          <w:szCs w:val="22"/>
        </w:rPr>
        <w:t xml:space="preserve">L'analisi K2-AI di questo mese va oltre i KPI operativi e introduce per la prima volta una diagnosi strutturata dei 5 processi chiave aziendali. Sono stati identificati 3 gap critici che, se non affrontati entro i prossimi 2 trimestri, rischiano di limitare la capacità di crescita dell'azienda. Il piano 60 giorni include le azioni prioritarie per chiudere questi gap e posizionare l'azienda per un secondo semestre 2026 di crescita accelerata.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3126"/>
      </w:tblGrid>
      <w:tr>
        <w:tc>
          <w:tcPr>
            <w:tcW w:type="dxa" w:w="26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Area</w:t>
            </w:r>
          </w:p>
        </w:tc>
        <w:tc>
          <w:tcPr>
            <w:tcW w:type="dxa" w:w="15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Status</w:t>
            </w:r>
          </w:p>
        </w:tc>
        <w:tc>
          <w:tcPr>
            <w:tcW w:type="dxa" w:w="18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Tendenza</w:t>
            </w:r>
          </w:p>
        </w:tc>
        <w:tc>
          <w:tcPr>
            <w:tcW w:type="dxa" w:w="3126"/>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Priorità Intervento</w:t>
            </w:r>
          </w:p>
        </w:tc>
      </w:tr>
      <w:tr>
        <w:tc>
          <w:tcPr>
            <w:tcW w:type="dxa" w:w="2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Performance finanziaria</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Positiva</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In miglioramento</w:t>
            </w:r>
          </w:p>
        </w:tc>
        <w:tc>
          <w:tcPr>
            <w:tcW w:type="dxa" w:w="31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Mantenimento</w:t>
            </w:r>
          </w:p>
        </w:tc>
      </w:tr>
      <w:tr>
        <w:tc>
          <w:tcPr>
            <w:tcW w:type="dxa" w:w="2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Pipeline commerciale</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In sviluppo</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In crescita</w:t>
            </w:r>
          </w:p>
        </w:tc>
        <w:tc>
          <w:tcPr>
            <w:tcW w:type="dxa" w:w="31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Accelerazione</w:t>
            </w:r>
          </w:p>
        </w:tc>
      </w:tr>
      <w:tr>
        <w:tc>
          <w:tcPr>
            <w:tcW w:type="dxa" w:w="2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Processi operativi</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Parziali gap</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Stabile</w:t>
            </w:r>
          </w:p>
        </w:tc>
        <w:tc>
          <w:tcPr>
            <w:tcW w:type="dxa" w:w="31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Ottimizzazione</w:t>
            </w:r>
          </w:p>
        </w:tc>
      </w:tr>
      <w:tr>
        <w:tc>
          <w:tcPr>
            <w:tcW w:type="dxa" w:w="2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Digitalizzazione</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Ritardo</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In peggioramento</w:t>
            </w:r>
          </w:p>
        </w:tc>
        <w:tc>
          <w:tcPr>
            <w:tcW w:type="dxa" w:w="31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Urgente</w:t>
            </w:r>
          </w:p>
        </w:tc>
      </w:tr>
      <w:tr>
        <w:tc>
          <w:tcPr>
            <w:tcW w:type="dxa" w:w="2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Capitale umano</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Attenzione</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Stabile</w:t>
            </w:r>
          </w:p>
        </w:tc>
        <w:tc>
          <w:tcPr>
            <w:tcW w:type="dxa" w:w="31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Sviluppo</w:t>
            </w:r>
          </w:p>
        </w:tc>
      </w:tr>
    </w:tbl>
    <w:p>
      <w:r>
        <w:br w:type="page"/>
      </w:r>
    </w:p>
    <w:p>
      <w:pPr>
        <w:pBdr>
          <w:bottom w:val="single" w:color="1F4E79" w:sz="8"/>
        </w:pBdr>
        <w:spacing w:after="120" w:before="240"/>
      </w:pPr>
      <w:r>
        <w:rPr>
          <w:rFonts w:ascii="Arial" w:cs="Arial" w:eastAsia="Arial" w:hAnsi="Arial"/>
          <w:b/>
          <w:bCs/>
          <w:color w:val="1F4E79"/>
          <w:sz w:val="36"/>
          <w:szCs w:val="36"/>
        </w:rPr>
        <w:t xml:space="preserve">Diagnosi Processi Chiave</w:t>
      </w:r>
    </w:p>
    <w:p>
      <w:pPr>
        <w:spacing w:after="60" w:before="60"/>
        <w:jc w:val="left"/>
      </w:pPr>
      <w:r>
        <w:rPr>
          <w:rFonts w:ascii="Arial" w:cs="Arial" w:eastAsia="Arial" w:hAnsi="Arial"/>
          <w:b w:val="false"/>
          <w:bCs w:val="false"/>
          <w:color w:val="000000"/>
          <w:sz w:val="22"/>
          <w:szCs w:val="22"/>
        </w:rPr>
        <w:t xml:space="preserve">K2-AI ha analizzato 5 processi chiave sulla base delle informazioni fornite nel questionario mensile e delle metriche raccolte. Per ciascun processo è stato assegnato un livello di maturità (1-5) e identificati i gap principali.</w:t>
      </w:r>
    </w:p>
    <w:p>
      <w:pPr>
        <w:spacing w:after="0" w:before="80"/>
      </w:pPr>
      <w:r>
        <w:t xml:space="preserve"/>
      </w:r>
    </w:p>
    <w:p>
      <w:pPr>
        <w:spacing w:after="60" w:before="160"/>
      </w:pPr>
      <w:r>
        <w:rPr>
          <w:rFonts w:ascii="Arial" w:cs="Arial" w:eastAsia="Arial" w:hAnsi="Arial"/>
          <w:b/>
          <w:bCs/>
          <w:color w:val="1F4E79"/>
          <w:sz w:val="24"/>
          <w:szCs w:val="24"/>
        </w:rPr>
        <w:t xml:space="preserve">Processo 1 — Acquisizione Clienti (Maturità: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0D8E4" w:sz="4"/>
              <w:left w:val="single" w:color="D0D8E4" w:sz="4"/>
              <w:bottom w:val="single" w:color="D0D8E4" w:sz="4"/>
              <w:right w:val="single" w:color="D0D8E4" w:sz="4"/>
            </w:tcBorders>
            <w:shd w:fill="FFE8E8" w:color="auto" w:val="clear"/>
            <w:tcMar>
              <w:top w:type="dxa" w:w="80"/>
              <w:left w:type="dxa" w:w="160"/>
              <w:bottom w:type="dxa" w:w="80"/>
              <w:right w:type="dxa" w:w="160"/>
            </w:tcMar>
            <w:vAlign w:val="top"/>
          </w:tcPr>
          <w:p>
            <w:r>
              <w:rPr>
                <w:rFonts w:ascii="Arial" w:cs="Arial" w:eastAsia="Arial" w:hAnsi="Arial"/>
                <w:b/>
                <w:bCs/>
                <w:sz w:val="22"/>
                <w:szCs w:val="22"/>
              </w:rPr>
              <w:t xml:space="preserve">Descrizione</w:t>
            </w:r>
          </w:p>
        </w:tc>
        <w:tc>
          <w:tcPr>
            <w:tcW w:type="dxa" w:w="6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Il processo di acquisizione clienti si basa prevalentemente su referral passivi e relazioni dirette del titolare. Non esiste un processo strutturato di prospecting, qualificazione e follow-up.</w:t>
            </w:r>
          </w:p>
        </w:tc>
      </w:tr>
      <w:tr>
        <w:tc>
          <w:tcPr>
            <w:tcW w:type="dxa" w:w="2500"/>
            <w:tcBorders>
              <w:top w:val="single" w:color="D0D8E4" w:sz="4"/>
              <w:left w:val="single" w:color="D0D8E4" w:sz="4"/>
              <w:bottom w:val="single" w:color="D0D8E4" w:sz="4"/>
              <w:right w:val="single" w:color="D0D8E4" w:sz="4"/>
            </w:tcBorders>
            <w:shd w:fill="FFE8E8" w:color="auto" w:val="clear"/>
            <w:tcMar>
              <w:top w:type="dxa" w:w="80"/>
              <w:left w:type="dxa" w:w="160"/>
              <w:bottom w:type="dxa" w:w="80"/>
              <w:right w:type="dxa" w:w="160"/>
            </w:tcMar>
            <w:vAlign w:val="top"/>
          </w:tcPr>
          <w:p>
            <w:r>
              <w:rPr>
                <w:rFonts w:ascii="Arial" w:cs="Arial" w:eastAsia="Arial" w:hAnsi="Arial"/>
                <w:b/>
                <w:bCs/>
                <w:sz w:val="22"/>
                <w:szCs w:val="22"/>
              </w:rPr>
              <w:t xml:space="preserve">Gap identificato</w:t>
            </w:r>
          </w:p>
        </w:tc>
        <w:tc>
          <w:tcPr>
            <w:tcW w:type="dxa" w:w="6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Assenza di CRM strutturato. Nessun processo di nurturing prospect. Lead time medio dal primo contatto al contratto: 45-60 giorni (benchmark: 25-30 giorni).</w:t>
            </w:r>
          </w:p>
        </w:tc>
      </w:tr>
      <w:tr>
        <w:tc>
          <w:tcPr>
            <w:tcW w:type="dxa" w:w="2500"/>
            <w:tcBorders>
              <w:top w:val="single" w:color="D0D8E4" w:sz="4"/>
              <w:left w:val="single" w:color="D0D8E4" w:sz="4"/>
              <w:bottom w:val="single" w:color="D0D8E4" w:sz="4"/>
              <w:right w:val="single" w:color="D0D8E4" w:sz="4"/>
            </w:tcBorders>
            <w:shd w:fill="FFE8E8" w:color="auto" w:val="clear"/>
            <w:tcMar>
              <w:top w:type="dxa" w:w="80"/>
              <w:left w:type="dxa" w:w="160"/>
              <w:bottom w:type="dxa" w:w="80"/>
              <w:right w:type="dxa" w:w="160"/>
            </w:tcMar>
            <w:vAlign w:val="top"/>
          </w:tcPr>
          <w:p>
            <w:r>
              <w:rPr>
                <w:rFonts w:ascii="Arial" w:cs="Arial" w:eastAsia="Arial" w:hAnsi="Arial"/>
                <w:b/>
                <w:bCs/>
                <w:sz w:val="22"/>
                <w:szCs w:val="22"/>
              </w:rPr>
              <w:t xml:space="preserve">Impatto sul business</w:t>
            </w:r>
          </w:p>
        </w:tc>
        <w:tc>
          <w:tcPr>
            <w:tcW w:type="dxa" w:w="6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Fatturato potenziale non catturato stimato: €180.000-240.000 annui. Dipendenza eccessiva dal titolare per la chiusura delle vendite.</w:t>
            </w:r>
          </w:p>
        </w:tc>
      </w:tr>
      <w:tr>
        <w:tc>
          <w:tcPr>
            <w:tcW w:type="dxa" w:w="2500"/>
            <w:tcBorders>
              <w:top w:val="single" w:color="D0D8E4" w:sz="4"/>
              <w:left w:val="single" w:color="D0D8E4" w:sz="4"/>
              <w:bottom w:val="single" w:color="D0D8E4" w:sz="4"/>
              <w:right w:val="single" w:color="D0D8E4" w:sz="4"/>
            </w:tcBorders>
            <w:shd w:fill="FFE8E8" w:color="auto" w:val="clear"/>
            <w:tcMar>
              <w:top w:type="dxa" w:w="80"/>
              <w:left w:type="dxa" w:w="160"/>
              <w:bottom w:type="dxa" w:w="80"/>
              <w:right w:type="dxa" w:w="160"/>
            </w:tcMar>
            <w:vAlign w:val="top"/>
          </w:tcPr>
          <w:p>
            <w:r>
              <w:rPr>
                <w:rFonts w:ascii="Arial" w:cs="Arial" w:eastAsia="Arial" w:hAnsi="Arial"/>
                <w:b/>
                <w:bCs/>
                <w:sz w:val="22"/>
                <w:szCs w:val="22"/>
              </w:rPr>
              <w:t xml:space="preserve">Azione raccomandata</w:t>
            </w:r>
          </w:p>
        </w:tc>
        <w:tc>
          <w:tcPr>
            <w:tcW w:type="dxa" w:w="6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Implementare processo di vendita in 5 fasi con CRM. Training commerciale per 1 risorsa dedicata. Obiettivo: ridurre lead time a 30 giorni entro Q3 2026.</w:t>
            </w:r>
          </w:p>
        </w:tc>
      </w:tr>
    </w:tbl>
    <w:p>
      <w:pPr>
        <w:spacing w:after="0" w:before="100"/>
      </w:pPr>
      <w:r>
        <w:t xml:space="preserve"/>
      </w:r>
    </w:p>
    <w:p>
      <w:pPr>
        <w:spacing w:after="60" w:before="160"/>
      </w:pPr>
      <w:r>
        <w:rPr>
          <w:rFonts w:ascii="Arial" w:cs="Arial" w:eastAsia="Arial" w:hAnsi="Arial"/>
          <w:b/>
          <w:bCs/>
          <w:color w:val="1F4E79"/>
          <w:sz w:val="24"/>
          <w:szCs w:val="24"/>
        </w:rPr>
        <w:t xml:space="preserve">Processo 2 — Produzione &amp; Qualità (Maturità: 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0D8E4" w:sz="4"/>
              <w:left w:val="single" w:color="D0D8E4" w:sz="4"/>
              <w:bottom w:val="single" w:color="D0D8E4" w:sz="4"/>
              <w:right w:val="single" w:color="D0D8E4" w:sz="4"/>
            </w:tcBorders>
            <w:shd w:fill="FFF8E0" w:color="auto" w:val="clear"/>
            <w:tcMar>
              <w:top w:type="dxa" w:w="80"/>
              <w:left w:type="dxa" w:w="160"/>
              <w:bottom w:type="dxa" w:w="80"/>
              <w:right w:type="dxa" w:w="160"/>
            </w:tcMar>
            <w:vAlign w:val="top"/>
          </w:tcPr>
          <w:p>
            <w:r>
              <w:rPr>
                <w:rFonts w:ascii="Arial" w:cs="Arial" w:eastAsia="Arial" w:hAnsi="Arial"/>
                <w:b/>
                <w:bCs/>
                <w:sz w:val="22"/>
                <w:szCs w:val="22"/>
              </w:rPr>
              <w:t xml:space="preserve">Descrizione</w:t>
            </w:r>
          </w:p>
        </w:tc>
        <w:tc>
          <w:tcPr>
            <w:tcW w:type="dxa" w:w="6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Il processo produttivo è consolidato con buona affidabilità operativa. Il responsabile di produzione ha implementato negli ultimi 2 anni procedure standard per i lotti più critici.</w:t>
            </w:r>
          </w:p>
        </w:tc>
      </w:tr>
      <w:tr>
        <w:tc>
          <w:tcPr>
            <w:tcW w:type="dxa" w:w="2500"/>
            <w:tcBorders>
              <w:top w:val="single" w:color="D0D8E4" w:sz="4"/>
              <w:left w:val="single" w:color="D0D8E4" w:sz="4"/>
              <w:bottom w:val="single" w:color="D0D8E4" w:sz="4"/>
              <w:right w:val="single" w:color="D0D8E4" w:sz="4"/>
            </w:tcBorders>
            <w:shd w:fill="FFF8E0" w:color="auto" w:val="clear"/>
            <w:tcMar>
              <w:top w:type="dxa" w:w="80"/>
              <w:left w:type="dxa" w:w="160"/>
              <w:bottom w:type="dxa" w:w="80"/>
              <w:right w:type="dxa" w:w="160"/>
            </w:tcMar>
            <w:vAlign w:val="top"/>
          </w:tcPr>
          <w:p>
            <w:r>
              <w:rPr>
                <w:rFonts w:ascii="Arial" w:cs="Arial" w:eastAsia="Arial" w:hAnsi="Arial"/>
                <w:b/>
                <w:bCs/>
                <w:sz w:val="22"/>
                <w:szCs w:val="22"/>
              </w:rPr>
              <w:t xml:space="preserve">Gap identificato</w:t>
            </w:r>
          </w:p>
        </w:tc>
        <w:tc>
          <w:tcPr>
            <w:tcW w:type="dxa" w:w="6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Tracciabilità parziale dei costi per commessa. Assenza di sistema di quality control digitalizzato. Scarti stimati al 3,8% (benchmark settore: 2,1%).</w:t>
            </w:r>
          </w:p>
        </w:tc>
      </w:tr>
      <w:tr>
        <w:tc>
          <w:tcPr>
            <w:tcW w:type="dxa" w:w="2500"/>
            <w:tcBorders>
              <w:top w:val="single" w:color="D0D8E4" w:sz="4"/>
              <w:left w:val="single" w:color="D0D8E4" w:sz="4"/>
              <w:bottom w:val="single" w:color="D0D8E4" w:sz="4"/>
              <w:right w:val="single" w:color="D0D8E4" w:sz="4"/>
            </w:tcBorders>
            <w:shd w:fill="FFF8E0" w:color="auto" w:val="clear"/>
            <w:tcMar>
              <w:top w:type="dxa" w:w="80"/>
              <w:left w:type="dxa" w:w="160"/>
              <w:bottom w:type="dxa" w:w="80"/>
              <w:right w:type="dxa" w:w="160"/>
            </w:tcMar>
            <w:vAlign w:val="top"/>
          </w:tcPr>
          <w:p>
            <w:r>
              <w:rPr>
                <w:rFonts w:ascii="Arial" w:cs="Arial" w:eastAsia="Arial" w:hAnsi="Arial"/>
                <w:b/>
                <w:bCs/>
                <w:sz w:val="22"/>
                <w:szCs w:val="22"/>
              </w:rPr>
              <w:t xml:space="preserve">Impatto sul business</w:t>
            </w:r>
          </w:p>
        </w:tc>
        <w:tc>
          <w:tcPr>
            <w:tcW w:type="dxa" w:w="6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Costi di non qualità stimati: €18.000-25.000 annui. Rischio di contestazioni da clienti con standard qualità elevati (automotive, healthcare adjacent).</w:t>
            </w:r>
          </w:p>
        </w:tc>
      </w:tr>
      <w:tr>
        <w:tc>
          <w:tcPr>
            <w:tcW w:type="dxa" w:w="2500"/>
            <w:tcBorders>
              <w:top w:val="single" w:color="D0D8E4" w:sz="4"/>
              <w:left w:val="single" w:color="D0D8E4" w:sz="4"/>
              <w:bottom w:val="single" w:color="D0D8E4" w:sz="4"/>
              <w:right w:val="single" w:color="D0D8E4" w:sz="4"/>
            </w:tcBorders>
            <w:shd w:fill="FFF8E0" w:color="auto" w:val="clear"/>
            <w:tcMar>
              <w:top w:type="dxa" w:w="80"/>
              <w:left w:type="dxa" w:w="160"/>
              <w:bottom w:type="dxa" w:w="80"/>
              <w:right w:type="dxa" w:w="160"/>
            </w:tcMar>
            <w:vAlign w:val="top"/>
          </w:tcPr>
          <w:p>
            <w:r>
              <w:rPr>
                <w:rFonts w:ascii="Arial" w:cs="Arial" w:eastAsia="Arial" w:hAnsi="Arial"/>
                <w:b/>
                <w:bCs/>
                <w:sz w:val="22"/>
                <w:szCs w:val="22"/>
              </w:rPr>
              <w:t xml:space="preserve">Azione raccomandata</w:t>
            </w:r>
          </w:p>
        </w:tc>
        <w:tc>
          <w:tcPr>
            <w:tcW w:type="dxa" w:w="6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Implementare sistema di tracking commessa con costi in tempo reale. Avviare percorso certificazione ISO 9001 (già pianificato). Ridurre scarti al 2,5% entro fine anno.</w:t>
            </w:r>
          </w:p>
        </w:tc>
      </w:tr>
    </w:tbl>
    <w:p>
      <w:pPr>
        <w:spacing w:after="0" w:before="100"/>
      </w:pPr>
      <w:r>
        <w:t xml:space="preserve"/>
      </w:r>
    </w:p>
    <w:p>
      <w:pPr>
        <w:spacing w:after="60" w:before="160"/>
      </w:pPr>
      <w:r>
        <w:rPr>
          <w:rFonts w:ascii="Arial" w:cs="Arial" w:eastAsia="Arial" w:hAnsi="Arial"/>
          <w:b/>
          <w:bCs/>
          <w:color w:val="1F4E79"/>
          <w:sz w:val="24"/>
          <w:szCs w:val="24"/>
        </w:rPr>
        <w:t xml:space="preserve">Processo 3 — Gestione Finanziaria (Maturità: 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0D8E4" w:sz="4"/>
              <w:left w:val="single" w:color="D0D8E4" w:sz="4"/>
              <w:bottom w:val="single" w:color="D0D8E4" w:sz="4"/>
              <w:right w:val="single" w:color="D0D8E4" w:sz="4"/>
            </w:tcBorders>
            <w:shd w:fill="FFF8E0" w:color="auto" w:val="clear"/>
            <w:tcMar>
              <w:top w:type="dxa" w:w="80"/>
              <w:left w:type="dxa" w:w="160"/>
              <w:bottom w:type="dxa" w:w="80"/>
              <w:right w:type="dxa" w:w="160"/>
            </w:tcMar>
            <w:vAlign w:val="top"/>
          </w:tcPr>
          <w:p>
            <w:r>
              <w:rPr>
                <w:rFonts w:ascii="Arial" w:cs="Arial" w:eastAsia="Arial" w:hAnsi="Arial"/>
                <w:b/>
                <w:bCs/>
                <w:sz w:val="22"/>
                <w:szCs w:val="22"/>
              </w:rPr>
              <w:t xml:space="preserve">Descrizione</w:t>
            </w:r>
          </w:p>
        </w:tc>
        <w:tc>
          <w:tcPr>
            <w:tcW w:type="dxa" w:w="6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La gestione finanziaria è gestita principalmente dal commercialista con reporting trimestrale. Il titolare monitora il conto corrente manualmente senza un sistema di cash flow previsionale.</w:t>
            </w:r>
          </w:p>
        </w:tc>
      </w:tr>
      <w:tr>
        <w:tc>
          <w:tcPr>
            <w:tcW w:type="dxa" w:w="2500"/>
            <w:tcBorders>
              <w:top w:val="single" w:color="D0D8E4" w:sz="4"/>
              <w:left w:val="single" w:color="D0D8E4" w:sz="4"/>
              <w:bottom w:val="single" w:color="D0D8E4" w:sz="4"/>
              <w:right w:val="single" w:color="D0D8E4" w:sz="4"/>
            </w:tcBorders>
            <w:shd w:fill="FFF8E0" w:color="auto" w:val="clear"/>
            <w:tcMar>
              <w:top w:type="dxa" w:w="80"/>
              <w:left w:type="dxa" w:w="160"/>
              <w:bottom w:type="dxa" w:w="80"/>
              <w:right w:type="dxa" w:w="160"/>
            </w:tcMar>
            <w:vAlign w:val="top"/>
          </w:tcPr>
          <w:p>
            <w:r>
              <w:rPr>
                <w:rFonts w:ascii="Arial" w:cs="Arial" w:eastAsia="Arial" w:hAnsi="Arial"/>
                <w:b/>
                <w:bCs/>
                <w:sz w:val="22"/>
                <w:szCs w:val="22"/>
              </w:rPr>
              <w:t xml:space="preserve">Gap identificato</w:t>
            </w:r>
          </w:p>
        </w:tc>
        <w:tc>
          <w:tcPr>
            <w:tcW w:type="dxa" w:w="6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Assenza di budget mensile formale. Nessun modello di cash flow a 12 mesi. DSO a 52 giorni (target 45). Debiti fornitori gestiti senza ottimizzazione scadenze.</w:t>
            </w:r>
          </w:p>
        </w:tc>
      </w:tr>
      <w:tr>
        <w:tc>
          <w:tcPr>
            <w:tcW w:type="dxa" w:w="2500"/>
            <w:tcBorders>
              <w:top w:val="single" w:color="D0D8E4" w:sz="4"/>
              <w:left w:val="single" w:color="D0D8E4" w:sz="4"/>
              <w:bottom w:val="single" w:color="D0D8E4" w:sz="4"/>
              <w:right w:val="single" w:color="D0D8E4" w:sz="4"/>
            </w:tcBorders>
            <w:shd w:fill="FFF8E0" w:color="auto" w:val="clear"/>
            <w:tcMar>
              <w:top w:type="dxa" w:w="80"/>
              <w:left w:type="dxa" w:w="160"/>
              <w:bottom w:type="dxa" w:w="80"/>
              <w:right w:type="dxa" w:w="160"/>
            </w:tcMar>
            <w:vAlign w:val="top"/>
          </w:tcPr>
          <w:p>
            <w:r>
              <w:rPr>
                <w:rFonts w:ascii="Arial" w:cs="Arial" w:eastAsia="Arial" w:hAnsi="Arial"/>
                <w:b/>
                <w:bCs/>
                <w:sz w:val="22"/>
                <w:szCs w:val="22"/>
              </w:rPr>
              <w:t xml:space="preserve">Impatto sul business</w:t>
            </w:r>
          </w:p>
        </w:tc>
        <w:tc>
          <w:tcPr>
            <w:tcW w:type="dxa" w:w="6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Rischio di tensioni di liquidità non preventivate. Costo opportunità su ottimizzazione pagamenti stimato: €8.000-12.000 annui.</w:t>
            </w:r>
          </w:p>
        </w:tc>
      </w:tr>
      <w:tr>
        <w:tc>
          <w:tcPr>
            <w:tcW w:type="dxa" w:w="2500"/>
            <w:tcBorders>
              <w:top w:val="single" w:color="D0D8E4" w:sz="4"/>
              <w:left w:val="single" w:color="D0D8E4" w:sz="4"/>
              <w:bottom w:val="single" w:color="D0D8E4" w:sz="4"/>
              <w:right w:val="single" w:color="D0D8E4" w:sz="4"/>
            </w:tcBorders>
            <w:shd w:fill="FFF8E0" w:color="auto" w:val="clear"/>
            <w:tcMar>
              <w:top w:type="dxa" w:w="80"/>
              <w:left w:type="dxa" w:w="160"/>
              <w:bottom w:type="dxa" w:w="80"/>
              <w:right w:type="dxa" w:w="160"/>
            </w:tcMar>
            <w:vAlign w:val="top"/>
          </w:tcPr>
          <w:p>
            <w:r>
              <w:rPr>
                <w:rFonts w:ascii="Arial" w:cs="Arial" w:eastAsia="Arial" w:hAnsi="Arial"/>
                <w:b/>
                <w:bCs/>
                <w:sz w:val="22"/>
                <w:szCs w:val="22"/>
              </w:rPr>
              <w:t xml:space="preserve">Azione raccomandata</w:t>
            </w:r>
          </w:p>
        </w:tc>
        <w:tc>
          <w:tcPr>
            <w:tcW w:type="dxa" w:w="6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Implementare modello Excel di cash flow mensile (template K2-AI fornito). Revisione condizioni pagamento con top 5 fornitori. Obiettivo DSO: 45 giorni entro Q3 2026.</w:t>
            </w:r>
          </w:p>
        </w:tc>
      </w:tr>
    </w:tbl>
    <w:p>
      <w:r>
        <w:br w:type="page"/>
      </w:r>
    </w:p>
    <w:p>
      <w:pPr>
        <w:pBdr>
          <w:bottom w:val="single" w:color="1F4E79" w:sz="8"/>
        </w:pBdr>
        <w:spacing w:after="120" w:before="240"/>
      </w:pPr>
      <w:r>
        <w:rPr>
          <w:rFonts w:ascii="Arial" w:cs="Arial" w:eastAsia="Arial" w:hAnsi="Arial"/>
          <w:b/>
          <w:bCs/>
          <w:color w:val="1F4E79"/>
          <w:sz w:val="36"/>
          <w:szCs w:val="36"/>
        </w:rPr>
        <w:t xml:space="preserve">Gap Analysis vs. Benchmark di Settore</w:t>
      </w:r>
    </w:p>
    <w:p>
      <w:pPr>
        <w:spacing w:after="60" w:before="60"/>
        <w:jc w:val="left"/>
      </w:pPr>
      <w:r>
        <w:rPr>
          <w:rFonts w:ascii="Arial" w:cs="Arial" w:eastAsia="Arial" w:hAnsi="Arial"/>
          <w:b w:val="false"/>
          <w:bCs w:val="false"/>
          <w:color w:val="000000"/>
          <w:sz w:val="22"/>
          <w:szCs w:val="22"/>
        </w:rPr>
        <w:t xml:space="preserve">La seguente analisi confronta Artigiana Italiana S.r.l. con il benchmark delle PMI manifatturiere italiane simili per dimensione (15-25 dipendenti) e settore (lavorazione metalli). I dati di benchmark sono elaborati da K2-AI su base dati Cerved, ISTAT e survey proprietaria (n=847 aziende).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800"/>
        <w:gridCol w:w="1700"/>
        <w:gridCol w:w="1026"/>
      </w:tblGrid>
      <w:tr>
        <w:tc>
          <w:tcPr>
            <w:tcW w:type="dxa" w:w="27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Indicatore</w:t>
            </w:r>
          </w:p>
        </w:tc>
        <w:tc>
          <w:tcPr>
            <w:tcW w:type="dxa" w:w="18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Artigiana Italiana</w:t>
            </w:r>
          </w:p>
        </w:tc>
        <w:tc>
          <w:tcPr>
            <w:tcW w:type="dxa" w:w="18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Benchmark Mediana</w:t>
            </w:r>
          </w:p>
        </w:tc>
        <w:tc>
          <w:tcPr>
            <w:tcW w:type="dxa" w:w="17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Benchmark Top 25%</w:t>
            </w:r>
          </w:p>
        </w:tc>
        <w:tc>
          <w:tcPr>
            <w:tcW w:type="dxa" w:w="1026"/>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Gap vs. Mediana</w:t>
            </w:r>
          </w:p>
        </w:tc>
      </w:tr>
      <w:tr>
        <w:tc>
          <w:tcPr>
            <w:tcW w:type="dxa" w:w="2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Fatturato/dipendente</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€ 133.333</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€ 118.000</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€ 162.000</w:t>
            </w:r>
          </w:p>
        </w:tc>
        <w:tc>
          <w:tcPr>
            <w:tcW w:type="dxa" w:w="1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+€ 15.333 ↗</w:t>
            </w:r>
          </w:p>
        </w:tc>
      </w:tr>
      <w:tr>
        <w:tc>
          <w:tcPr>
            <w:tcW w:type="dxa" w:w="2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EBITDA margin %</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7,0%</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8,2%</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13,5%</w:t>
            </w:r>
          </w:p>
        </w:tc>
        <w:tc>
          <w:tcPr>
            <w:tcW w:type="dxa" w:w="1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-1,2 pp ↘</w:t>
            </w:r>
          </w:p>
        </w:tc>
      </w:tr>
      <w:tr>
        <w:tc>
          <w:tcPr>
            <w:tcW w:type="dxa" w:w="2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DSO (giorni incasso)</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52 gg</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47 gg</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35 gg</w:t>
            </w:r>
          </w:p>
        </w:tc>
        <w:tc>
          <w:tcPr>
            <w:tcW w:type="dxa" w:w="1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-5 gg ↘</w:t>
            </w:r>
          </w:p>
        </w:tc>
      </w:tr>
      <w:tr>
        <w:tc>
          <w:tcPr>
            <w:tcW w:type="dxa" w:w="2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DPO (giorni pag. forn.)</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38 gg</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42 gg</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55 gg</w:t>
            </w:r>
          </w:p>
        </w:tc>
        <w:tc>
          <w:tcPr>
            <w:tcW w:type="dxa" w:w="1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 gg ↗</w:t>
            </w:r>
          </w:p>
        </w:tc>
      </w:tr>
      <w:tr>
        <w:tc>
          <w:tcPr>
            <w:tcW w:type="dxa" w:w="2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Ore formazione/anno</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12 h</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18 h</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32 h</w:t>
            </w:r>
          </w:p>
        </w:tc>
        <w:tc>
          <w:tcPr>
            <w:tcW w:type="dxa" w:w="1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-6 h ↘</w:t>
            </w:r>
          </w:p>
        </w:tc>
      </w:tr>
      <w:tr>
        <w:tc>
          <w:tcPr>
            <w:tcW w:type="dxa" w:w="2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Tasso digitalizzazione</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28%</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41%</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67%</w:t>
            </w:r>
          </w:p>
        </w:tc>
        <w:tc>
          <w:tcPr>
            <w:tcW w:type="dxa" w:w="1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-13 pp ↘</w:t>
            </w:r>
          </w:p>
        </w:tc>
      </w:tr>
      <w:tr>
        <w:tc>
          <w:tcPr>
            <w:tcW w:type="dxa" w:w="2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N° certificazioni qualità</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0</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1,2</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2,8</w:t>
            </w:r>
          </w:p>
        </w:tc>
        <w:tc>
          <w:tcPr>
            <w:tcW w:type="dxa" w:w="1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-1,2 ↘</w:t>
            </w:r>
          </w:p>
        </w:tc>
      </w:tr>
      <w:tr>
        <w:tc>
          <w:tcPr>
            <w:tcW w:type="dxa" w:w="2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fatturato export</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0%</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8%</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22%</w:t>
            </w:r>
          </w:p>
        </w:tc>
        <w:tc>
          <w:tcPr>
            <w:tcW w:type="dxa" w:w="1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-8 pp</w:t>
            </w:r>
          </w:p>
        </w:tc>
      </w:tr>
    </w:tbl>
    <w:p>
      <w:pPr>
        <w:spacing w:after="0" w:before="100"/>
      </w:pPr>
      <w:r>
        <w:t xml:space="preserve"/>
      </w:r>
    </w:p>
    <w:p>
      <w:pPr>
        <w:spacing w:after="60" w:before="60"/>
        <w:jc w:val="left"/>
      </w:pPr>
      <w:r>
        <w:rPr>
          <w:rFonts w:ascii="Arial" w:cs="Arial" w:eastAsia="Arial" w:hAnsi="Arial"/>
          <w:b w:val="false"/>
          <w:bCs w:val="false"/>
          <w:color w:val="000000"/>
          <w:sz w:val="22"/>
          <w:szCs w:val="22"/>
        </w:rPr>
        <w:t xml:space="preserve">Il confronto evidenzia che Artigiana Italiana S.r.l. supera la mediana sulla produttività per dipendente (un indicatore di efficienza operativa apprezzabile), ma registra un ritardo significativo su marginalità, digitalizzazione e sviluppo del capitale umano. Il gap sulla marginalità (EBITDA -1,2 pp) equivale a circa €29.000 di utile mancato all'anno.</w:t>
      </w:r>
    </w:p>
    <w:p>
      <w:r>
        <w:br w:type="page"/>
      </w:r>
    </w:p>
    <w:p>
      <w:pPr>
        <w:pBdr>
          <w:bottom w:val="single" w:color="1F4E79" w:sz="8"/>
        </w:pBdr>
        <w:spacing w:after="120" w:before="240"/>
      </w:pPr>
      <w:r>
        <w:rPr>
          <w:rFonts w:ascii="Arial" w:cs="Arial" w:eastAsia="Arial" w:hAnsi="Arial"/>
          <w:b/>
          <w:bCs/>
          <w:color w:val="1F4E79"/>
          <w:sz w:val="36"/>
          <w:szCs w:val="36"/>
        </w:rPr>
        <w:t xml:space="preserve">AI Priority Matrix — Aprile 2026</w:t>
      </w:r>
    </w:p>
    <w:p>
      <w:pPr>
        <w:spacing w:after="60" w:before="60"/>
        <w:jc w:val="left"/>
      </w:pPr>
      <w:r>
        <w:rPr>
          <w:rFonts w:ascii="Arial" w:cs="Arial" w:eastAsia="Arial" w:hAnsi="Arial"/>
          <w:b w:val="false"/>
          <w:bCs w:val="false"/>
          <w:color w:val="000000"/>
          <w:sz w:val="22"/>
          <w:szCs w:val="22"/>
        </w:rPr>
        <w:t xml:space="preserve">La AI Priority Matrix K2-AI sintetizza tutte le azioni identificate e le posiziona su due assi: Impatto Economico Atteso e Facilità di Implementazione. Questo permette di identificare le "quick wins" (alto impatto, facile implementazione) e le "sfide strategiche" (alto impatto, difficile implementazione).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000"/>
        <w:gridCol w:w="1200"/>
        <w:gridCol w:w="1226"/>
      </w:tblGrid>
      <w:tr>
        <w:tc>
          <w:tcPr>
            <w:tcW w:type="dxa" w:w="28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Azione</w:t>
            </w:r>
          </w:p>
        </w:tc>
        <w:tc>
          <w:tcPr>
            <w:tcW w:type="dxa" w:w="18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Impatto Economico</w:t>
            </w:r>
          </w:p>
        </w:tc>
        <w:tc>
          <w:tcPr>
            <w:tcW w:type="dxa" w:w="10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Facilità</w:t>
            </w:r>
          </w:p>
        </w:tc>
        <w:tc>
          <w:tcPr>
            <w:tcW w:type="dxa" w:w="12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Priorità</w:t>
            </w:r>
          </w:p>
        </w:tc>
        <w:tc>
          <w:tcPr>
            <w:tcW w:type="dxa" w:w="1226"/>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Orizzonte</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Riduzione DSO da 52 a 45 giorni</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€25.000 liquidità</w:t>
            </w:r>
          </w:p>
        </w:tc>
        <w:tc>
          <w:tcPr>
            <w:tcW w:type="dxa" w:w="1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Alta</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Top 1</w:t>
            </w:r>
          </w:p>
        </w:tc>
        <w:tc>
          <w:tcPr>
            <w:tcW w:type="dxa" w:w="12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30 giorni</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Implementazione CRM commerciale</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€80.000 fatturato/anno</w:t>
            </w:r>
          </w:p>
        </w:tc>
        <w:tc>
          <w:tcPr>
            <w:tcW w:type="dxa" w:w="1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Media</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Top 2</w:t>
            </w:r>
          </w:p>
        </w:tc>
        <w:tc>
          <w:tcPr>
            <w:tcW w:type="dxa" w:w="12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60 giorni</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Riduzione scarti produzione 3,8%→2,5%</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€18.000 margine/anno</w:t>
            </w:r>
          </w:p>
        </w:tc>
        <w:tc>
          <w:tcPr>
            <w:tcW w:type="dxa" w:w="1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Media</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Top 3</w:t>
            </w:r>
          </w:p>
        </w:tc>
        <w:tc>
          <w:tcPr>
            <w:tcW w:type="dxa" w:w="12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90 giorni</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Avvio ISO 9001</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+€35.000 nuovi mercati potenziali</w:t>
            </w:r>
          </w:p>
        </w:tc>
        <w:tc>
          <w:tcPr>
            <w:tcW w:type="dxa" w:w="1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Bassa</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Medio</w:t>
            </w:r>
          </w:p>
        </w:tc>
        <w:tc>
          <w:tcPr>
            <w:tcW w:type="dxa" w:w="12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6 mesi</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LinkedIn content marketing</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+€45.000 pipeline potenziale</w:t>
            </w:r>
          </w:p>
        </w:tc>
        <w:tc>
          <w:tcPr>
            <w:tcW w:type="dxa" w:w="1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Alta</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Medio</w:t>
            </w:r>
          </w:p>
        </w:tc>
        <w:tc>
          <w:tcPr>
            <w:tcW w:type="dxa" w:w="12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60 giorni</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Export — primo cliente estero</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+€120.000 fatturato potenziale</w:t>
            </w:r>
          </w:p>
        </w:tc>
        <w:tc>
          <w:tcPr>
            <w:tcW w:type="dxa" w:w="1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Bassa</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Lungo</w:t>
            </w:r>
          </w:p>
        </w:tc>
        <w:tc>
          <w:tcPr>
            <w:tcW w:type="dxa" w:w="12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12 mesi</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Formazione lean manufacturing</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+€12.000 efficienza</w:t>
            </w:r>
          </w:p>
        </w:tc>
        <w:tc>
          <w:tcPr>
            <w:tcW w:type="dxa" w:w="1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Alta</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Basso</w:t>
            </w:r>
          </w:p>
        </w:tc>
        <w:tc>
          <w:tcPr>
            <w:tcW w:type="dxa" w:w="12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30 giorni</w:t>
            </w:r>
          </w:p>
        </w:tc>
      </w:tr>
    </w:tbl>
    <w:p>
      <w:r>
        <w:br w:type="page"/>
      </w:r>
    </w:p>
    <w:p>
      <w:pPr>
        <w:pBdr>
          <w:bottom w:val="single" w:color="1F4E79" w:sz="8"/>
        </w:pBdr>
        <w:spacing w:after="120" w:before="240"/>
      </w:pPr>
      <w:r>
        <w:rPr>
          <w:rFonts w:ascii="Arial" w:cs="Arial" w:eastAsia="Arial" w:hAnsi="Arial"/>
          <w:b/>
          <w:bCs/>
          <w:color w:val="1F4E79"/>
          <w:sz w:val="36"/>
          <w:szCs w:val="36"/>
        </w:rPr>
        <w:t xml:space="preserve">Piano Operativo 60 Giorni — Maggio-Giugno 2026</w:t>
      </w:r>
    </w:p>
    <w:p>
      <w:pPr>
        <w:spacing w:after="80" w:before="200"/>
      </w:pPr>
      <w:r>
        <w:rPr>
          <w:rFonts w:ascii="Arial" w:cs="Arial" w:eastAsia="Arial" w:hAnsi="Arial"/>
          <w:b/>
          <w:bCs/>
          <w:color w:val="2E75B6"/>
          <w:sz w:val="28"/>
          <w:szCs w:val="28"/>
        </w:rPr>
        <w:t xml:space="preserve">Settimane 1-2 (1-14 Maggio)</w:t>
      </w:r>
    </w:p>
    <w:p>
      <w:pPr>
        <w:pStyle w:val="ListParagraph"/>
        <w:numPr>
          <w:ilvl w:val="0"/>
          <w:numId w:val="3"/>
        </w:numPr>
        <w:spacing w:after="40" w:before="40"/>
      </w:pPr>
      <w:r>
        <w:rPr>
          <w:rFonts w:ascii="Arial" w:cs="Arial" w:eastAsia="Arial" w:hAnsi="Arial"/>
          <w:sz w:val="22"/>
          <w:szCs w:val="22"/>
        </w:rPr>
        <w:t xml:space="preserve">Avviare negoziazione condizioni pagamento con i 3 principali clienti: obiettivo ridurre DSO da 52 a 45 giorni. Script di negoziazione fornito da K2-AI.</w:t>
      </w:r>
    </w:p>
    <w:p>
      <w:pPr>
        <w:pStyle w:val="ListParagraph"/>
        <w:numPr>
          <w:ilvl w:val="0"/>
          <w:numId w:val="3"/>
        </w:numPr>
        <w:spacing w:after="40" w:before="40"/>
      </w:pPr>
      <w:r>
        <w:rPr>
          <w:rFonts w:ascii="Arial" w:cs="Arial" w:eastAsia="Arial" w:hAnsi="Arial"/>
          <w:sz w:val="22"/>
          <w:szCs w:val="22"/>
        </w:rPr>
        <w:t xml:space="preserve">Selezionare e attivare CRM cloud (valutare: HubSpot Free, Pipedrive base). K2-AI supporta nella configurazione pipeline di vendita.</w:t>
      </w:r>
    </w:p>
    <w:p>
      <w:pPr>
        <w:pStyle w:val="ListParagraph"/>
        <w:numPr>
          <w:ilvl w:val="0"/>
          <w:numId w:val="3"/>
        </w:numPr>
        <w:spacing w:after="40" w:before="40"/>
      </w:pPr>
      <w:r>
        <w:rPr>
          <w:rFonts w:ascii="Arial" w:cs="Arial" w:eastAsia="Arial" w:hAnsi="Arial"/>
          <w:sz w:val="22"/>
          <w:szCs w:val="22"/>
        </w:rPr>
        <w:t xml:space="preserve">Completare formazione operatori su nuovo processo offerte (da agenda maggio).</w:t>
      </w:r>
    </w:p>
    <w:p>
      <w:pPr>
        <w:spacing w:after="0" w:before="80"/>
      </w:pPr>
      <w:r>
        <w:t xml:space="preserve"/>
      </w:r>
    </w:p>
    <w:p>
      <w:pPr>
        <w:spacing w:after="80" w:before="200"/>
      </w:pPr>
      <w:r>
        <w:rPr>
          <w:rFonts w:ascii="Arial" w:cs="Arial" w:eastAsia="Arial" w:hAnsi="Arial"/>
          <w:b/>
          <w:bCs/>
          <w:color w:val="2E75B6"/>
          <w:sz w:val="28"/>
          <w:szCs w:val="28"/>
        </w:rPr>
        <w:t xml:space="preserve">Settimane 3-4 (15-31 Maggio)</w:t>
      </w:r>
    </w:p>
    <w:p>
      <w:pPr>
        <w:pStyle w:val="ListParagraph"/>
        <w:numPr>
          <w:ilvl w:val="0"/>
          <w:numId w:val="3"/>
        </w:numPr>
        <w:spacing w:after="40" w:before="40"/>
      </w:pPr>
      <w:r>
        <w:rPr>
          <w:rFonts w:ascii="Arial" w:cs="Arial" w:eastAsia="Arial" w:hAnsi="Arial"/>
          <w:sz w:val="22"/>
          <w:szCs w:val="22"/>
        </w:rPr>
        <w:t xml:space="preserve">Prima sessione formazione lean con responsabile produzione: mapping flusso produttivo e identificazione 3 micro-sprechi eliminabili subito.</w:t>
      </w:r>
    </w:p>
    <w:p>
      <w:pPr>
        <w:pStyle w:val="ListParagraph"/>
        <w:numPr>
          <w:ilvl w:val="0"/>
          <w:numId w:val="3"/>
        </w:numPr>
        <w:spacing w:after="40" w:before="40"/>
      </w:pPr>
      <w:r>
        <w:rPr>
          <w:rFonts w:ascii="Arial" w:cs="Arial" w:eastAsia="Arial" w:hAnsi="Arial"/>
          <w:sz w:val="22"/>
          <w:szCs w:val="22"/>
        </w:rPr>
        <w:t xml:space="preserve">Attivare LinkedIn aziendale: caricare profilo completo, pubblicare primo post sul know-how manifatturiero, invitare 50 contatti strategici.</w:t>
      </w:r>
    </w:p>
    <w:p>
      <w:pPr>
        <w:pStyle w:val="ListParagraph"/>
        <w:numPr>
          <w:ilvl w:val="0"/>
          <w:numId w:val="3"/>
        </w:numPr>
        <w:spacing w:after="40" w:before="40"/>
      </w:pPr>
      <w:r>
        <w:rPr>
          <w:rFonts w:ascii="Arial" w:cs="Arial" w:eastAsia="Arial" w:hAnsi="Arial"/>
          <w:sz w:val="22"/>
          <w:szCs w:val="22"/>
        </w:rPr>
        <w:t xml:space="preserve">Analisi costi straordinari aprile: predisporre report cause e piano preventivo.</w:t>
      </w:r>
    </w:p>
    <w:p>
      <w:pPr>
        <w:spacing w:after="0" w:before="80"/>
      </w:pPr>
      <w:r>
        <w:t xml:space="preserve"/>
      </w:r>
    </w:p>
    <w:p>
      <w:pPr>
        <w:spacing w:after="80" w:before="200"/>
      </w:pPr>
      <w:r>
        <w:rPr>
          <w:rFonts w:ascii="Arial" w:cs="Arial" w:eastAsia="Arial" w:hAnsi="Arial"/>
          <w:b/>
          <w:bCs/>
          <w:color w:val="2E75B6"/>
          <w:sz w:val="28"/>
          <w:szCs w:val="28"/>
        </w:rPr>
        <w:t xml:space="preserve">Settimane 5-8 (1-30 Giugno)</w:t>
      </w:r>
    </w:p>
    <w:p>
      <w:pPr>
        <w:pStyle w:val="ListParagraph"/>
        <w:numPr>
          <w:ilvl w:val="0"/>
          <w:numId w:val="3"/>
        </w:numPr>
        <w:spacing w:after="40" w:before="40"/>
      </w:pPr>
      <w:r>
        <w:rPr>
          <w:rFonts w:ascii="Arial" w:cs="Arial" w:eastAsia="Arial" w:hAnsi="Arial"/>
          <w:sz w:val="22"/>
          <w:szCs w:val="22"/>
        </w:rPr>
        <w:t xml:space="preserve">Verifica avanzamento CRM: prime 3 trattative inserite e gestite con il nuovo processo. Misurare lead time vs baseline.</w:t>
      </w:r>
    </w:p>
    <w:p>
      <w:pPr>
        <w:pStyle w:val="ListParagraph"/>
        <w:numPr>
          <w:ilvl w:val="0"/>
          <w:numId w:val="3"/>
        </w:numPr>
        <w:spacing w:after="40" w:before="40"/>
      </w:pPr>
      <w:r>
        <w:rPr>
          <w:rFonts w:ascii="Arial" w:cs="Arial" w:eastAsia="Arial" w:hAnsi="Arial"/>
          <w:sz w:val="22"/>
          <w:szCs w:val="22"/>
        </w:rPr>
        <w:t xml:space="preserve">Review DSO dopo primo ciclo di incasso con nuove condizioni. Misurare variazione.</w:t>
      </w:r>
    </w:p>
    <w:p>
      <w:pPr>
        <w:pStyle w:val="ListParagraph"/>
        <w:numPr>
          <w:ilvl w:val="0"/>
          <w:numId w:val="3"/>
        </w:numPr>
        <w:spacing w:after="40" w:before="40"/>
      </w:pPr>
      <w:r>
        <w:rPr>
          <w:rFonts w:ascii="Arial" w:cs="Arial" w:eastAsia="Arial" w:hAnsi="Arial"/>
          <w:sz w:val="22"/>
          <w:szCs w:val="22"/>
        </w:rPr>
        <w:t xml:space="preserve">Richiedere 2 preventivi per certificazione ISO 9001 — avviare valutazione con titolare.</w:t>
      </w:r>
    </w:p>
    <w:p>
      <w:pPr>
        <w:pStyle w:val="ListParagraph"/>
        <w:numPr>
          <w:ilvl w:val="0"/>
          <w:numId w:val="3"/>
        </w:numPr>
        <w:spacing w:after="40" w:before="40"/>
      </w:pPr>
      <w:r>
        <w:rPr>
          <w:rFonts w:ascii="Arial" w:cs="Arial" w:eastAsia="Arial" w:hAnsi="Arial"/>
          <w:sz w:val="22"/>
          <w:szCs w:val="22"/>
        </w:rPr>
        <w:t xml:space="preserve">Sessione strategica K2-AI 60 minuti per revisione piano H2 2026.</w:t>
      </w:r>
    </w:p>
    <w:p>
      <w:pPr>
        <w:spacing w:after="0" w:before="120"/>
      </w:pPr>
      <w:r>
        <w:t xml:space="preserve"/>
      </w:r>
    </w:p>
    <w:p>
      <w:pPr>
        <w:pBdr>
          <w:bottom w:val="single" w:color="1F4E79" w:sz="8"/>
        </w:pBdr>
        <w:spacing w:after="120" w:before="240"/>
      </w:pPr>
      <w:r>
        <w:rPr>
          <w:rFonts w:ascii="Arial" w:cs="Arial" w:eastAsia="Arial" w:hAnsi="Arial"/>
          <w:b/>
          <w:bCs/>
          <w:color w:val="1F4E79"/>
          <w:sz w:val="36"/>
          <w:szCs w:val="36"/>
        </w:rPr>
        <w:t xml:space="preserve">KPI Dashboard — Monitoraggio Mensile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700"/>
        <w:gridCol w:w="1826"/>
      </w:tblGrid>
      <w:tr>
        <w:tc>
          <w:tcPr>
            <w:tcW w:type="dxa" w:w="25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KPI</w:t>
            </w:r>
          </w:p>
        </w:tc>
        <w:tc>
          <w:tcPr>
            <w:tcW w:type="dxa" w:w="15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Baseline Gen'26</w:t>
            </w:r>
          </w:p>
        </w:tc>
        <w:tc>
          <w:tcPr>
            <w:tcW w:type="dxa" w:w="15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Aprile '26</w:t>
            </w:r>
          </w:p>
        </w:tc>
        <w:tc>
          <w:tcPr>
            <w:tcW w:type="dxa" w:w="17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Target Giu'26</w:t>
            </w:r>
          </w:p>
        </w:tc>
        <w:tc>
          <w:tcPr>
            <w:tcW w:type="dxa" w:w="1826"/>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Target Dic'26</w:t>
            </w:r>
          </w:p>
        </w:tc>
      </w:tr>
      <w:tr>
        <w:tc>
          <w:tcPr>
            <w:tcW w:type="dxa" w:w="2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Fatturato mensile</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€ 192.000</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€ 204.000</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€ 210.000</w:t>
            </w:r>
          </w:p>
        </w:tc>
        <w:tc>
          <w:tcPr>
            <w:tcW w:type="dxa" w:w="18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€ 230.000</w:t>
            </w:r>
          </w:p>
        </w:tc>
      </w:tr>
      <w:tr>
        <w:tc>
          <w:tcPr>
            <w:tcW w:type="dxa" w:w="2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EBITDA margin %</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6,2%</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7,0%</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7,5%</w:t>
            </w:r>
          </w:p>
        </w:tc>
        <w:tc>
          <w:tcPr>
            <w:tcW w:type="dxa" w:w="18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9,0%</w:t>
            </w:r>
          </w:p>
        </w:tc>
      </w:tr>
      <w:tr>
        <w:tc>
          <w:tcPr>
            <w:tcW w:type="dxa" w:w="2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DSO (giorni)</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58 gg</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52 gg</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45 gg</w:t>
            </w:r>
          </w:p>
        </w:tc>
        <w:tc>
          <w:tcPr>
            <w:tcW w:type="dxa" w:w="18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40 gg</w:t>
            </w:r>
          </w:p>
        </w:tc>
      </w:tr>
      <w:tr>
        <w:tc>
          <w:tcPr>
            <w:tcW w:type="dxa" w:w="2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Scarti produzione %</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4,1%</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3,8%</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3,2%</w:t>
            </w:r>
          </w:p>
        </w:tc>
        <w:tc>
          <w:tcPr>
            <w:tcW w:type="dxa" w:w="18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2,5%</w:t>
            </w:r>
          </w:p>
        </w:tc>
      </w:tr>
      <w:tr>
        <w:tc>
          <w:tcPr>
            <w:tcW w:type="dxa" w:w="2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Pipeline commerciale (€)</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€ 95.000</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€ 148.000</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€ 200.000</w:t>
            </w:r>
          </w:p>
        </w:tc>
        <w:tc>
          <w:tcPr>
            <w:tcW w:type="dxa" w:w="18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€ 320.000</w:t>
            </w:r>
          </w:p>
        </w:tc>
      </w:tr>
      <w:tr>
        <w:tc>
          <w:tcPr>
            <w:tcW w:type="dxa" w:w="2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N° trattative attive</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6</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9</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12</w:t>
            </w:r>
          </w:p>
        </w:tc>
        <w:tc>
          <w:tcPr>
            <w:tcW w:type="dxa" w:w="18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15</w:t>
            </w:r>
          </w:p>
        </w:tc>
      </w:tr>
      <w:tr>
        <w:tc>
          <w:tcPr>
            <w:tcW w:type="dxa" w:w="2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Clienti attivi / mese</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10</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11</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12</w:t>
            </w:r>
          </w:p>
        </w:tc>
        <w:tc>
          <w:tcPr>
            <w:tcW w:type="dxa" w:w="18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15</w:t>
            </w:r>
          </w:p>
        </w:tc>
      </w:tr>
    </w:tbl>
    <w:p>
      <w:r>
        <w:br w:type="page"/>
      </w:r>
    </w:p>
    <w:p>
      <w:pPr>
        <w:pBdr>
          <w:bottom w:val="single" w:color="1F4E79" w:sz="8"/>
        </w:pBdr>
        <w:spacing w:after="120" w:before="240"/>
      </w:pPr>
      <w:r>
        <w:rPr>
          <w:rFonts w:ascii="Arial" w:cs="Arial" w:eastAsia="Arial" w:hAnsi="Arial"/>
          <w:b/>
          <w:bCs/>
          <w:color w:val="1F4E79"/>
          <w:sz w:val="36"/>
          <w:szCs w:val="36"/>
        </w:rPr>
        <w:t xml:space="preserve">Compliance Check Mensile</w:t>
      </w:r>
    </w:p>
    <w:p>
      <w:pPr>
        <w:spacing w:after="60" w:before="60"/>
        <w:jc w:val="left"/>
      </w:pPr>
      <w:r>
        <w:rPr>
          <w:rFonts w:ascii="Arial" w:cs="Arial" w:eastAsia="Arial" w:hAnsi="Arial"/>
          <w:b w:val="false"/>
          <w:bCs w:val="false"/>
          <w:color w:val="000000"/>
          <w:sz w:val="22"/>
          <w:szCs w:val="22"/>
        </w:rPr>
        <w:t xml:space="preserve">K2-AI effettua ogni mese una verifica rapida sulle principali aree di compliance obbligatoria per PMI del settore manifatturiero. Questa sezione non sostituisce la consulenza legale e fiscale ma serve da promemoria operativo per il titolare.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000"/>
        <w:gridCol w:w="3026"/>
      </w:tblGrid>
      <w:tr>
        <w:tc>
          <w:tcPr>
            <w:tcW w:type="dxa" w:w="28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Area Compliance</w:t>
            </w:r>
          </w:p>
        </w:tc>
        <w:tc>
          <w:tcPr>
            <w:tcW w:type="dxa" w:w="12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Status</w:t>
            </w:r>
          </w:p>
        </w:tc>
        <w:tc>
          <w:tcPr>
            <w:tcW w:type="dxa" w:w="20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Scadenza Prossima</w:t>
            </w:r>
          </w:p>
        </w:tc>
        <w:tc>
          <w:tcPr>
            <w:tcW w:type="dxa" w:w="3026"/>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Azione Richiesta</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Sicurezza sul lavoro (D.Lgs 81/08)</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Regolare</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Formazione annuale: Ott 2026</w:t>
            </w:r>
          </w:p>
        </w:tc>
        <w:tc>
          <w:tcPr>
            <w:tcW w:type="dxa" w:w="3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Nessuna</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Privacy (GDPR)</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Parziale</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Aggiornamento registro: entro giu</w:t>
            </w:r>
          </w:p>
        </w:tc>
        <w:tc>
          <w:tcPr>
            <w:tcW w:type="dxa" w:w="3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Aggiornare registro trattamenti</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Dichiarazione IVA trimestrale</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Regolare</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16 Maggio 2026</w:t>
            </w:r>
          </w:p>
        </w:tc>
        <w:tc>
          <w:tcPr>
            <w:tcW w:type="dxa" w:w="3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Versamento IVA Q1 — verificare con cdl</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Versamento contributi INPS</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Regolare</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16 Maggio 2026</w:t>
            </w:r>
          </w:p>
        </w:tc>
        <w:tc>
          <w:tcPr>
            <w:tcW w:type="dxa" w:w="3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F24 dipendenti aprile</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Manutenzione macchine</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Attenzione</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Torno CNC: verifica scaduta</w:t>
            </w:r>
          </w:p>
        </w:tc>
        <w:tc>
          <w:tcPr>
            <w:tcW w:type="dxa" w:w="3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Pianificare manutenzione urgente</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Assicurazione RC aziendale</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Regolare</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Rinnovo: Settembre 2026</w:t>
            </w:r>
          </w:p>
        </w:tc>
        <w:tc>
          <w:tcPr>
            <w:tcW w:type="dxa" w:w="3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Verificare massimali adeguati</w:t>
            </w:r>
          </w:p>
        </w:tc>
      </w:tr>
    </w:tbl>
    <w:p>
      <w:pPr>
        <w:spacing w:after="0" w:before="120"/>
      </w:pPr>
      <w:r>
        <w:t xml:space="preserve"/>
      </w:r>
    </w:p>
    <w:p>
      <w:pPr>
        <w:pBdr>
          <w:bottom w:val="single" w:color="1F4E79" w:sz="8"/>
        </w:pBdr>
        <w:spacing w:after="120" w:before="240"/>
      </w:pPr>
      <w:r>
        <w:rPr>
          <w:rFonts w:ascii="Arial" w:cs="Arial" w:eastAsia="Arial" w:hAnsi="Arial"/>
          <w:b/>
          <w:bCs/>
          <w:color w:val="1F4E79"/>
          <w:sz w:val="36"/>
          <w:szCs w:val="36"/>
        </w:rPr>
        <w:t xml:space="preserve">Roadmap Trimestrale — Q2/Q3 2026</w:t>
      </w:r>
    </w:p>
    <w:p>
      <w:pPr>
        <w:spacing w:after="60" w:before="60"/>
        <w:jc w:val="left"/>
      </w:pPr>
      <w:r>
        <w:rPr>
          <w:rFonts w:ascii="Arial" w:cs="Arial" w:eastAsia="Arial" w:hAnsi="Arial"/>
          <w:b w:val="false"/>
          <w:bCs w:val="false"/>
          <w:color w:val="000000"/>
          <w:sz w:val="22"/>
          <w:szCs w:val="22"/>
        </w:rPr>
        <w:t xml:space="preserve">La roadmap trimestrale posiziona nel tempo le iniziative chiave identificate nel report mensile, dando una visione d'insieme dell'evoluzione attesa dell'azienda nel secondo e terzo trimestre 2026.</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Iniziativa</w:t>
            </w:r>
          </w:p>
        </w:tc>
        <w:tc>
          <w:tcPr>
            <w:tcW w:type="dxa" w:w="11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Aprile</w:t>
            </w:r>
          </w:p>
        </w:tc>
        <w:tc>
          <w:tcPr>
            <w:tcW w:type="dxa" w:w="11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Maggio</w:t>
            </w:r>
          </w:p>
        </w:tc>
        <w:tc>
          <w:tcPr>
            <w:tcW w:type="dxa" w:w="11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Giugno</w:t>
            </w:r>
          </w:p>
        </w:tc>
        <w:tc>
          <w:tcPr>
            <w:tcW w:type="dxa" w:w="11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Luglio</w:t>
            </w:r>
          </w:p>
        </w:tc>
        <w:tc>
          <w:tcPr>
            <w:tcW w:type="dxa" w:w="1100"/>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Agosto</w:t>
            </w:r>
          </w:p>
        </w:tc>
        <w:tc>
          <w:tcPr>
            <w:tcW w:type="dxa" w:w="1226"/>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tcPr>
          <w:p>
            <w:r>
              <w:rPr>
                <w:rFonts w:ascii="Arial" w:cs="Arial" w:eastAsia="Arial" w:hAnsi="Arial"/>
                <w:b/>
                <w:bCs/>
                <w:color w:val="FFFFFF"/>
                <w:sz w:val="22"/>
                <w:szCs w:val="22"/>
              </w:rPr>
              <w:t xml:space="preserve">Sett.</w:t>
            </w:r>
          </w:p>
        </w:tc>
      </w:tr>
      <w:tr>
        <w:tc>
          <w:tcPr>
            <w:tcW w:type="dxa" w:w="2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Riduzione DSO</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Analisi</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Negoz.</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Target 45gg</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Monitor</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Monitor</w:t>
            </w:r>
          </w:p>
        </w:tc>
        <w:tc>
          <w:tcPr>
            <w:tcW w:type="dxa" w:w="12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Valuta</w:t>
            </w:r>
          </w:p>
        </w:tc>
      </w:tr>
      <w:tr>
        <w:tc>
          <w:tcPr>
            <w:tcW w:type="dxa" w:w="2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CRM Commerciale</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Setup</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Training</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Operativo</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Monitor</w:t>
            </w:r>
          </w:p>
        </w:tc>
        <w:tc>
          <w:tcPr>
            <w:tcW w:type="dxa" w:w="12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Review</w:t>
            </w:r>
          </w:p>
        </w:tc>
      </w:tr>
      <w:tr>
        <w:tc>
          <w:tcPr>
            <w:tcW w:type="dxa" w:w="2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Lean Manufacturing</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Mapping</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Interventi</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-15% scarti</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Monitor</w:t>
            </w:r>
          </w:p>
        </w:tc>
        <w:tc>
          <w:tcPr>
            <w:tcW w:type="dxa" w:w="12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Review</w:t>
            </w:r>
          </w:p>
        </w:tc>
      </w:tr>
      <w:tr>
        <w:tc>
          <w:tcPr>
            <w:tcW w:type="dxa" w:w="2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ISO 9001</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Preven.</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Valutaz.</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Gap Anal.</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c>
          <w:tcPr>
            <w:tcW w:type="dxa" w:w="12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Avvio</w:t>
            </w:r>
          </w:p>
        </w:tc>
      </w:tr>
      <w:tr>
        <w:tc>
          <w:tcPr>
            <w:tcW w:type="dxa" w:w="2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LinkedIn/Digital</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Attivaz.</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Content</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10 lead</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Monitor</w:t>
            </w:r>
          </w:p>
        </w:tc>
        <w:tc>
          <w:tcPr>
            <w:tcW w:type="dxa" w:w="12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Review</w:t>
            </w:r>
          </w:p>
        </w:tc>
      </w:tr>
      <w:tr>
        <w:tc>
          <w:tcPr>
            <w:tcW w:type="dxa" w:w="2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Piano H2 2026</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Strategia</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Piano def.</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c>
          <w:tcPr>
            <w:tcW w:type="dxa" w:w="12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Avvio</w:t>
            </w:r>
          </w:p>
        </w:tc>
      </w:tr>
    </w:tbl>
    <w:p>
      <w:pPr>
        <w:spacing w:after="0" w:before="160"/>
      </w:pPr>
      <w:r>
        <w:t xml:space="preserve"/>
      </w:r>
    </w:p>
    <w:p>
      <w:pPr>
        <w:pBdr>
          <w:bottom w:val="single" w:color="D0D8E4" w:sz="6"/>
        </w:pBdr>
        <w:spacing w:after="120" w:before="120"/>
      </w:pPr>
      <w:r>
        <w:t xml:space="preserve"/>
      </w:r>
    </w:p>
    <w:p>
      <w:pPr>
        <w:shd w:fill="1F4E79" w:color="auto" w:val="clear"/>
        <w:spacing w:after="60" w:before="60"/>
        <w:ind w:left="180" w:right="180"/>
      </w:pPr>
      <w:r>
        <w:rPr>
          <w:rFonts w:ascii="Arial" w:cs="Arial" w:eastAsia="Arial" w:hAnsi="Arial"/>
          <w:b/>
          <w:bCs/>
          <w:color w:val="FFFFFF"/>
          <w:sz w:val="22"/>
          <w:szCs w:val="22"/>
        </w:rPr>
        <w:t xml:space="preserve">💎 VUOI UN ADVISORY MENSILE COMPLETO? → Piano Business a €299/mese</w:t>
      </w:r>
    </w:p>
    <w:p>
      <w:pPr>
        <w:spacing w:after="0" w:before="160"/>
      </w:pPr>
      <w:r>
        <w:t xml:space="preserve"/>
      </w:r>
    </w:p>
    <w:p>
      <w:r>
        <w:br w:type="page"/>
      </w:r>
    </w:p>
    <w:p>
      <w:pPr>
        <w:shd w:fill="1F4E79" w:color="auto" w:val="clear"/>
        <w:spacing w:after="0" w:before="60"/>
        <w:jc w:val="center"/>
      </w:pPr>
      <w:r>
        <w:rPr>
          <w:rFonts w:ascii="Arial" w:cs="Arial" w:eastAsia="Arial" w:hAnsi="Arial"/>
          <w:b/>
          <w:bCs/>
          <w:color w:val="FFFFFF"/>
          <w:sz w:val="56"/>
          <w:szCs w:val="56"/>
        </w:rPr>
        <w:t xml:space="preserve">K2-AI</w:t>
      </w:r>
    </w:p>
    <w:p>
      <w:pPr>
        <w:shd w:fill="1F4E79" w:color="auto" w:val="clear"/>
        <w:spacing w:after="0" w:before="0"/>
        <w:jc w:val="center"/>
      </w:pPr>
      <w:r>
        <w:rPr>
          <w:rFonts w:ascii="Arial" w:cs="Arial" w:eastAsia="Arial" w:hAnsi="Arial"/>
          <w:b/>
          <w:bCs/>
          <w:color w:val="FFFFFF"/>
          <w:sz w:val="36"/>
          <w:szCs w:val="36"/>
        </w:rPr>
        <w:t xml:space="preserve">Advisory Report Mensile</w:t>
      </w:r>
    </w:p>
    <w:p>
      <w:pPr>
        <w:shd w:fill="1F4E79" w:color="auto" w:val="clear"/>
        <w:spacing w:after="0" w:before="0"/>
        <w:jc w:val="center"/>
      </w:pPr>
      <w:r>
        <w:rPr>
          <w:rFonts w:ascii="Arial" w:cs="Arial" w:eastAsia="Arial" w:hAnsi="Arial"/>
          <w:b/>
          <w:bCs/>
          <w:color w:val="F0B800"/>
          <w:sz w:val="32"/>
          <w:szCs w:val="32"/>
        </w:rPr>
        <w:t xml:space="preserve">€ 299 / mese</w:t>
      </w:r>
    </w:p>
    <w:p>
      <w:pPr>
        <w:shd w:fill="1F4E79" w:color="auto" w:val="clear"/>
        <w:spacing w:after="60" w:before="0"/>
        <w:jc w:val="center"/>
      </w:pPr>
      <w:r>
        <w:rPr>
          <w:rFonts w:ascii="Arial" w:cs="Arial" w:eastAsia="Arial" w:hAnsi="Arial"/>
          <w:color w:val="D0E8FF"/>
          <w:sz w:val="22"/>
          <w:szCs w:val="22"/>
        </w:rPr>
        <w:t xml:space="preserve">Advisory strategico mensile · Analisi SWOT · Risk Register · Financial Overview</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Azienda</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Artigiana Italiana S.r.l.</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Titolare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Marco Ferretti</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Settore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Metalmeccanica — Manifatturiero</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Sede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Bergamo (BG), Lombardia</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Dipendenti</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18</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Fatturato</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€ 2.400.000 (anno precedente)</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Data Report</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Aprile 2026</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Tier K2-AI</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Business — €299/mese</w:t>
            </w:r>
          </w:p>
        </w:tc>
      </w:tr>
    </w:tbl>
    <w:p>
      <w:pPr>
        <w:spacing w:after="0" w:before="120"/>
      </w:pPr>
      <w:r>
        <w:t xml:space="preserve"/>
      </w:r>
    </w:p>
    <w:p>
      <w:r>
        <w:br w:type="page"/>
      </w:r>
    </w:p>
    <w:p>
      <w:pPr>
        <w:pBdr>
          <w:bottom w:val="single" w:color="1F4E79" w:sz="8"/>
        </w:pBdr>
        <w:spacing w:after="120" w:before="240"/>
      </w:pPr>
      <w:r>
        <w:rPr>
          <w:rFonts w:ascii="Arial" w:cs="Arial" w:eastAsia="Arial" w:hAnsi="Arial"/>
          <w:b/>
          <w:bCs/>
          <w:color w:val="1F4E79"/>
          <w:sz w:val="36"/>
          <w:szCs w:val="36"/>
        </w:rPr>
        <w:t xml:space="preserve">Board Summary — Aprile 2026</w:t>
      </w:r>
    </w:p>
    <w:p>
      <w:pPr>
        <w:shd w:fill="7B2D8B" w:color="auto" w:val="clear"/>
        <w:spacing w:after="60" w:before="60"/>
        <w:ind w:left="180" w:right="180"/>
      </w:pPr>
      <w:r>
        <w:rPr>
          <w:rFonts w:ascii="Arial" w:cs="Arial" w:eastAsia="Arial" w:hAnsi="Arial"/>
          <w:b/>
          <w:bCs/>
          <w:color w:val="FFFFFF"/>
          <w:sz w:val="22"/>
          <w:szCs w:val="22"/>
        </w:rPr>
        <w:t xml:space="preserve">CRESCITA CONFERMATA · TURNAROUND FINANZIARIO IN CORSO · 2 OPPORTUNITÀ STRATEGICHE DA COGLIERE</w:t>
      </w:r>
    </w:p>
    <w:p>
      <w:pPr>
        <w:spacing w:after="0" w:before="80"/>
      </w:pPr>
      <w:r>
        <w:t xml:space="preserve"/>
      </w:r>
    </w:p>
    <w:p>
      <w:pPr>
        <w:spacing w:after="60" w:before="60"/>
        <w:jc w:val="left"/>
      </w:pPr>
      <w:r>
        <w:rPr>
          <w:rFonts w:ascii="Arial" w:cs="Arial" w:eastAsia="Arial" w:hAnsi="Arial"/>
          <w:b w:val="false"/>
          <w:bCs w:val="false"/>
          <w:color w:val="000000"/>
          <w:sz w:val="22"/>
          <w:szCs w:val="22"/>
        </w:rPr>
        <w:t xml:space="preserve">Questo Board Summary è redatto per l'utilizzo diretto del titolare e — laddove presente — del CDA o dei soci di Artigiana Italiana S.r.l. Sintetizza i risultati del mese, l'andamento del piano strategico annuale e le decisioni richieste nel breve termine.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700"/>
        <w:gridCol w:w="3326"/>
      </w:tblGrid>
      <w:tr>
        <w:tc>
          <w:tcPr>
            <w:tcW w:type="dxa" w:w="18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Prospettiva</w:t>
            </w:r>
          </w:p>
        </w:tc>
        <w:tc>
          <w:tcPr>
            <w:tcW w:type="dxa" w:w="12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Status</w:t>
            </w:r>
          </w:p>
        </w:tc>
        <w:tc>
          <w:tcPr>
            <w:tcW w:type="dxa" w:w="27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Variazione vs Mese Prec.</w:t>
            </w:r>
          </w:p>
        </w:tc>
        <w:tc>
          <w:tcPr>
            <w:tcW w:type="dxa" w:w="3326"/>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Outlook 90 Giorni</w:t>
            </w:r>
          </w:p>
        </w:tc>
      </w:tr>
      <w:tr>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Finanziaria</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In miglioramento</w:t>
            </w:r>
          </w:p>
        </w:tc>
        <w:tc>
          <w:tcPr>
            <w:tcW w:type="dxa" w:w="2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+4,2% fatturato · margine +1,1pp</w:t>
            </w:r>
          </w:p>
        </w:tc>
        <w:tc>
          <w:tcPr>
            <w:tcW w:type="dxa" w:w="33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Positivo — target H1 raggiungibile</w:t>
            </w:r>
          </w:p>
        </w:tc>
      </w:tr>
      <w:tr>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Commerciale</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Sviluppo</w:t>
            </w:r>
          </w:p>
        </w:tc>
        <w:tc>
          <w:tcPr>
            <w:tcW w:type="dxa" w:w="2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+2 prospect qualificati</w:t>
            </w:r>
          </w:p>
        </w:tc>
        <w:tc>
          <w:tcPr>
            <w:tcW w:type="dxa" w:w="33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Positivo — primo contratto nuovo mkt atteso</w:t>
            </w:r>
          </w:p>
        </w:tc>
      </w:tr>
      <w:tr>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Operativa</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Solida</w:t>
            </w:r>
          </w:p>
        </w:tc>
        <w:tc>
          <w:tcPr>
            <w:tcW w:type="dxa" w:w="2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Efficienza produzione +8,5%</w:t>
            </w:r>
          </w:p>
        </w:tc>
        <w:tc>
          <w:tcPr>
            <w:tcW w:type="dxa" w:w="33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Stabile</w:t>
            </w:r>
          </w:p>
        </w:tc>
      </w:tr>
      <w:tr>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Strategica</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Transizione</w:t>
            </w:r>
          </w:p>
        </w:tc>
        <w:tc>
          <w:tcPr>
            <w:tcW w:type="dxa" w:w="2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Avvio digitalizzazione</w:t>
            </w:r>
          </w:p>
        </w:tc>
        <w:tc>
          <w:tcPr>
            <w:tcW w:type="dxa" w:w="33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Dipende da velocità esecuzione</w:t>
            </w:r>
          </w:p>
        </w:tc>
      </w:tr>
      <w:tr>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Rischio</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Moderato</w:t>
            </w:r>
          </w:p>
        </w:tc>
        <w:tc>
          <w:tcPr>
            <w:tcW w:type="dxa" w:w="2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Concentrazione clienti invariata</w:t>
            </w:r>
          </w:p>
        </w:tc>
        <w:tc>
          <w:tcPr>
            <w:tcW w:type="dxa" w:w="33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Monitorare — piano diversificazione avviato</w:t>
            </w:r>
          </w:p>
        </w:tc>
      </w:tr>
    </w:tbl>
    <w:p>
      <w:r>
        <w:br w:type="page"/>
      </w:r>
    </w:p>
    <w:p>
      <w:pPr>
        <w:pBdr>
          <w:bottom w:val="single" w:color="1F4E79" w:sz="8"/>
        </w:pBdr>
        <w:spacing w:after="120" w:before="240"/>
      </w:pPr>
      <w:r>
        <w:rPr>
          <w:rFonts w:ascii="Arial" w:cs="Arial" w:eastAsia="Arial" w:hAnsi="Arial"/>
          <w:b/>
          <w:bCs/>
          <w:color w:val="1F4E79"/>
          <w:sz w:val="36"/>
          <w:szCs w:val="36"/>
        </w:rPr>
        <w:t xml:space="preserve">Profilo Strategico Aggiornato</w:t>
      </w:r>
    </w:p>
    <w:p>
      <w:pPr>
        <w:spacing w:after="80" w:before="200"/>
      </w:pPr>
      <w:r>
        <w:rPr>
          <w:rFonts w:ascii="Arial" w:cs="Arial" w:eastAsia="Arial" w:hAnsi="Arial"/>
          <w:b/>
          <w:bCs/>
          <w:color w:val="2E75B6"/>
          <w:sz w:val="28"/>
          <w:szCs w:val="28"/>
        </w:rPr>
        <w:t xml:space="preserve">Posizionamento Competitivo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Modello di business</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B2B terzista specializzato — lavorazioni meccaniche di precisione per OEM industriali</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Vantaggio competitivo</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Flessibilità produttiva su lotti medi (50-500 pezzi) · Qualità artigianale · Relazioni consolidate</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Mercato target primario</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Produttori di macchinari industriali, Lombardia e Piemonte · Segmento PMI 50-500 dipendenti</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Mercato target secondario</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Componentistica automotive non-standard · Settore alimentare/imballaggio</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Principali concorrenti</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4-6 officine simili nel raggio di 50 km · 2 player più grandi con certificazione ISO</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Differenziazione attuale</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Servizio personalizzato, velocità di risposta, know-how tecnico del titolare</w:t>
            </w:r>
          </w:p>
        </w:tc>
      </w:tr>
      <w:tr>
        <w:tc>
          <w:tcPr>
            <w:tcW w:type="dxa" w:w="3000"/>
            <w:tcBorders>
              <w:top w:val="single" w:color="D0D8E4" w:sz="4"/>
              <w:left w:val="single" w:color="D0D8E4" w:sz="4"/>
              <w:bottom w:val="single" w:color="D0D8E4" w:sz="4"/>
              <w:right w:val="single" w:color="D0D8E4" w:sz="4"/>
            </w:tcBorders>
            <w:shd w:fill="D5E8F0" w:color="auto" w:val="clear"/>
            <w:tcMar>
              <w:top w:type="dxa" w:w="80"/>
              <w:left w:type="dxa" w:w="160"/>
              <w:bottom w:type="dxa" w:w="80"/>
              <w:right w:type="dxa" w:w="160"/>
            </w:tcMar>
            <w:vAlign w:val="top"/>
          </w:tcPr>
          <w:p>
            <w:r>
              <w:rPr>
                <w:rFonts w:ascii="Arial" w:cs="Arial" w:eastAsia="Arial" w:hAnsi="Arial"/>
                <w:b/>
                <w:bCs/>
                <w:sz w:val="22"/>
                <w:szCs w:val="22"/>
              </w:rPr>
              <w:t xml:space="preserve">Differenziazione target</w:t>
            </w:r>
          </w:p>
        </w:tc>
        <w:tc>
          <w:tcPr>
            <w:tcW w:type="dxa" w:w="60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Certificazione ISO 9001, capacità CAD/CAM avanzata, export capacity H2 2026</w:t>
            </w:r>
          </w:p>
        </w:tc>
      </w:tr>
    </w:tbl>
    <w:p>
      <w:pPr>
        <w:spacing w:after="0" w:before="100"/>
      </w:pPr>
      <w:r>
        <w:t xml:space="preserve"/>
      </w:r>
    </w:p>
    <w:p>
      <w:pPr>
        <w:spacing w:after="80" w:before="200"/>
      </w:pPr>
      <w:r>
        <w:rPr>
          <w:rFonts w:ascii="Arial" w:cs="Arial" w:eastAsia="Arial" w:hAnsi="Arial"/>
          <w:b/>
          <w:bCs/>
          <w:color w:val="2E75B6"/>
          <w:sz w:val="28"/>
          <w:szCs w:val="28"/>
        </w:rPr>
        <w:t xml:space="preserve">Piano Strategico Annuale — Avanzamento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1300"/>
        <w:gridCol w:w="1526"/>
      </w:tblGrid>
      <w:tr>
        <w:tc>
          <w:tcPr>
            <w:tcW w:type="dxa" w:w="28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Obiettivo Annuale</w:t>
            </w:r>
          </w:p>
        </w:tc>
        <w:tc>
          <w:tcPr>
            <w:tcW w:type="dxa" w:w="16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Target 2026</w:t>
            </w:r>
          </w:p>
        </w:tc>
        <w:tc>
          <w:tcPr>
            <w:tcW w:type="dxa" w:w="18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Status Aprile</w:t>
            </w:r>
          </w:p>
        </w:tc>
        <w:tc>
          <w:tcPr>
            <w:tcW w:type="dxa" w:w="13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 Avanzamento</w:t>
            </w:r>
          </w:p>
        </w:tc>
        <w:tc>
          <w:tcPr>
            <w:tcW w:type="dxa" w:w="1526"/>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Forecast Dic</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Fatturato totale</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€ 2.600.000</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€ 800.000 (YTD)</w:t>
            </w:r>
          </w:p>
        </w:tc>
        <w:tc>
          <w:tcPr>
            <w:tcW w:type="dxa" w:w="13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30,8%</w:t>
            </w:r>
          </w:p>
        </w:tc>
        <w:tc>
          <w:tcPr>
            <w:tcW w:type="dxa" w:w="1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€2.520.000</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EBITDA margin</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9,0%</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7,0% (aprile)</w:t>
            </w:r>
          </w:p>
        </w:tc>
        <w:tc>
          <w:tcPr>
            <w:tcW w:type="dxa" w:w="13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In crescita</w:t>
            </w:r>
          </w:p>
        </w:tc>
        <w:tc>
          <w:tcPr>
            <w:tcW w:type="dxa" w:w="1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8,2% atteso</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N° nuovi clienti</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8 clienti</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0 confermati</w:t>
            </w:r>
          </w:p>
        </w:tc>
        <w:tc>
          <w:tcPr>
            <w:tcW w:type="dxa" w:w="13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0%</w:t>
            </w:r>
          </w:p>
        </w:tc>
        <w:tc>
          <w:tcPr>
            <w:tcW w:type="dxa" w:w="1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4 realistici</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DSO riduzione</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40 giorni</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52 giorni</w:t>
            </w:r>
          </w:p>
        </w:tc>
        <w:tc>
          <w:tcPr>
            <w:tcW w:type="dxa" w:w="13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In corso</w:t>
            </w:r>
          </w:p>
        </w:tc>
        <w:tc>
          <w:tcPr>
            <w:tcW w:type="dxa" w:w="1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45 giorni</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Certificazione ISO</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Avvio iter</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Non avviato</w:t>
            </w:r>
          </w:p>
        </w:tc>
        <w:tc>
          <w:tcPr>
            <w:tcW w:type="dxa" w:w="13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0%</w:t>
            </w:r>
          </w:p>
        </w:tc>
        <w:tc>
          <w:tcPr>
            <w:tcW w:type="dxa" w:w="1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Avvio Q3</w:t>
            </w:r>
          </w:p>
        </w:tc>
      </w:tr>
      <w:tr>
        <w:tc>
          <w:tcPr>
            <w:tcW w:type="dxa" w:w="2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Digital presence</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LinkedIn attivo</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Configurazione</w:t>
            </w:r>
          </w:p>
        </w:tc>
        <w:tc>
          <w:tcPr>
            <w:tcW w:type="dxa" w:w="13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40%</w:t>
            </w:r>
          </w:p>
        </w:tc>
        <w:tc>
          <w:tcPr>
            <w:tcW w:type="dxa" w:w="1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Luglio</w:t>
            </w:r>
          </w:p>
        </w:tc>
      </w:tr>
    </w:tbl>
    <w:p>
      <w:r>
        <w:br w:type="page"/>
      </w:r>
    </w:p>
    <w:p>
      <w:pPr>
        <w:pBdr>
          <w:bottom w:val="single" w:color="1F4E79" w:sz="8"/>
        </w:pBdr>
        <w:spacing w:after="120" w:before="240"/>
      </w:pPr>
      <w:r>
        <w:rPr>
          <w:rFonts w:ascii="Arial" w:cs="Arial" w:eastAsia="Arial" w:hAnsi="Arial"/>
          <w:b/>
          <w:bCs/>
          <w:color w:val="1F4E79"/>
          <w:sz w:val="36"/>
          <w:szCs w:val="36"/>
        </w:rPr>
        <w:t xml:space="preserve">Performance del Mese — Analisi Approfondita</w:t>
      </w:r>
    </w:p>
    <w:p>
      <w:pPr>
        <w:spacing w:after="80" w:before="200"/>
      </w:pPr>
      <w:r>
        <w:rPr>
          <w:rFonts w:ascii="Arial" w:cs="Arial" w:eastAsia="Arial" w:hAnsi="Arial"/>
          <w:b/>
          <w:bCs/>
          <w:color w:val="2E75B6"/>
          <w:sz w:val="28"/>
          <w:szCs w:val="28"/>
        </w:rPr>
        <w:t xml:space="preserve">Performance Finanziaria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700"/>
        <w:gridCol w:w="1126"/>
      </w:tblGrid>
      <w:tr>
        <w:tc>
          <w:tcPr>
            <w:tcW w:type="dxa" w:w="26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Voce</w:t>
            </w:r>
          </w:p>
        </w:tc>
        <w:tc>
          <w:tcPr>
            <w:tcW w:type="dxa" w:w="18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Aprile 2026</w:t>
            </w:r>
          </w:p>
        </w:tc>
        <w:tc>
          <w:tcPr>
            <w:tcW w:type="dxa" w:w="18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Budget Aprile</w:t>
            </w:r>
          </w:p>
        </w:tc>
        <w:tc>
          <w:tcPr>
            <w:tcW w:type="dxa" w:w="17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Scostamento</w:t>
            </w:r>
          </w:p>
        </w:tc>
        <w:tc>
          <w:tcPr>
            <w:tcW w:type="dxa" w:w="1126"/>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YTD Aprile</w:t>
            </w:r>
          </w:p>
        </w:tc>
      </w:tr>
      <w:tr>
        <w:tc>
          <w:tcPr>
            <w:tcW w:type="dxa" w:w="2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Ricavi netti</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€ 204.000</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€ 200.000</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+€ 4.000 (+2,0%)</w:t>
            </w:r>
          </w:p>
        </w:tc>
        <w:tc>
          <w:tcPr>
            <w:tcW w:type="dxa" w:w="11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€ 800.000</w:t>
            </w:r>
          </w:p>
        </w:tc>
      </w:tr>
      <w:tr>
        <w:tc>
          <w:tcPr>
            <w:tcW w:type="dxa" w:w="2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Costo del venduto</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€ 140.000</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€ 138.000</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-€ 2.000 (-1,4%)</w:t>
            </w:r>
          </w:p>
        </w:tc>
        <w:tc>
          <w:tcPr>
            <w:tcW w:type="dxa" w:w="11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€ 553.000</w:t>
            </w:r>
          </w:p>
        </w:tc>
      </w:tr>
      <w:tr>
        <w:tc>
          <w:tcPr>
            <w:tcW w:type="dxa" w:w="2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Margine lordo</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€ 64.000 (31,4%)</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€ 62.000 (31,0%)</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+€ 2.000</w:t>
            </w:r>
          </w:p>
        </w:tc>
        <w:tc>
          <w:tcPr>
            <w:tcW w:type="dxa" w:w="11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€ 247.000</w:t>
            </w:r>
          </w:p>
        </w:tc>
      </w:tr>
      <w:tr>
        <w:tc>
          <w:tcPr>
            <w:tcW w:type="dxa" w:w="2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Spese generali</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€ 42.000</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€ 40.000</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-€ 2.000 (-5,0%)</w:t>
            </w:r>
          </w:p>
        </w:tc>
        <w:tc>
          <w:tcPr>
            <w:tcW w:type="dxa" w:w="11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€ 163.000</w:t>
            </w:r>
          </w:p>
        </w:tc>
      </w:tr>
      <w:tr>
        <w:tc>
          <w:tcPr>
            <w:tcW w:type="dxa" w:w="2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di cui: straordinari</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€ 8.400</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€ 7.500</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-€ 900 (-12%)</w:t>
            </w:r>
          </w:p>
        </w:tc>
        <w:tc>
          <w:tcPr>
            <w:tcW w:type="dxa" w:w="11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€ 29.000</w:t>
            </w:r>
          </w:p>
        </w:tc>
      </w:tr>
      <w:tr>
        <w:tc>
          <w:tcPr>
            <w:tcW w:type="dxa" w:w="2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EBITDA stimato</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€ 22.000 (10,8%)</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€ 22.000 (11,0%)</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In linea</w:t>
            </w:r>
          </w:p>
        </w:tc>
        <w:tc>
          <w:tcPr>
            <w:tcW w:type="dxa" w:w="11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€ 84.000</w:t>
            </w:r>
          </w:p>
        </w:tc>
      </w:tr>
      <w:tr>
        <w:tc>
          <w:tcPr>
            <w:tcW w:type="dxa" w:w="2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Cash flow operativo</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€ 18.500</w:t>
            </w:r>
          </w:p>
        </w:tc>
        <w:tc>
          <w:tcPr>
            <w:tcW w:type="dxa" w:w="18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€ 20.000</w:t>
            </w:r>
          </w:p>
        </w:tc>
        <w:tc>
          <w:tcPr>
            <w:tcW w:type="dxa" w:w="17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-€ 1.500</w:t>
            </w:r>
          </w:p>
        </w:tc>
        <w:tc>
          <w:tcPr>
            <w:tcW w:type="dxa" w:w="11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€ 68.000</w:t>
            </w:r>
          </w:p>
        </w:tc>
      </w:tr>
    </w:tbl>
    <w:p>
      <w:pPr>
        <w:spacing w:after="0" w:before="100"/>
      </w:pPr>
      <w:r>
        <w:t xml:space="preserve"/>
      </w:r>
    </w:p>
    <w:p>
      <w:pPr>
        <w:pBdr>
          <w:bottom w:val="single" w:color="1F4E79" w:sz="8"/>
        </w:pBdr>
        <w:spacing w:after="120" w:before="240"/>
      </w:pPr>
      <w:r>
        <w:rPr>
          <w:rFonts w:ascii="Arial" w:cs="Arial" w:eastAsia="Arial" w:hAnsi="Arial"/>
          <w:b/>
          <w:bCs/>
          <w:color w:val="1F4E79"/>
          <w:sz w:val="36"/>
          <w:szCs w:val="36"/>
        </w:rPr>
        <w:t xml:space="preserve">Analisi SWOT — Aprile 2026</w:t>
      </w:r>
    </w:p>
    <w:p>
      <w:pPr>
        <w:spacing w:after="60" w:before="60"/>
        <w:jc w:val="left"/>
      </w:pPr>
      <w:r>
        <w:rPr>
          <w:rFonts w:ascii="Arial" w:cs="Arial" w:eastAsia="Arial" w:hAnsi="Arial"/>
          <w:b w:val="false"/>
          <w:bCs w:val="false"/>
          <w:color w:val="000000"/>
          <w:sz w:val="22"/>
          <w:szCs w:val="22"/>
        </w:rPr>
        <w:t xml:space="preserve">L'analisi SWOT viene aggiornata trimestralmente (e rivista mensilmente per variazioni significative). Il framework K2-AI integra la dimensione temporale: ogni fattore è valutato per la sua evoluzione attesa nei prossimi 12 mesi.</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0D8E4" w:sz="4"/>
              <w:left w:val="single" w:color="D0D8E4" w:sz="4"/>
              <w:bottom w:val="single" w:color="D0D8E4" w:sz="4"/>
              <w:right w:val="single" w:color="D0D8E4" w:sz="4"/>
            </w:tcBorders>
            <w:shd w:fill="1A6B3C" w:color="auto" w:val="clear"/>
            <w:tcMar>
              <w:top w:type="dxa" w:w="80"/>
              <w:left w:type="dxa" w:w="160"/>
              <w:bottom w:type="dxa" w:w="80"/>
              <w:right w:type="dxa" w:w="160"/>
            </w:tcMar>
            <w:vAlign w:val="top"/>
          </w:tcPr>
          <w:p>
            <w:r>
              <w:rPr>
                <w:rFonts w:ascii="Arial" w:cs="Arial" w:eastAsia="Arial" w:hAnsi="Arial"/>
                <w:b/>
                <w:bCs/>
                <w:color w:val="FFFFFF"/>
                <w:sz w:val="24"/>
                <w:szCs w:val="24"/>
              </w:rPr>
              <w:t xml:space="preserve">💪 FORZE (Strengths)</w:t>
            </w:r>
          </w:p>
          <w:p>
            <w:r>
              <w:t xml:space="preserve"/>
            </w:r>
          </w:p>
        </w:tc>
        <w:tc>
          <w:tcPr>
            <w:tcW w:type="dxa" w:w="4513"/>
            <w:tcBorders>
              <w:top w:val="single" w:color="D0D8E4" w:sz="4"/>
              <w:left w:val="single" w:color="D0D8E4" w:sz="4"/>
              <w:bottom w:val="single" w:color="D0D8E4" w:sz="4"/>
              <w:right w:val="single" w:color="D0D8E4" w:sz="4"/>
            </w:tcBorders>
            <w:shd w:fill="B8391A" w:color="auto" w:val="clear"/>
            <w:tcMar>
              <w:top w:type="dxa" w:w="80"/>
              <w:left w:type="dxa" w:w="160"/>
              <w:bottom w:type="dxa" w:w="80"/>
              <w:right w:type="dxa" w:w="160"/>
            </w:tcMar>
            <w:vAlign w:val="top"/>
          </w:tcPr>
          <w:p>
            <w:r>
              <w:rPr>
                <w:rFonts w:ascii="Arial" w:cs="Arial" w:eastAsia="Arial" w:hAnsi="Arial"/>
                <w:b/>
                <w:bCs/>
                <w:color w:val="FFFFFF"/>
                <w:sz w:val="24"/>
                <w:szCs w:val="24"/>
              </w:rPr>
              <w:t xml:space="preserve">⚠ DEBOLEZZE (Weaknesses)</w:t>
            </w:r>
          </w:p>
        </w:tc>
      </w:tr>
      <w:tr>
        <w:tc>
          <w:tcPr>
            <w:tcW w:type="dxa" w:w="4513"/>
            <w:tcBorders>
              <w:top w:val="single" w:color="D0D8E4" w:sz="4"/>
              <w:left w:val="single" w:color="D0D8E4" w:sz="4"/>
              <w:bottom w:val="single" w:color="D0D8E4" w:sz="4"/>
              <w:right w:val="single" w:color="D0D8E4" w:sz="4"/>
            </w:tcBorders>
            <w:shd w:fill="E8F4E8" w:color="auto" w:val="clear"/>
            <w:tcMar>
              <w:top w:type="dxa" w:w="80"/>
              <w:left w:type="dxa" w:w="160"/>
              <w:bottom w:type="dxa" w:w="80"/>
              <w:right w:type="dxa" w:w="160"/>
            </w:tcMar>
            <w:vAlign w:val="top"/>
          </w:tcPr>
          <w:p>
            <w:r>
              <w:rPr>
                <w:rFonts w:ascii="Arial" w:cs="Arial" w:eastAsia="Arial" w:hAnsi="Arial"/>
                <w:sz w:val="21"/>
                <w:szCs w:val="21"/>
              </w:rPr>
              <w:t xml:space="preserve">• Know-how tecnico specializzato (20+ anni)</w:t>
            </w:r>
          </w:p>
          <w:p>
            <w:r>
              <w:rPr>
                <w:rFonts w:ascii="Arial" w:cs="Arial" w:eastAsia="Arial" w:hAnsi="Arial"/>
                <w:sz w:val="21"/>
                <w:szCs w:val="21"/>
              </w:rPr>
              <w:t xml:space="preserve">• Flessibilità produttiva su lotti medi</w:t>
            </w:r>
          </w:p>
          <w:p>
            <w:r>
              <w:rPr>
                <w:rFonts w:ascii="Arial" w:cs="Arial" w:eastAsia="Arial" w:hAnsi="Arial"/>
                <w:sz w:val="21"/>
                <w:szCs w:val="21"/>
              </w:rPr>
              <w:t xml:space="preserve">• Relazioni clienti consolidate e fidelizzate</w:t>
            </w:r>
          </w:p>
          <w:p>
            <w:r>
              <w:rPr>
                <w:rFonts w:ascii="Arial" w:cs="Arial" w:eastAsia="Arial" w:hAnsi="Arial"/>
                <w:sz w:val="21"/>
                <w:szCs w:val="21"/>
              </w:rPr>
              <w:t xml:space="preserve">• Liquidità operativa sana (current ratio &gt; 1.8)</w:t>
            </w:r>
          </w:p>
          <w:p>
            <w:r>
              <w:rPr>
                <w:rFonts w:ascii="Arial" w:cs="Arial" w:eastAsia="Arial" w:hAnsi="Arial"/>
                <w:sz w:val="21"/>
                <w:szCs w:val="21"/>
              </w:rPr>
              <w:t xml:space="preserve">• Produttività/dipendente superiore al benchmark</w:t>
            </w:r>
          </w:p>
        </w:tc>
        <w:tc>
          <w:tcPr>
            <w:tcW w:type="dxa" w:w="4513"/>
            <w:tcBorders>
              <w:top w:val="single" w:color="D0D8E4" w:sz="4"/>
              <w:left w:val="single" w:color="D0D8E4" w:sz="4"/>
              <w:bottom w:val="single" w:color="D0D8E4" w:sz="4"/>
              <w:right w:val="single" w:color="D0D8E4" w:sz="4"/>
            </w:tcBorders>
            <w:shd w:fill="FFE8E8" w:color="auto" w:val="clear"/>
            <w:tcMar>
              <w:top w:type="dxa" w:w="80"/>
              <w:left w:type="dxa" w:w="160"/>
              <w:bottom w:type="dxa" w:w="80"/>
              <w:right w:type="dxa" w:w="160"/>
            </w:tcMar>
            <w:vAlign w:val="top"/>
          </w:tcPr>
          <w:p>
            <w:r>
              <w:rPr>
                <w:rFonts w:ascii="Arial" w:cs="Arial" w:eastAsia="Arial" w:hAnsi="Arial"/>
                <w:sz w:val="21"/>
                <w:szCs w:val="21"/>
              </w:rPr>
              <w:t xml:space="preserve">• Dipendenza eccessiva da 3 clienti (55% ftto)</w:t>
            </w:r>
          </w:p>
          <w:p>
            <w:r>
              <w:rPr>
                <w:rFonts w:ascii="Arial" w:cs="Arial" w:eastAsia="Arial" w:hAnsi="Arial"/>
                <w:sz w:val="21"/>
                <w:szCs w:val="21"/>
              </w:rPr>
              <w:t xml:space="preserve">• Assenza di processo commerciale strutturato</w:t>
            </w:r>
          </w:p>
          <w:p>
            <w:r>
              <w:rPr>
                <w:rFonts w:ascii="Arial" w:cs="Arial" w:eastAsia="Arial" w:hAnsi="Arial"/>
                <w:sz w:val="21"/>
                <w:szCs w:val="21"/>
              </w:rPr>
              <w:t xml:space="preserve">• Bassa digitalizzazione processi (28% vs 41%)</w:t>
            </w:r>
          </w:p>
          <w:p>
            <w:r>
              <w:rPr>
                <w:rFonts w:ascii="Arial" w:cs="Arial" w:eastAsia="Arial" w:hAnsi="Arial"/>
                <w:sz w:val="21"/>
                <w:szCs w:val="21"/>
              </w:rPr>
              <w:t xml:space="preserve">• Nessuna certificazione qualità formale</w:t>
            </w:r>
          </w:p>
          <w:p>
            <w:r>
              <w:rPr>
                <w:rFonts w:ascii="Arial" w:cs="Arial" w:eastAsia="Arial" w:hAnsi="Arial"/>
                <w:sz w:val="21"/>
                <w:szCs w:val="21"/>
              </w:rPr>
              <w:t xml:space="preserve">• Struttura finanziaria con debiti elevati (D/E 2,1x)</w:t>
            </w:r>
          </w:p>
        </w:tc>
      </w:tr>
      <w:tr>
        <w:tc>
          <w:tcPr>
            <w:tcW w:type="dxa" w:w="4513"/>
            <w:tcBorders>
              <w:top w:val="single" w:color="D0D8E4" w:sz="4"/>
              <w:left w:val="single" w:color="D0D8E4" w:sz="4"/>
              <w:bottom w:val="single" w:color="D0D8E4" w:sz="4"/>
              <w:right w:val="single" w:color="D0D8E4" w:sz="4"/>
            </w:tcBorders>
            <w:shd w:fill="1F4E79" w:color="auto" w:val="clear"/>
            <w:tcMar>
              <w:top w:type="dxa" w:w="80"/>
              <w:left w:type="dxa" w:w="160"/>
              <w:bottom w:type="dxa" w:w="80"/>
              <w:right w:type="dxa" w:w="160"/>
            </w:tcMar>
            <w:vAlign w:val="top"/>
          </w:tcPr>
          <w:p>
            <w:r>
              <w:rPr>
                <w:rFonts w:ascii="Arial" w:cs="Arial" w:eastAsia="Arial" w:hAnsi="Arial"/>
                <w:b/>
                <w:bCs/>
                <w:color w:val="FFFFFF"/>
                <w:sz w:val="24"/>
                <w:szCs w:val="24"/>
              </w:rPr>
              <w:t xml:space="preserve">🚀 OPPORTUNITÀ (Opportunities)</w:t>
            </w:r>
          </w:p>
        </w:tc>
        <w:tc>
          <w:tcPr>
            <w:tcW w:type="dxa" w:w="4513"/>
            <w:tcBorders>
              <w:top w:val="single" w:color="D0D8E4" w:sz="4"/>
              <w:left w:val="single" w:color="D0D8E4" w:sz="4"/>
              <w:bottom w:val="single" w:color="D0D8E4" w:sz="4"/>
              <w:right w:val="single" w:color="D0D8E4" w:sz="4"/>
            </w:tcBorders>
            <w:shd w:fill="5B5B5B" w:color="auto" w:val="clear"/>
            <w:tcMar>
              <w:top w:type="dxa" w:w="80"/>
              <w:left w:type="dxa" w:w="160"/>
              <w:bottom w:type="dxa" w:w="80"/>
              <w:right w:type="dxa" w:w="160"/>
            </w:tcMar>
            <w:vAlign w:val="top"/>
          </w:tcPr>
          <w:p>
            <w:r>
              <w:rPr>
                <w:rFonts w:ascii="Arial" w:cs="Arial" w:eastAsia="Arial" w:hAnsi="Arial"/>
                <w:b/>
                <w:bCs/>
                <w:color w:val="FFFFFF"/>
                <w:sz w:val="24"/>
                <w:szCs w:val="24"/>
              </w:rPr>
              <w:t xml:space="preserve">⚡ MINACCE (Threats)</w:t>
            </w:r>
          </w:p>
        </w:tc>
      </w:tr>
      <w:tr>
        <w:tc>
          <w:tcPr>
            <w:tcW w:type="dxa" w:w="4513"/>
            <w:tcBorders>
              <w:top w:val="single" w:color="D0D8E4" w:sz="4"/>
              <w:left w:val="single" w:color="D0D8E4" w:sz="4"/>
              <w:bottom w:val="single" w:color="D0D8E4" w:sz="4"/>
              <w:right w:val="single" w:color="D0D8E4" w:sz="4"/>
            </w:tcBorders>
            <w:shd w:fill="E8EEFF" w:color="auto" w:val="clear"/>
            <w:tcMar>
              <w:top w:type="dxa" w:w="80"/>
              <w:left w:type="dxa" w:w="160"/>
              <w:bottom w:type="dxa" w:w="80"/>
              <w:right w:type="dxa" w:w="160"/>
            </w:tcMar>
            <w:vAlign w:val="top"/>
          </w:tcPr>
          <w:p>
            <w:r>
              <w:rPr>
                <w:rFonts w:ascii="Arial" w:cs="Arial" w:eastAsia="Arial" w:hAnsi="Arial"/>
                <w:sz w:val="21"/>
                <w:szCs w:val="21"/>
              </w:rPr>
              <w:t xml:space="preserve">• Bandi Transizione 5.0 per digitalizzazione</w:t>
            </w:r>
          </w:p>
          <w:p>
            <w:r>
              <w:rPr>
                <w:rFonts w:ascii="Arial" w:cs="Arial" w:eastAsia="Arial" w:hAnsi="Arial"/>
                <w:sz w:val="21"/>
                <w:szCs w:val="21"/>
              </w:rPr>
              <w:t xml:space="preserve">• Export verso mercati DACH (Germania/Austria)</w:t>
            </w:r>
          </w:p>
          <w:p>
            <w:r>
              <w:rPr>
                <w:rFonts w:ascii="Arial" w:cs="Arial" w:eastAsia="Arial" w:hAnsi="Arial"/>
                <w:sz w:val="21"/>
                <w:szCs w:val="21"/>
              </w:rPr>
              <w:t xml:space="preserve">• Crescita domanda lavorazioni precision machining +8% CAGR</w:t>
            </w:r>
          </w:p>
          <w:p>
            <w:r>
              <w:rPr>
                <w:rFonts w:ascii="Arial" w:cs="Arial" w:eastAsia="Arial" w:hAnsi="Arial"/>
                <w:sz w:val="21"/>
                <w:szCs w:val="21"/>
              </w:rPr>
              <w:t xml:space="preserve">• ISO 9001 apre segmenti automotive/medicale</w:t>
            </w:r>
          </w:p>
          <w:p>
            <w:r>
              <w:rPr>
                <w:rFonts w:ascii="Arial" w:cs="Arial" w:eastAsia="Arial" w:hAnsi="Arial"/>
                <w:sz w:val="21"/>
                <w:szCs w:val="21"/>
              </w:rPr>
              <w:t xml:space="preserve">• Partnership con studi di progettazione locali</w:t>
            </w:r>
          </w:p>
        </w:tc>
        <w:tc>
          <w:tcPr>
            <w:tcW w:type="dxa" w:w="4513"/>
            <w:tcBorders>
              <w:top w:val="single" w:color="D0D8E4" w:sz="4"/>
              <w:left w:val="single" w:color="D0D8E4" w:sz="4"/>
              <w:bottom w:val="single" w:color="D0D8E4" w:sz="4"/>
              <w:right w:val="single" w:color="D0D8E4" w:sz="4"/>
            </w:tcBorders>
            <w:shd w:fill="F5F5F5" w:color="auto" w:val="clear"/>
            <w:tcMar>
              <w:top w:type="dxa" w:w="80"/>
              <w:left w:type="dxa" w:w="160"/>
              <w:bottom w:type="dxa" w:w="80"/>
              <w:right w:type="dxa" w:w="160"/>
            </w:tcMar>
            <w:vAlign w:val="top"/>
          </w:tcPr>
          <w:p>
            <w:r>
              <w:rPr>
                <w:rFonts w:ascii="Arial" w:cs="Arial" w:eastAsia="Arial" w:hAnsi="Arial"/>
                <w:sz w:val="21"/>
                <w:szCs w:val="21"/>
              </w:rPr>
              <w:t xml:space="preserve">• Pressione da low-cost providers est-europei</w:t>
            </w:r>
          </w:p>
          <w:p>
            <w:r>
              <w:rPr>
                <w:rFonts w:ascii="Arial" w:cs="Arial" w:eastAsia="Arial" w:hAnsi="Arial"/>
                <w:sz w:val="21"/>
                <w:szCs w:val="21"/>
              </w:rPr>
              <w:t xml:space="preserve">• Aumento costi energetici e materie prime</w:t>
            </w:r>
          </w:p>
          <w:p>
            <w:r>
              <w:rPr>
                <w:rFonts w:ascii="Arial" w:cs="Arial" w:eastAsia="Arial" w:hAnsi="Arial"/>
                <w:sz w:val="21"/>
                <w:szCs w:val="21"/>
              </w:rPr>
              <w:t xml:space="preserve">• Difficoltà reperimento tecnici specializzati</w:t>
            </w:r>
          </w:p>
          <w:p>
            <w:r>
              <w:rPr>
                <w:rFonts w:ascii="Arial" w:cs="Arial" w:eastAsia="Arial" w:hAnsi="Arial"/>
                <w:sz w:val="21"/>
                <w:szCs w:val="21"/>
              </w:rPr>
              <w:t xml:space="preserve">• Rischio perdita cliente chiave (28% fatturato)</w:t>
            </w:r>
          </w:p>
          <w:p>
            <w:r>
              <w:rPr>
                <w:rFonts w:ascii="Arial" w:cs="Arial" w:eastAsia="Arial" w:hAnsi="Arial"/>
                <w:sz w:val="21"/>
                <w:szCs w:val="21"/>
              </w:rPr>
              <w:t xml:space="preserve">• Aumento tassi — costo debito in crescita</w:t>
            </w:r>
          </w:p>
        </w:tc>
      </w:tr>
    </w:tbl>
    <w:p>
      <w:r>
        <w:br w:type="page"/>
      </w:r>
    </w:p>
    <w:p>
      <w:pPr>
        <w:pBdr>
          <w:bottom w:val="single" w:color="1F4E79" w:sz="8"/>
        </w:pBdr>
        <w:spacing w:after="120" w:before="240"/>
      </w:pPr>
      <w:r>
        <w:rPr>
          <w:rFonts w:ascii="Arial" w:cs="Arial" w:eastAsia="Arial" w:hAnsi="Arial"/>
          <w:b/>
          <w:bCs/>
          <w:color w:val="1F4E79"/>
          <w:sz w:val="36"/>
          <w:szCs w:val="36"/>
        </w:rPr>
        <w:t xml:space="preserve">Opportunità Strategiche Identificate</w:t>
      </w:r>
    </w:p>
    <w:p>
      <w:pPr>
        <w:spacing w:after="60" w:before="160"/>
      </w:pPr>
      <w:r>
        <w:rPr>
          <w:rFonts w:ascii="Arial" w:cs="Arial" w:eastAsia="Arial" w:hAnsi="Arial"/>
          <w:b/>
          <w:bCs/>
          <w:color w:val="1F4E79"/>
          <w:sz w:val="24"/>
          <w:szCs w:val="24"/>
        </w:rPr>
        <w:t xml:space="preserve">Opportunità #1 — Transizione 5.0 (Valore stimato: €80.000-120.000)</w:t>
      </w:r>
    </w:p>
    <w:p>
      <w:pPr>
        <w:spacing w:after="60" w:before="60"/>
        <w:jc w:val="left"/>
      </w:pPr>
      <w:r>
        <w:rPr>
          <w:rFonts w:ascii="Arial" w:cs="Arial" w:eastAsia="Arial" w:hAnsi="Arial"/>
          <w:b w:val="false"/>
          <w:bCs w:val="false"/>
          <w:color w:val="000000"/>
          <w:sz w:val="22"/>
          <w:szCs w:val="22"/>
        </w:rPr>
        <w:t xml:space="preserve">Il Decreto Transizione 5.0 prevede crediti d'imposta dal 35% al 45% per investimenti in beni strumentali 4.0 con risparmio energetico. Artigiana Italiana S.r.l. ha potenzialmente 3 macchinari che potrebbero essere sostituiti/aggiornati entro il 31/12/2026 accedendo all'agevolazione.</w:t>
      </w:r>
    </w:p>
    <w:p>
      <w:pPr>
        <w:pStyle w:val="ListParagraph"/>
        <w:numPr>
          <w:ilvl w:val="0"/>
          <w:numId w:val="2"/>
        </w:numPr>
        <w:spacing w:after="40" w:before="40"/>
      </w:pPr>
      <w:r>
        <w:rPr>
          <w:rFonts w:ascii="Arial" w:cs="Arial" w:eastAsia="Arial" w:hAnsi="Arial"/>
          <w:sz w:val="22"/>
          <w:szCs w:val="22"/>
        </w:rPr>
        <w:t xml:space="preserve">Investimento potenziale identificato: sostituzione tornio CNC datato 2009 (€85.000) e aggiornamento centro di lavoro (€65.000)</w:t>
      </w:r>
    </w:p>
    <w:p>
      <w:pPr>
        <w:pStyle w:val="ListParagraph"/>
        <w:numPr>
          <w:ilvl w:val="0"/>
          <w:numId w:val="2"/>
        </w:numPr>
        <w:spacing w:after="40" w:before="40"/>
      </w:pPr>
      <w:r>
        <w:rPr>
          <w:rFonts w:ascii="Arial" w:cs="Arial" w:eastAsia="Arial" w:hAnsi="Arial"/>
          <w:sz w:val="22"/>
          <w:szCs w:val="22"/>
        </w:rPr>
        <w:t xml:space="preserve">Credito d'imposta potenziale: €40.000-65.000 su un investimento totale di €150.000</w:t>
      </w:r>
    </w:p>
    <w:p>
      <w:pPr>
        <w:pStyle w:val="ListParagraph"/>
        <w:numPr>
          <w:ilvl w:val="0"/>
          <w:numId w:val="2"/>
        </w:numPr>
        <w:spacing w:after="40" w:before="40"/>
      </w:pPr>
      <w:r>
        <w:rPr>
          <w:rFonts w:ascii="Arial" w:cs="Arial" w:eastAsia="Arial" w:hAnsi="Arial"/>
          <w:sz w:val="22"/>
          <w:szCs w:val="22"/>
        </w:rPr>
        <w:t xml:space="preserve">Risparmio energetico atteso: -18% consumi elettrici → €8.000-12.000 annui</w:t>
      </w:r>
    </w:p>
    <w:p>
      <w:pPr>
        <w:pStyle w:val="ListParagraph"/>
        <w:numPr>
          <w:ilvl w:val="0"/>
          <w:numId w:val="2"/>
        </w:numPr>
        <w:spacing w:after="40" w:before="40"/>
      </w:pPr>
      <w:r>
        <w:rPr>
          <w:rFonts w:ascii="Arial" w:cs="Arial" w:eastAsia="Arial" w:hAnsi="Arial"/>
          <w:sz w:val="22"/>
          <w:szCs w:val="22"/>
        </w:rPr>
        <w:t xml:space="preserve">Azione immediata: richiedere perizia tecnica a professionista abilitato entro maggio 2026</w:t>
      </w:r>
    </w:p>
    <w:p>
      <w:pPr>
        <w:spacing w:after="0" w:before="80"/>
      </w:pPr>
      <w:r>
        <w:t xml:space="preserve"/>
      </w:r>
    </w:p>
    <w:p>
      <w:pPr>
        <w:spacing w:after="60" w:before="160"/>
      </w:pPr>
      <w:r>
        <w:rPr>
          <w:rFonts w:ascii="Arial" w:cs="Arial" w:eastAsia="Arial" w:hAnsi="Arial"/>
          <w:b/>
          <w:bCs/>
          <w:color w:val="1F4E79"/>
          <w:sz w:val="24"/>
          <w:szCs w:val="24"/>
        </w:rPr>
        <w:t xml:space="preserve">Opportunità #2 — Export Germania (Valore potenziale: €150.000-250.000/anno)</w:t>
      </w:r>
    </w:p>
    <w:p>
      <w:pPr>
        <w:spacing w:after="60" w:before="60"/>
        <w:jc w:val="left"/>
      </w:pPr>
      <w:r>
        <w:rPr>
          <w:rFonts w:ascii="Arial" w:cs="Arial" w:eastAsia="Arial" w:hAnsi="Arial"/>
          <w:b w:val="false"/>
          <w:bCs w:val="false"/>
          <w:color w:val="000000"/>
          <w:sz w:val="22"/>
          <w:szCs w:val="22"/>
        </w:rPr>
        <w:t xml:space="preserve">Il mercato tedesco della meccanica di precisione presenta una domanda strutturale non soddisfatta per lavorazioni di media complessità con lotti 100-500 pezzi. Alcuni terzisti italiani simili ad Artigiana Italiana hanno avviato con successo relazioni con Mittelstand tedeschi tramite fiere di settore e intermediari specializzati.</w:t>
      </w:r>
    </w:p>
    <w:p>
      <w:pPr>
        <w:pStyle w:val="ListParagraph"/>
        <w:numPr>
          <w:ilvl w:val="0"/>
          <w:numId w:val="2"/>
        </w:numPr>
        <w:spacing w:after="40" w:before="40"/>
      </w:pPr>
      <w:r>
        <w:rPr>
          <w:rFonts w:ascii="Arial" w:cs="Arial" w:eastAsia="Arial" w:hAnsi="Arial"/>
          <w:sz w:val="22"/>
          <w:szCs w:val="22"/>
        </w:rPr>
        <w:t xml:space="preserve">Fiera target: EMO Hannover (settembre 2026) — esposizione costo stimato €8.000-12.000</w:t>
      </w:r>
    </w:p>
    <w:p>
      <w:pPr>
        <w:pStyle w:val="ListParagraph"/>
        <w:numPr>
          <w:ilvl w:val="0"/>
          <w:numId w:val="2"/>
        </w:numPr>
        <w:spacing w:after="40" w:before="40"/>
      </w:pPr>
      <w:r>
        <w:rPr>
          <w:rFonts w:ascii="Arial" w:cs="Arial" w:eastAsia="Arial" w:hAnsi="Arial"/>
          <w:sz w:val="22"/>
          <w:szCs w:val="22"/>
        </w:rPr>
        <w:t xml:space="preserve">ICE Agenzia supporta con voucher promozionali per PMI (fino al 50% dei costi)</w:t>
      </w:r>
    </w:p>
    <w:p>
      <w:pPr>
        <w:pStyle w:val="ListParagraph"/>
        <w:numPr>
          <w:ilvl w:val="0"/>
          <w:numId w:val="2"/>
        </w:numPr>
        <w:spacing w:after="40" w:before="40"/>
      </w:pPr>
      <w:r>
        <w:rPr>
          <w:rFonts w:ascii="Arial" w:cs="Arial" w:eastAsia="Arial" w:hAnsi="Arial"/>
          <w:sz w:val="22"/>
          <w:szCs w:val="22"/>
        </w:rPr>
        <w:t xml:space="preserve">K2-AI può supportare nella identificazione di 10-15 prospect tedeschi qualificati</w:t>
      </w:r>
    </w:p>
    <w:p>
      <w:pPr>
        <w:pStyle w:val="ListParagraph"/>
        <w:numPr>
          <w:ilvl w:val="0"/>
          <w:numId w:val="2"/>
        </w:numPr>
        <w:spacing w:after="40" w:before="40"/>
      </w:pPr>
      <w:r>
        <w:rPr>
          <w:rFonts w:ascii="Arial" w:cs="Arial" w:eastAsia="Arial" w:hAnsi="Arial"/>
          <w:sz w:val="22"/>
          <w:szCs w:val="22"/>
        </w:rPr>
        <w:t xml:space="preserve">Timeline attesa: primi contatti Q3, prima commessa Q4 2026 / Q1 2027</w:t>
      </w:r>
    </w:p>
    <w:p>
      <w:pPr>
        <w:spacing w:after="0" w:before="120"/>
      </w:pPr>
      <w:r>
        <w:t xml:space="preserve"/>
      </w:r>
    </w:p>
    <w:p>
      <w:pPr>
        <w:pBdr>
          <w:bottom w:val="single" w:color="1F4E79" w:sz="8"/>
        </w:pBdr>
        <w:spacing w:after="120" w:before="240"/>
      </w:pPr>
      <w:r>
        <w:rPr>
          <w:rFonts w:ascii="Arial" w:cs="Arial" w:eastAsia="Arial" w:hAnsi="Arial"/>
          <w:b/>
          <w:bCs/>
          <w:color w:val="1F4E79"/>
          <w:sz w:val="36"/>
          <w:szCs w:val="36"/>
        </w:rPr>
        <w:t xml:space="preserve">Piano d'Azione Strategico — 90 Giorni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1100"/>
        <w:gridCol w:w="2526"/>
      </w:tblGrid>
      <w:tr>
        <w:tc>
          <w:tcPr>
            <w:tcW w:type="dxa" w:w="26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Azione</w:t>
            </w:r>
          </w:p>
        </w:tc>
        <w:tc>
          <w:tcPr>
            <w:tcW w:type="dxa" w:w="16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Owner</w:t>
            </w:r>
          </w:p>
        </w:tc>
        <w:tc>
          <w:tcPr>
            <w:tcW w:type="dxa" w:w="12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Scadenza</w:t>
            </w:r>
          </w:p>
        </w:tc>
        <w:tc>
          <w:tcPr>
            <w:tcW w:type="dxa" w:w="11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Budget</w:t>
            </w:r>
          </w:p>
        </w:tc>
        <w:tc>
          <w:tcPr>
            <w:tcW w:type="dxa" w:w="2526"/>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KPI Successo</w:t>
            </w:r>
          </w:p>
        </w:tc>
      </w:tr>
      <w:tr>
        <w:tc>
          <w:tcPr>
            <w:tcW w:type="dxa" w:w="2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Perizia tecnica macchinari x T5.0</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Titolare + commercialista</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Mag 15</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€ 1.500</w:t>
            </w:r>
          </w:p>
        </w:tc>
        <w:tc>
          <w:tcPr>
            <w:tcW w:type="dxa" w:w="2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Perizia emessa</w:t>
            </w:r>
          </w:p>
        </w:tc>
      </w:tr>
      <w:tr>
        <w:tc>
          <w:tcPr>
            <w:tcW w:type="dxa" w:w="2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DSO: negoziazione condizioni top clienti</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Titolare</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Mag 31</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Zero</w:t>
            </w:r>
          </w:p>
        </w:tc>
        <w:tc>
          <w:tcPr>
            <w:tcW w:type="dxa" w:w="2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DSO &lt; 45 gg</w:t>
            </w:r>
          </w:p>
        </w:tc>
      </w:tr>
      <w:tr>
        <w:tc>
          <w:tcPr>
            <w:tcW w:type="dxa" w:w="2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CRM setup + training</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Commerciale + K2-AI</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Giu 15</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€ 500/anno</w:t>
            </w:r>
          </w:p>
        </w:tc>
        <w:tc>
          <w:tcPr>
            <w:tcW w:type="dxa" w:w="2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Pipeline € 200K</w:t>
            </w:r>
          </w:p>
        </w:tc>
      </w:tr>
      <w:tr>
        <w:tc>
          <w:tcPr>
            <w:tcW w:type="dxa" w:w="2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Richiesta voucher ICE per EMO</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Titolare</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Mag 31</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Zero</w:t>
            </w:r>
          </w:p>
        </w:tc>
        <w:tc>
          <w:tcPr>
            <w:tcW w:type="dxa" w:w="2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Domanda inviata</w:t>
            </w:r>
          </w:p>
        </w:tc>
      </w:tr>
      <w:tr>
        <w:tc>
          <w:tcPr>
            <w:tcW w:type="dxa" w:w="2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Lean: mapping + interventi Q</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Resp.Produzione</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Lug 15</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Zero</w:t>
            </w:r>
          </w:p>
        </w:tc>
        <w:tc>
          <w:tcPr>
            <w:tcW w:type="dxa" w:w="2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Scarti &lt; 3,0%</w:t>
            </w:r>
          </w:p>
        </w:tc>
      </w:tr>
      <w:tr>
        <w:tc>
          <w:tcPr>
            <w:tcW w:type="dxa" w:w="2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ISO 9001: selezione consulente</w:t>
            </w:r>
          </w:p>
        </w:tc>
        <w:tc>
          <w:tcPr>
            <w:tcW w:type="dxa" w:w="16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Titolare</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Giu 30</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€ 500 (valut.)</w:t>
            </w:r>
          </w:p>
        </w:tc>
        <w:tc>
          <w:tcPr>
            <w:tcW w:type="dxa" w:w="2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Offerta ricevuta</w:t>
            </w:r>
          </w:p>
        </w:tc>
      </w:tr>
    </w:tbl>
    <w:p>
      <w:r>
        <w:br w:type="page"/>
      </w:r>
    </w:p>
    <w:p>
      <w:pPr>
        <w:pBdr>
          <w:bottom w:val="single" w:color="1F4E79" w:sz="8"/>
        </w:pBdr>
        <w:spacing w:after="120" w:before="240"/>
      </w:pPr>
      <w:r>
        <w:rPr>
          <w:rFonts w:ascii="Arial" w:cs="Arial" w:eastAsia="Arial" w:hAnsi="Arial"/>
          <w:b/>
          <w:bCs/>
          <w:color w:val="1F4E79"/>
          <w:sz w:val="36"/>
          <w:szCs w:val="36"/>
        </w:rPr>
        <w:t xml:space="preserve">Financial Overview — H1 2026</w:t>
      </w:r>
    </w:p>
    <w:p>
      <w:pPr>
        <w:spacing w:after="80" w:before="200"/>
      </w:pPr>
      <w:r>
        <w:rPr>
          <w:rFonts w:ascii="Arial" w:cs="Arial" w:eastAsia="Arial" w:hAnsi="Arial"/>
          <w:b/>
          <w:bCs/>
          <w:color w:val="2E75B6"/>
          <w:sz w:val="28"/>
          <w:szCs w:val="28"/>
        </w:rPr>
        <w:t xml:space="preserve">Conto Economico Sintetico YTD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900"/>
        <w:gridCol w:w="926"/>
      </w:tblGrid>
      <w:tr>
        <w:tc>
          <w:tcPr>
            <w:tcW w:type="dxa" w:w="22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Voce P&amp;L</w:t>
            </w:r>
          </w:p>
        </w:tc>
        <w:tc>
          <w:tcPr>
            <w:tcW w:type="dxa" w:w="20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Budget H1</w:t>
            </w:r>
          </w:p>
        </w:tc>
        <w:tc>
          <w:tcPr>
            <w:tcW w:type="dxa" w:w="20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Actual YTD (Apr)</w:t>
            </w:r>
          </w:p>
        </w:tc>
        <w:tc>
          <w:tcPr>
            <w:tcW w:type="dxa" w:w="19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Forecast H1</w:t>
            </w:r>
          </w:p>
        </w:tc>
        <w:tc>
          <w:tcPr>
            <w:tcW w:type="dxa" w:w="926"/>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Scostamento</w:t>
            </w:r>
          </w:p>
        </w:tc>
      </w:tr>
      <w:tr>
        <w:tc>
          <w:tcPr>
            <w:tcW w:type="dxa" w:w="2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Ricavi netti</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€ 1.200.000</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€ 800.000</w:t>
            </w:r>
          </w:p>
        </w:tc>
        <w:tc>
          <w:tcPr>
            <w:tcW w:type="dxa" w:w="19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€ 1.210.000</w:t>
            </w:r>
          </w:p>
        </w:tc>
        <w:tc>
          <w:tcPr>
            <w:tcW w:type="dxa" w:w="9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+€ 10.000 (+0,8%)</w:t>
            </w:r>
          </w:p>
        </w:tc>
      </w:tr>
      <w:tr>
        <w:tc>
          <w:tcPr>
            <w:tcW w:type="dxa" w:w="2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Costo del venduto</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€ 828.000</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€ 553.000</w:t>
            </w:r>
          </w:p>
        </w:tc>
        <w:tc>
          <w:tcPr>
            <w:tcW w:type="dxa" w:w="19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€ 836.000</w:t>
            </w:r>
          </w:p>
        </w:tc>
        <w:tc>
          <w:tcPr>
            <w:tcW w:type="dxa" w:w="9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-€ 8.000 (-1,0%)</w:t>
            </w:r>
          </w:p>
        </w:tc>
      </w:tr>
      <w:tr>
        <w:tc>
          <w:tcPr>
            <w:tcW w:type="dxa" w:w="2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Margine Lordo</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€ 372.000 (31,0%)</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€ 247.000 (30,9%)</w:t>
            </w:r>
          </w:p>
        </w:tc>
        <w:tc>
          <w:tcPr>
            <w:tcW w:type="dxa" w:w="19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€ 374.000 (30,9%)</w:t>
            </w:r>
          </w:p>
        </w:tc>
        <w:tc>
          <w:tcPr>
            <w:tcW w:type="dxa" w:w="9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In linea</w:t>
            </w:r>
          </w:p>
        </w:tc>
      </w:tr>
      <w:tr>
        <w:tc>
          <w:tcPr>
            <w:tcW w:type="dxa" w:w="2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Spese generali &amp; amm.</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€ 240.000</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€ 163.000</w:t>
            </w:r>
          </w:p>
        </w:tc>
        <w:tc>
          <w:tcPr>
            <w:tcW w:type="dxa" w:w="19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€ 244.000</w:t>
            </w:r>
          </w:p>
        </w:tc>
        <w:tc>
          <w:tcPr>
            <w:tcW w:type="dxa" w:w="9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-€ 4.000</w:t>
            </w:r>
          </w:p>
        </w:tc>
      </w:tr>
      <w:tr>
        <w:tc>
          <w:tcPr>
            <w:tcW w:type="dxa" w:w="2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EBITDA</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€ 132.000 (11,0%)</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€ 84.000 (10,5%)</w:t>
            </w:r>
          </w:p>
        </w:tc>
        <w:tc>
          <w:tcPr>
            <w:tcW w:type="dxa" w:w="19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€ 130.000 (10,7%)</w:t>
            </w:r>
          </w:p>
        </w:tc>
        <w:tc>
          <w:tcPr>
            <w:tcW w:type="dxa" w:w="9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In linea</w:t>
            </w:r>
          </w:p>
        </w:tc>
      </w:tr>
      <w:tr>
        <w:tc>
          <w:tcPr>
            <w:tcW w:type="dxa" w:w="2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Ammortamenti stimati</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€ 42.000</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€ 28.000</w:t>
            </w:r>
          </w:p>
        </w:tc>
        <w:tc>
          <w:tcPr>
            <w:tcW w:type="dxa" w:w="19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€ 42.000</w:t>
            </w:r>
          </w:p>
        </w:tc>
        <w:tc>
          <w:tcPr>
            <w:tcW w:type="dxa" w:w="9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In linea</w:t>
            </w:r>
          </w:p>
        </w:tc>
      </w:tr>
      <w:tr>
        <w:tc>
          <w:tcPr>
            <w:tcW w:type="dxa" w:w="2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EBIT</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€ 90.000 (7,5%)</w:t>
            </w:r>
          </w:p>
        </w:tc>
        <w:tc>
          <w:tcPr>
            <w:tcW w:type="dxa" w:w="2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€ 56.000 (7,0%)</w:t>
            </w:r>
          </w:p>
        </w:tc>
        <w:tc>
          <w:tcPr>
            <w:tcW w:type="dxa" w:w="19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€ 88.000 (7,3%)</w:t>
            </w:r>
          </w:p>
        </w:tc>
        <w:tc>
          <w:tcPr>
            <w:tcW w:type="dxa" w:w="9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Lieve ritardo</w:t>
            </w:r>
          </w:p>
        </w:tc>
      </w:tr>
    </w:tbl>
    <w:p>
      <w:pPr>
        <w:spacing w:after="0" w:before="100"/>
      </w:pPr>
      <w:r>
        <w:t xml:space="preserve"/>
      </w:r>
    </w:p>
    <w:p>
      <w:pPr>
        <w:pBdr>
          <w:bottom w:val="single" w:color="1F4E79" w:sz="8"/>
        </w:pBdr>
        <w:spacing w:after="120" w:before="240"/>
      </w:pPr>
      <w:r>
        <w:rPr>
          <w:rFonts w:ascii="Arial" w:cs="Arial" w:eastAsia="Arial" w:hAnsi="Arial"/>
          <w:b/>
          <w:bCs/>
          <w:color w:val="1F4E79"/>
          <w:sz w:val="36"/>
          <w:szCs w:val="36"/>
        </w:rPr>
        <w:t xml:space="preserve">KPI Executive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c>
          <w:tcPr>
            <w:tcW w:type="dxa" w:w="30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KPI</w:t>
            </w:r>
          </w:p>
        </w:tc>
        <w:tc>
          <w:tcPr>
            <w:tcW w:type="dxa" w:w="15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Actual Apr</w:t>
            </w:r>
          </w:p>
        </w:tc>
        <w:tc>
          <w:tcPr>
            <w:tcW w:type="dxa" w:w="15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Target Mensile</w:t>
            </w:r>
          </w:p>
        </w:tc>
        <w:tc>
          <w:tcPr>
            <w:tcW w:type="dxa" w:w="15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Target Anno</w:t>
            </w:r>
          </w:p>
        </w:tc>
        <w:tc>
          <w:tcPr>
            <w:tcW w:type="dxa" w:w="1526"/>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RAG</w:t>
            </w:r>
          </w:p>
        </w:tc>
      </w:tr>
      <w:tr>
        <w:tc>
          <w:tcPr>
            <w:tcW w:type="dxa" w:w="3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Fatturato</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€ 204K</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€ 200K</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€ 2.600K</w:t>
            </w:r>
          </w:p>
        </w:tc>
        <w:tc>
          <w:tcPr>
            <w:tcW w:type="dxa" w:w="1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r>
      <w:tr>
        <w:tc>
          <w:tcPr>
            <w:tcW w:type="dxa" w:w="3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EBITDA %</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10,8%</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11,0%</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12,5%</w:t>
            </w:r>
          </w:p>
        </w:tc>
        <w:tc>
          <w:tcPr>
            <w:tcW w:type="dxa" w:w="1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r>
      <w:tr>
        <w:tc>
          <w:tcPr>
            <w:tcW w:type="dxa" w:w="3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Cash Conversion Cycle</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62 gg</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55 gg</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45 gg</w:t>
            </w:r>
          </w:p>
        </w:tc>
        <w:tc>
          <w:tcPr>
            <w:tcW w:type="dxa" w:w="1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r>
      <w:tr>
        <w:tc>
          <w:tcPr>
            <w:tcW w:type="dxa" w:w="3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Pipeline commerciale</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€ 148K</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€ 160K</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€ 400K</w:t>
            </w:r>
          </w:p>
        </w:tc>
        <w:tc>
          <w:tcPr>
            <w:tcW w:type="dxa" w:w="1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r>
      <w:tr>
        <w:tc>
          <w:tcPr>
            <w:tcW w:type="dxa" w:w="3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Tasso diversificazione clienti</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45%</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50%</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65%</w:t>
            </w:r>
          </w:p>
        </w:tc>
        <w:tc>
          <w:tcPr>
            <w:tcW w:type="dxa" w:w="1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r>
      <w:tr>
        <w:tc>
          <w:tcPr>
            <w:tcW w:type="dxa" w:w="3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Indice digitalizzazione</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28%</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35%</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55%</w:t>
            </w:r>
          </w:p>
        </w:tc>
        <w:tc>
          <w:tcPr>
            <w:tcW w:type="dxa" w:w="1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r>
      <w:tr>
        <w:tc>
          <w:tcPr>
            <w:tcW w:type="dxa" w:w="30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NPS clienti stimato</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68</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70</w:t>
            </w:r>
          </w:p>
        </w:tc>
        <w:tc>
          <w:tcPr>
            <w:tcW w:type="dxa" w:w="15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75</w:t>
            </w:r>
          </w:p>
        </w:tc>
        <w:tc>
          <w:tcPr>
            <w:tcW w:type="dxa" w:w="15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w:t>
            </w:r>
          </w:p>
        </w:tc>
      </w:tr>
    </w:tbl>
    <w:p>
      <w:pPr>
        <w:spacing w:after="0" w:before="100"/>
      </w:pPr>
      <w:r>
        <w:t xml:space="preserve"/>
      </w:r>
    </w:p>
    <w:p>
      <w:pPr>
        <w:pBdr>
          <w:bottom w:val="single" w:color="1F4E79" w:sz="8"/>
        </w:pBdr>
        <w:spacing w:after="120" w:before="240"/>
      </w:pPr>
      <w:r>
        <w:rPr>
          <w:rFonts w:ascii="Arial" w:cs="Arial" w:eastAsia="Arial" w:hAnsi="Arial"/>
          <w:b/>
          <w:bCs/>
          <w:color w:val="1F4E79"/>
          <w:sz w:val="36"/>
          <w:szCs w:val="36"/>
        </w:rPr>
        <w:t xml:space="preserve">Risk Register — Aprile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100"/>
        <w:gridCol w:w="3126"/>
      </w:tblGrid>
      <w:tr>
        <w:tc>
          <w:tcPr>
            <w:tcW w:type="dxa" w:w="24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Rischio</w:t>
            </w:r>
          </w:p>
        </w:tc>
        <w:tc>
          <w:tcPr>
            <w:tcW w:type="dxa" w:w="12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Probabilità</w:t>
            </w:r>
          </w:p>
        </w:tc>
        <w:tc>
          <w:tcPr>
            <w:tcW w:type="dxa" w:w="12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Impatto</w:t>
            </w:r>
          </w:p>
        </w:tc>
        <w:tc>
          <w:tcPr>
            <w:tcW w:type="dxa" w:w="1100"/>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Livello</w:t>
            </w:r>
          </w:p>
        </w:tc>
        <w:tc>
          <w:tcPr>
            <w:tcW w:type="dxa" w:w="3126"/>
            <w:tcBorders>
              <w:top w:val="single" w:color="D0D8E4" w:sz="4"/>
              <w:left w:val="single" w:color="D0D8E4" w:sz="4"/>
              <w:bottom w:val="single" w:color="D0D8E4" w:sz="4"/>
              <w:right w:val="single" w:color="D0D8E4" w:sz="4"/>
            </w:tcBorders>
            <w:shd w:fill="7B2D8B" w:color="auto" w:val="clear"/>
            <w:tcMar>
              <w:top w:type="dxa" w:w="80"/>
              <w:left w:type="dxa" w:w="160"/>
              <w:bottom w:type="dxa" w:w="80"/>
              <w:right w:type="dxa" w:w="160"/>
            </w:tcMar>
          </w:tcPr>
          <w:p>
            <w:r>
              <w:rPr>
                <w:rFonts w:ascii="Arial" w:cs="Arial" w:eastAsia="Arial" w:hAnsi="Arial"/>
                <w:b/>
                <w:bCs/>
                <w:color w:val="FFFFFF"/>
                <w:sz w:val="22"/>
                <w:szCs w:val="22"/>
              </w:rPr>
              <w:t xml:space="preserve">Piano Mitigazione</w:t>
            </w:r>
          </w:p>
        </w:tc>
      </w:tr>
      <w:tr>
        <w:tc>
          <w:tcPr>
            <w:tcW w:type="dxa" w:w="24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Perdita cliente principale (28% ftto)</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Media (30%)</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Critico</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ALTO</w:t>
            </w:r>
          </w:p>
        </w:tc>
        <w:tc>
          <w:tcPr>
            <w:tcW w:type="dxa" w:w="31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Piano diversificazione attivo — target 5 nuovi clienti</w:t>
            </w:r>
          </w:p>
        </w:tc>
      </w:tr>
      <w:tr>
        <w:tc>
          <w:tcPr>
            <w:tcW w:type="dxa" w:w="24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Aumento costi materie prime</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Alta (65%)</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Moderato</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MEDIO</w:t>
            </w:r>
          </w:p>
        </w:tc>
        <w:tc>
          <w:tcPr>
            <w:tcW w:type="dxa" w:w="31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Revisione clausole di aggiornamento prezzi con clienti</w:t>
            </w:r>
          </w:p>
        </w:tc>
      </w:tr>
      <w:tr>
        <w:tc>
          <w:tcPr>
            <w:tcW w:type="dxa" w:w="24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Difficoltà reperimento tecnico CNC</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Media (40%)</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Significativo</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MEDIO</w:t>
            </w:r>
          </w:p>
        </w:tc>
        <w:tc>
          <w:tcPr>
            <w:tcW w:type="dxa" w:w="31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Contatto con agenzia specializzata nel settore</w:t>
            </w:r>
          </w:p>
        </w:tc>
      </w:tr>
      <w:tr>
        <w:tc>
          <w:tcPr>
            <w:tcW w:type="dxa" w:w="24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Inadempimento debitore (&gt;60gg)</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Bassa (15%)</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Moderato</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BASSO</w:t>
            </w:r>
          </w:p>
        </w:tc>
        <w:tc>
          <w:tcPr>
            <w:tcW w:type="dxa" w:w="31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Monitoraggio DSO mensile — assicurazione crediti valutata</w:t>
            </w:r>
          </w:p>
        </w:tc>
      </w:tr>
      <w:tr>
        <w:tc>
          <w:tcPr>
            <w:tcW w:type="dxa" w:w="24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Guasto macchinario critico</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Bassa (20%)</w:t>
            </w:r>
          </w:p>
        </w:tc>
        <w:tc>
          <w:tcPr>
            <w:tcW w:type="dxa" w:w="12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Significativo</w:t>
            </w:r>
          </w:p>
        </w:tc>
        <w:tc>
          <w:tcPr>
            <w:tcW w:type="dxa" w:w="1100"/>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 MEDIO</w:t>
            </w:r>
          </w:p>
        </w:tc>
        <w:tc>
          <w:tcPr>
            <w:tcW w:type="dxa" w:w="3126"/>
            <w:tcBorders>
              <w:top w:val="single" w:color="D0D8E4" w:sz="4"/>
              <w:left w:val="single" w:color="D0D8E4" w:sz="4"/>
              <w:bottom w:val="single" w:color="D0D8E4" w:sz="4"/>
              <w:right w:val="single" w:color="D0D8E4" w:sz="4"/>
            </w:tcBorders>
            <w:tcMar>
              <w:top w:type="dxa" w:w="80"/>
              <w:left w:type="dxa" w:w="160"/>
              <w:bottom w:type="dxa" w:w="80"/>
              <w:right w:type="dxa" w:w="160"/>
            </w:tcMar>
            <w:vAlign w:val="top"/>
          </w:tcPr>
          <w:p>
            <w:r>
              <w:rPr>
                <w:rFonts w:ascii="Arial" w:cs="Arial" w:eastAsia="Arial" w:hAnsi="Arial"/>
                <w:b w:val="false"/>
                <w:bCs w:val="false"/>
                <w:sz w:val="22"/>
                <w:szCs w:val="22"/>
              </w:rPr>
              <w:t xml:space="preserve">Piano manutenzione preventiva da implementare</w:t>
            </w:r>
          </w:p>
        </w:tc>
      </w:tr>
    </w:tbl>
    <w:p>
      <w:pPr>
        <w:spacing w:after="0" w:before="120"/>
      </w:pPr>
      <w:r>
        <w:t xml:space="preserve"/>
      </w:r>
    </w:p>
    <w:p>
      <w:r>
        <w:br w:type="page"/>
      </w:r>
    </w:p>
    <w:p>
      <w:pPr>
        <w:pBdr>
          <w:bottom w:val="single" w:color="1F4E79" w:sz="8"/>
        </w:pBdr>
        <w:spacing w:after="120" w:before="240"/>
      </w:pPr>
      <w:r>
        <w:rPr>
          <w:rFonts w:ascii="Arial" w:cs="Arial" w:eastAsia="Arial" w:hAnsi="Arial"/>
          <w:b/>
          <w:bCs/>
          <w:color w:val="1F4E79"/>
          <w:sz w:val="36"/>
          <w:szCs w:val="36"/>
        </w:rPr>
        <w:t xml:space="preserve">Raccomandazioni Strategiche — Top 5</w:t>
      </w:r>
    </w:p>
    <w:p>
      <w:pPr>
        <w:spacing w:after="60" w:before="160"/>
      </w:pPr>
      <w:r>
        <w:rPr>
          <w:rFonts w:ascii="Arial" w:cs="Arial" w:eastAsia="Arial" w:hAnsi="Arial"/>
          <w:b/>
          <w:bCs/>
          <w:color w:val="1F4E79"/>
          <w:sz w:val="24"/>
          <w:szCs w:val="24"/>
        </w:rPr>
        <w:t xml:space="preserve">1. Cogliere la Finestra T5.0 (Urgenza: Entro Maggio)</w:t>
      </w:r>
    </w:p>
    <w:p>
      <w:pPr>
        <w:spacing w:after="60" w:before="60"/>
        <w:jc w:val="left"/>
      </w:pPr>
      <w:r>
        <w:rPr>
          <w:rFonts w:ascii="Arial" w:cs="Arial" w:eastAsia="Arial" w:hAnsi="Arial"/>
          <w:b w:val="false"/>
          <w:bCs w:val="false"/>
          <w:color w:val="000000"/>
          <w:sz w:val="22"/>
          <w:szCs w:val="22"/>
        </w:rPr>
        <w:t xml:space="preserve">Il bando Transizione 5.0 ha finestre di domanda con risorse limitate. Con gli investimenti già identificati (€150.000), Artigiana Italiana potrebbe accedere a €40.000-65.000 di credito d'imposta. Azione immediata: commissione perizia tecnica e consulta il commercialista questa settimana.</w:t>
      </w:r>
    </w:p>
    <w:p>
      <w:pPr>
        <w:spacing w:after="0" w:before="80"/>
      </w:pPr>
      <w:r>
        <w:t xml:space="preserve"/>
      </w:r>
    </w:p>
    <w:p>
      <w:pPr>
        <w:spacing w:after="60" w:before="160"/>
      </w:pPr>
      <w:r>
        <w:rPr>
          <w:rFonts w:ascii="Arial" w:cs="Arial" w:eastAsia="Arial" w:hAnsi="Arial"/>
          <w:b/>
          <w:bCs/>
          <w:color w:val="1F4E79"/>
          <w:sz w:val="24"/>
          <w:szCs w:val="24"/>
        </w:rPr>
        <w:t xml:space="preserve">2. Avviare il Processo Commerciale Strutturato (Urgenza: Entro Giugno)</w:t>
      </w:r>
    </w:p>
    <w:p>
      <w:pPr>
        <w:spacing w:after="60" w:before="60"/>
        <w:jc w:val="left"/>
      </w:pPr>
      <w:r>
        <w:rPr>
          <w:rFonts w:ascii="Arial" w:cs="Arial" w:eastAsia="Arial" w:hAnsi="Arial"/>
          <w:b w:val="false"/>
          <w:bCs w:val="false"/>
          <w:color w:val="000000"/>
          <w:sz w:val="22"/>
          <w:szCs w:val="22"/>
        </w:rPr>
        <w:t xml:space="preserve">Il fatturato potenziale non catturato stimato supera €180.000 annui. L'implementazione di un CRM e di un processo di vendita in 5 fasi trasformerà il commerciale da attività reattiva a motore proattivo di crescita. Questo è il singolo intervento con il più alto ROI nel breve termine.</w:t>
      </w:r>
    </w:p>
    <w:p>
      <w:pPr>
        <w:spacing w:after="0" w:before="80"/>
      </w:pPr>
      <w:r>
        <w:t xml:space="preserve"/>
      </w:r>
    </w:p>
    <w:p>
      <w:pPr>
        <w:spacing w:after="60" w:before="160"/>
      </w:pPr>
      <w:r>
        <w:rPr>
          <w:rFonts w:ascii="Arial" w:cs="Arial" w:eastAsia="Arial" w:hAnsi="Arial"/>
          <w:b/>
          <w:bCs/>
          <w:color w:val="1F4E79"/>
          <w:sz w:val="24"/>
          <w:szCs w:val="24"/>
        </w:rPr>
        <w:t xml:space="preserve">3. Ridurre la Dipendenza dal Cliente Principale (Urgenza: Piano 12 Mesi)</w:t>
      </w:r>
    </w:p>
    <w:p>
      <w:pPr>
        <w:spacing w:after="60" w:before="60"/>
        <w:jc w:val="left"/>
      </w:pPr>
      <w:r>
        <w:rPr>
          <w:rFonts w:ascii="Arial" w:cs="Arial" w:eastAsia="Arial" w:hAnsi="Arial"/>
          <w:b w:val="false"/>
          <w:bCs w:val="false"/>
          <w:color w:val="000000"/>
          <w:sz w:val="22"/>
          <w:szCs w:val="22"/>
        </w:rPr>
        <w:t xml:space="preserve">Il cliente principale (28% fatturato) rappresenta un rischio esistenziale. Il piano di diversificazione deve acquisire almeno 3-4 nuovi clienti nel range €50.000-150.000/anno entro dicembre 2026. Ogni mese di ritardo aumenta il rischio strutturale.</w:t>
      </w:r>
    </w:p>
    <w:p>
      <w:pPr>
        <w:spacing w:after="0" w:before="80"/>
      </w:pPr>
      <w:r>
        <w:t xml:space="preserve"/>
      </w:r>
    </w:p>
    <w:p>
      <w:pPr>
        <w:spacing w:after="60" w:before="160"/>
      </w:pPr>
      <w:r>
        <w:rPr>
          <w:rFonts w:ascii="Arial" w:cs="Arial" w:eastAsia="Arial" w:hAnsi="Arial"/>
          <w:b/>
          <w:bCs/>
          <w:color w:val="1F4E79"/>
          <w:sz w:val="24"/>
          <w:szCs w:val="24"/>
        </w:rPr>
        <w:t xml:space="preserve">4. Risolvere la Struttura Finanziaria (Urgenza: Piano 18 Mesi)</w:t>
      </w:r>
    </w:p>
    <w:p>
      <w:pPr>
        <w:spacing w:after="60" w:before="60"/>
        <w:jc w:val="left"/>
      </w:pPr>
      <w:r>
        <w:rPr>
          <w:rFonts w:ascii="Arial" w:cs="Arial" w:eastAsia="Arial" w:hAnsi="Arial"/>
          <w:b w:val="false"/>
          <w:bCs w:val="false"/>
          <w:color w:val="000000"/>
          <w:sz w:val="22"/>
          <w:szCs w:val="22"/>
        </w:rPr>
        <w:t xml:space="preserve">Il D/E ratio di 2,1x limita la flessibilità strategica. Un piano di rientro graduale combinato con il miglioramento dell'EBITDA (atteso al 9% entro fine anno) permetterà di portare il rapporto sotto 1,5x entro metà 2027. Fondamentale non aggiungere nuovi debiti prima di aver migliorato la redditività.</w:t>
      </w:r>
    </w:p>
    <w:p>
      <w:pPr>
        <w:spacing w:after="0" w:before="80"/>
      </w:pPr>
      <w:r>
        <w:t xml:space="preserve"/>
      </w:r>
    </w:p>
    <w:p>
      <w:pPr>
        <w:spacing w:after="60" w:before="160"/>
      </w:pPr>
      <w:r>
        <w:rPr>
          <w:rFonts w:ascii="Arial" w:cs="Arial" w:eastAsia="Arial" w:hAnsi="Arial"/>
          <w:b/>
          <w:bCs/>
          <w:color w:val="1F4E79"/>
          <w:sz w:val="24"/>
          <w:szCs w:val="24"/>
        </w:rPr>
        <w:t xml:space="preserve">5. Investire nel Capitale Umano (Urgenza: Q3 2026)</w:t>
      </w:r>
    </w:p>
    <w:p>
      <w:pPr>
        <w:spacing w:after="60" w:before="60"/>
        <w:jc w:val="left"/>
      </w:pPr>
      <w:r>
        <w:rPr>
          <w:rFonts w:ascii="Arial" w:cs="Arial" w:eastAsia="Arial" w:hAnsi="Arial"/>
          <w:b w:val="false"/>
          <w:bCs w:val="false"/>
          <w:color w:val="000000"/>
          <w:sz w:val="22"/>
          <w:szCs w:val="22"/>
        </w:rPr>
        <w:t xml:space="preserve">Artigiana Italiana forma i dipendenti 12 ore/anno vs 18 del benchmark e 32 delle aziende top-performer. Considerare di raddoppiare le ore di formazione, con focus su lean manufacturing per la produzione e digital tools per il commerciale. Il ROI medio della formazione nel settore manifatturiero è di 3,2x nell'arco di 18 mesi.</w:t>
      </w:r>
    </w:p>
    <w:p>
      <w:pPr>
        <w:spacing w:after="0" w:before="160"/>
      </w:pPr>
      <w:r>
        <w:t xml:space="preserve"/>
      </w:r>
    </w:p>
    <w:p>
      <w:pPr>
        <w:pBdr>
          <w:bottom w:val="single" w:color="D0D8E4" w:sz="6"/>
        </w:pBdr>
        <w:spacing w:after="120" w:before="120"/>
      </w:pPr>
      <w:r>
        <w:t xml:space="preserve"/>
      </w:r>
    </w:p>
    <w:p>
      <w:pPr>
        <w:shd w:fill="7B2D8B" w:color="auto" w:val="clear"/>
        <w:spacing w:after="60" w:before="60"/>
        <w:ind w:left="180" w:right="180"/>
      </w:pPr>
      <w:r>
        <w:rPr>
          <w:rFonts w:ascii="Arial" w:cs="Arial" w:eastAsia="Arial" w:hAnsi="Arial"/>
          <w:b/>
          <w:bCs/>
          <w:color w:val="FFFFFF"/>
          <w:sz w:val="22"/>
          <w:szCs w:val="22"/>
        </w:rPr>
        <w:t xml:space="preserve">📞 SESSIONE ADVISORY MENSILE: Prenotare la call di 45 minuti con il consulente K2-AI → k2-ai.it/business-advisory</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5B4BA0" w:color="auto" w:val="clear"/>
            <w:tcMar>
              <w:top w:type="dxa" w:w="80"/>
              <w:left w:type="dxa" w:w="160"/>
              <w:bottom w:type="dxa" w:w="80"/>
              <w:right w:type="dxa" w:w="160"/>
            </w:tcMar>
            <w:vAlign w:val="top"/>
          </w:tcPr>
          <w:p>
            <w:r>
              <w:rPr>
                <w:rFonts w:ascii="Arial" w:cs="Arial" w:eastAsia="Arial" w:hAnsi="Arial"/>
                <w:b/>
                <w:bCs/>
                <w:color w:val="FFFFFF"/>
                <w:sz w:val="52"/>
                <w:szCs w:val="52"/>
              </w:rPr>
              <w:t xml:space="preserve">K2-AI</w:t>
            </w:r>
          </w:p>
          <w:p>
            <w:r>
              <w:rPr>
                <w:rFonts w:ascii="Arial" w:cs="Arial" w:eastAsia="Arial" w:hAnsi="Arial"/>
                <w:b/>
                <w:bCs/>
                <w:color w:val="FFFFFF"/>
                <w:sz w:val="32"/>
                <w:szCs w:val="32"/>
              </w:rPr>
              <w:t xml:space="preserve">Report Analitico One-Shot</w:t>
            </w:r>
          </w:p>
          <w:p>
            <w:pPr>
              <w:spacing w:after="0" w:before="80"/>
            </w:pPr>
          </w:p>
          <w:p>
            <w:r>
              <w:rPr>
                <w:rFonts w:ascii="Arial" w:cs="Arial" w:eastAsia="Arial" w:hAnsi="Arial"/>
                <w:color w:val="FFFFFF"/>
                <w:sz w:val="28"/>
                <w:szCs w:val="28"/>
              </w:rPr>
              <w:t xml:space="preserve">€49 – €399 una tantum</w:t>
            </w:r>
          </w:p>
        </w:tc>
        <w:tc>
          <w:tcPr>
            <w:tcW w:type="dxa" w:w="4513"/>
            <w:tcBorders>
              <w:top w:val="single" w:color="CCCCCC" w:sz="4"/>
              <w:left w:val="single" w:color="CCCCCC" w:sz="4"/>
              <w:bottom w:val="single" w:color="CCCCCC" w:sz="4"/>
              <w:right w:val="single" w:color="CCCCCC" w:sz="4"/>
            </w:tcBorders>
            <w:shd w:fill="F5F8FC" w:color="auto" w:val="clear"/>
            <w:tcMar>
              <w:top w:type="dxa" w:w="80"/>
              <w:left w:type="dxa" w:w="160"/>
              <w:bottom w:type="dxa" w:w="80"/>
              <w:right w:type="dxa" w:w="160"/>
            </w:tcMar>
            <w:vAlign w:val="top"/>
          </w:tcPr>
          <w:p>
            <w:r>
              <w:rPr>
                <w:rFonts w:ascii="Arial" w:cs="Arial" w:eastAsia="Arial" w:hAnsi="Arial"/>
                <w:b/>
                <w:bCs/>
                <w:color w:val="1A1A1A"/>
                <w:sz w:val="24"/>
                <w:szCs w:val="24"/>
              </w:rPr>
              <w:t xml:space="preserve">Artigiana Italiana S.r.l.</w:t>
            </w:r>
          </w:p>
          <w:p>
            <w:r>
              <w:rPr>
                <w:rFonts w:ascii="Arial" w:cs="Arial" w:eastAsia="Arial" w:hAnsi="Arial"/>
                <w:color w:val="666666"/>
                <w:sz w:val="20"/>
                <w:szCs w:val="20"/>
              </w:rPr>
              <w:t xml:space="preserve">Bergamo, Lombardia</w:t>
            </w:r>
          </w:p>
          <w:p>
            <w:r>
              <w:rPr>
                <w:rFonts w:ascii="Arial" w:cs="Arial" w:eastAsia="Arial" w:hAnsi="Arial"/>
                <w:color w:val="666666"/>
                <w:sz w:val="20"/>
                <w:szCs w:val="20"/>
              </w:rPr>
              <w:t xml:space="preserve">Metalmeccanica · 18 Dipendenti</w:t>
            </w:r>
          </w:p>
          <w:p>
            <w:r>
              <w:rPr>
                <w:rFonts w:ascii="Arial" w:cs="Arial" w:eastAsia="Arial" w:hAnsi="Arial"/>
                <w:color w:val="666666"/>
                <w:sz w:val="20"/>
                <w:szCs w:val="20"/>
              </w:rPr>
              <w:t xml:space="preserve">Fatturato: €2.400.000</w:t>
            </w:r>
          </w:p>
          <w:p>
            <w:r>
              <w:rPr>
                <w:rFonts w:ascii="Arial" w:cs="Arial" w:eastAsia="Arial" w:hAnsi="Arial"/>
                <w:color w:val="666666"/>
                <w:sz w:val="20"/>
                <w:szCs w:val="20"/>
              </w:rPr>
              <w:t xml:space="preserve">Titolare: Marco Ferretti</w:t>
            </w:r>
          </w:p>
          <w:p>
            <w:pPr>
              <w:spacing w:after="0" w:before="60"/>
            </w:pPr>
          </w:p>
          <w:p>
            <w:r>
              <w:rPr>
                <w:rFonts w:ascii="Arial" w:cs="Arial" w:eastAsia="Arial" w:hAnsi="Arial"/>
                <w:i/>
                <w:iCs/>
                <w:color w:val="999999"/>
                <w:sz w:val="18"/>
                <w:szCs w:val="18"/>
              </w:rPr>
              <w:t xml:space="preserve">Elaborato: Aprile 2026</w:t>
            </w:r>
          </w:p>
        </w:tc>
      </w:tr>
    </w:tbl>
    <w:p>
      <w:pPr>
        <w:spacing w:after="0" w:before="200"/>
      </w:pPr>
    </w:p>
    <w:p>
      <w:pPr>
        <w:spacing w:after="120" w:before="280"/>
      </w:pPr>
      <w:r>
        <w:rPr>
          <w:rFonts w:ascii="Arial" w:cs="Arial" w:eastAsia="Arial" w:hAnsi="Arial"/>
          <w:b/>
          <w:bCs/>
          <w:color w:val="5B4BA0"/>
          <w:sz w:val="34"/>
          <w:szCs w:val="34"/>
        </w:rPr>
        <w:t xml:space="preserve">REPORT ANALITICO ONE-SHOT</w:t>
      </w:r>
    </w:p>
    <w:p>
      <w:pPr>
        <w:spacing w:after="100" w:before="240"/>
      </w:pPr>
      <w:r>
        <w:rPr>
          <w:rFonts w:ascii="Arial" w:cs="Arial" w:eastAsia="Arial" w:hAnsi="Arial"/>
          <w:b/>
          <w:bCs/>
          <w:color w:val="5B4BA0"/>
          <w:sz w:val="24"/>
          <w:szCs w:val="24"/>
        </w:rPr>
        <w:t xml:space="preserve">Analisi Specialistica su Commessa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Tipologia Report</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Analisi Approfondita · Settore Metalmeccanico</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Oggetto Analisi</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Ottimizzazione Margini Operativi e Struttura dei Costi</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Committente</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Marco Ferretti — Artigiana Italiana S.r.l.</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Data Consegna</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Aprile 2026</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Fascia di Prezzo</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€199 (Report Standard — Analisi singolo tema)</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Validità</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90 giorni dalla data di emissione</w:t>
            </w:r>
          </w:p>
        </w:tc>
      </w:tr>
    </w:tbl>
    <w:p>
      <w:r>
        <w:br w:type="page"/>
      </w:r>
    </w:p>
    <w:p>
      <w:pPr>
        <w:spacing w:after="120" w:before="280"/>
      </w:pPr>
      <w:r>
        <w:rPr>
          <w:rFonts w:ascii="Arial" w:cs="Arial" w:eastAsia="Arial" w:hAnsi="Arial"/>
          <w:b/>
          <w:bCs/>
          <w:color w:val="5B4BA0"/>
          <w:sz w:val="28"/>
          <w:szCs w:val="28"/>
        </w:rPr>
        <w:t xml:space="preserve">1 · Executive Summary</w:t>
      </w:r>
    </w:p>
    <w:p>
      <w:pPr>
        <w:spacing w:after="80" w:before="80"/>
      </w:pPr>
      <w:r>
        <w:rPr>
          <w:rFonts w:ascii="Arial" w:cs="Arial" w:eastAsia="Arial" w:hAnsi="Arial"/>
          <w:b w:val="false"/>
          <w:bCs w:val="false"/>
          <w:i w:val="false"/>
          <w:iCs w:val="false"/>
          <w:color w:val="333333"/>
          <w:sz w:val="20"/>
          <w:szCs w:val="20"/>
        </w:rPr>
        <w:t xml:space="preserve">Il presente Report Analitico è stato commissionato da Marco Ferretti, titolare di Artigiana Italiana S.r.l., con l'obiettivo di fornire un'analisi approfondita e quantitativa sulla struttura dei costi operativi dell'azienda e sull'ottimizzazione dei margini per linea di prodotto.</w:t>
      </w:r>
    </w:p>
    <w:p>
      <w:pPr>
        <w:spacing w:after="0" w:before="80"/>
      </w:pPr>
    </w:p>
    <w:p>
      <w:pPr>
        <w:spacing w:after="80" w:before="80"/>
      </w:pPr>
      <w:r>
        <w:rPr>
          <w:rFonts w:ascii="Arial" w:cs="Arial" w:eastAsia="Arial" w:hAnsi="Arial"/>
          <w:b w:val="false"/>
          <w:bCs w:val="false"/>
          <w:i w:val="false"/>
          <w:iCs w:val="false"/>
          <w:color w:val="333333"/>
          <w:sz w:val="20"/>
          <w:szCs w:val="20"/>
        </w:rPr>
        <w:t xml:space="preserve">L'analisi ha evidenziato marginalità differenziate tra le tre linee principali di prodotto (componenti su misura, lavorazioni conto terzi, assemblaggio), con un gap significativo tra la linea più e meno redditizia pari a 18,4 punti percentuali. Il costo del lavoro incide per il 41% del fatturato totale, in linea con il settore ma con potenziali ottimizzazioni identificabili nella pianificazione dei turni.</w:t>
      </w:r>
    </w:p>
    <w:p>
      <w:pPr>
        <w:spacing w:after="0" w:before="80"/>
      </w:pPr>
    </w:p>
    <w:p>
      <w:pPr>
        <w:spacing w:after="80" w:before="200"/>
      </w:pPr>
      <w:r>
        <w:rPr>
          <w:rFonts w:ascii="Arial" w:cs="Arial" w:eastAsia="Arial" w:hAnsi="Arial"/>
          <w:b/>
          <w:bCs/>
          <w:color w:val="444444"/>
          <w:sz w:val="22"/>
          <w:szCs w:val="22"/>
        </w:rPr>
        <w:t xml:space="preserve">Sintesi dei Principali Finding</w:t>
      </w:r>
    </w:p>
    <w:p>
      <w:pPr>
        <w:pStyle w:val="ListParagraph"/>
        <w:numPr>
          <w:ilvl w:val="0"/>
          <w:numId w:val="2"/>
        </w:numPr>
        <w:spacing w:after="60" w:before="60"/>
      </w:pPr>
      <w:r>
        <w:rPr>
          <w:rFonts w:ascii="Arial" w:cs="Arial" w:eastAsia="Arial" w:hAnsi="Arial"/>
          <w:color w:val="333333"/>
          <w:sz w:val="20"/>
          <w:szCs w:val="20"/>
        </w:rPr>
        <w:t xml:space="preserve">Margine operativo medio aziendale: 9,2% — settore comparabile: 11,8%</w:t>
      </w:r>
    </w:p>
    <w:p>
      <w:pPr>
        <w:pStyle w:val="ListParagraph"/>
        <w:numPr>
          <w:ilvl w:val="0"/>
          <w:numId w:val="2"/>
        </w:numPr>
        <w:spacing w:after="60" w:before="60"/>
      </w:pPr>
      <w:r>
        <w:rPr>
          <w:rFonts w:ascii="Arial" w:cs="Arial" w:eastAsia="Arial" w:hAnsi="Arial"/>
          <w:color w:val="333333"/>
          <w:sz w:val="20"/>
          <w:szCs w:val="20"/>
        </w:rPr>
        <w:t xml:space="preserve">Costo orario medio manodopera: €28,40 — potenziale ottimizzazione stimata: €2,10/h</w:t>
      </w:r>
    </w:p>
    <w:p>
      <w:pPr>
        <w:pStyle w:val="ListParagraph"/>
        <w:numPr>
          <w:ilvl w:val="0"/>
          <w:numId w:val="2"/>
        </w:numPr>
        <w:spacing w:after="60" w:before="60"/>
      </w:pPr>
      <w:r>
        <w:rPr>
          <w:rFonts w:ascii="Arial" w:cs="Arial" w:eastAsia="Arial" w:hAnsi="Arial"/>
          <w:color w:val="333333"/>
          <w:sz w:val="20"/>
          <w:szCs w:val="20"/>
        </w:rPr>
        <w:t xml:space="preserve">Incidenza scarti e rilavorazioni: 3,8% del fatturato — target settore: 1,5%</w:t>
      </w:r>
    </w:p>
    <w:p>
      <w:pPr>
        <w:pStyle w:val="ListParagraph"/>
        <w:numPr>
          <w:ilvl w:val="0"/>
          <w:numId w:val="2"/>
        </w:numPr>
        <w:spacing w:after="60" w:before="60"/>
      </w:pPr>
      <w:r>
        <w:rPr>
          <w:rFonts w:ascii="Arial" w:cs="Arial" w:eastAsia="Arial" w:hAnsi="Arial"/>
          <w:color w:val="333333"/>
          <w:sz w:val="20"/>
          <w:szCs w:val="20"/>
        </w:rPr>
        <w:t xml:space="preserve">Tasso di utilizzo impianti: 67% — benchmark best practice: 82–88%</w:t>
      </w:r>
    </w:p>
    <w:p>
      <w:pPr>
        <w:pStyle w:val="ListParagraph"/>
        <w:numPr>
          <w:ilvl w:val="0"/>
          <w:numId w:val="2"/>
        </w:numPr>
        <w:spacing w:after="60" w:before="60"/>
      </w:pPr>
      <w:r>
        <w:rPr>
          <w:rFonts w:ascii="Arial" w:cs="Arial" w:eastAsia="Arial" w:hAnsi="Arial"/>
          <w:color w:val="333333"/>
          <w:sz w:val="20"/>
          <w:szCs w:val="20"/>
        </w:rPr>
        <w:t xml:space="preserve">Lead time medio produzione: 18 giorni — concorrenti diretti: 12–14 giorni</w:t>
      </w:r>
    </w:p>
    <w:p>
      <w:pPr>
        <w:spacing w:after="0" w:before="80"/>
      </w:pPr>
    </w:p>
    <w:p>
      <w:pPr>
        <w:spacing w:after="80" w:before="200"/>
      </w:pPr>
      <w:r>
        <w:rPr>
          <w:rFonts w:ascii="Arial" w:cs="Arial" w:eastAsia="Arial" w:hAnsi="Arial"/>
          <w:b/>
          <w:bCs/>
          <w:color w:val="444444"/>
          <w:sz w:val="22"/>
          <w:szCs w:val="22"/>
        </w:rPr>
        <w:t xml:space="preserve">Priorità di Intervento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8E1" w:color="auto" w:val="clear"/>
            <w:tcMar>
              <w:top w:type="dxa" w:w="80"/>
              <w:left w:type="dxa" w:w="160"/>
              <w:bottom w:type="dxa" w:w="80"/>
              <w:right w:type="dxa" w:w="160"/>
            </w:tcMar>
            <w:vAlign w:val="top"/>
          </w:tcPr>
          <w:p>
            <w:r>
              <w:rPr>
                <w:rFonts w:ascii="Arial" w:cs="Arial" w:eastAsia="Arial" w:hAnsi="Arial"/>
                <w:i/>
                <w:iCs/>
                <w:color w:val="333333"/>
                <w:sz w:val="20"/>
                <w:szCs w:val="20"/>
              </w:rPr>
              <w:t xml:space="preserve">Le tre aree a più alto impatto economico immediato sono: (1) riduzione del tasso di scarto/rilavorazione, (2) ottimizzazione del mix di prodotto verso le linee ad alto margine, (3) rinegoziazione contratti di fornitura materie prime con volumi garantiti.</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Risparmio potenziale stimato (12 mesi)</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€62.000 – €84.000</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Investimento richiesto</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€8.000 – €15.000 (formazione + software lean)</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ROI atteso</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4,1× in 18 mesi</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Priorità complessiva</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ALTA — intervento entro Q3 2026</w:t>
            </w:r>
          </w:p>
        </w:tc>
      </w:tr>
    </w:tbl>
    <w:p>
      <w:r>
        <w:br w:type="page"/>
      </w:r>
    </w:p>
    <w:p>
      <w:pPr>
        <w:spacing w:after="120" w:before="280"/>
      </w:pPr>
      <w:r>
        <w:rPr>
          <w:rFonts w:ascii="Arial" w:cs="Arial" w:eastAsia="Arial" w:hAnsi="Arial"/>
          <w:b/>
          <w:bCs/>
          <w:color w:val="5B4BA0"/>
          <w:sz w:val="28"/>
          <w:szCs w:val="28"/>
        </w:rPr>
        <w:t xml:space="preserve">2 · Obiettivo e Metodologia</w:t>
      </w:r>
    </w:p>
    <w:p>
      <w:pPr>
        <w:spacing w:after="100" w:before="240"/>
      </w:pPr>
      <w:r>
        <w:rPr>
          <w:rFonts w:ascii="Arial" w:cs="Arial" w:eastAsia="Arial" w:hAnsi="Arial"/>
          <w:b/>
          <w:bCs/>
          <w:color w:val="5B4BA0"/>
          <w:sz w:val="24"/>
          <w:szCs w:val="24"/>
        </w:rPr>
        <w:t xml:space="preserve">2.1 Obiettivo dell'Analisi</w:t>
      </w:r>
    </w:p>
    <w:p>
      <w:pPr>
        <w:spacing w:after="80" w:before="80"/>
      </w:pPr>
      <w:r>
        <w:rPr>
          <w:rFonts w:ascii="Arial" w:cs="Arial" w:eastAsia="Arial" w:hAnsi="Arial"/>
          <w:b w:val="false"/>
          <w:bCs w:val="false"/>
          <w:i w:val="false"/>
          <w:iCs w:val="false"/>
          <w:color w:val="333333"/>
          <w:sz w:val="20"/>
          <w:szCs w:val="20"/>
        </w:rPr>
        <w:t xml:space="preserve">Il Report è stato commissionato con uno scope preciso: analizzare la struttura dei costi operativi dell'esercizio 2025 e identificare le leve di miglioramento della marginalità, con particolare attenzione alla variabilità dei costi per linea di prodotto e all'incidenza degli sprechi produttivi.</w:t>
      </w:r>
    </w:p>
    <w:p>
      <w:pPr>
        <w:spacing w:after="0" w:before="80"/>
      </w:pPr>
    </w:p>
    <w:p>
      <w:pPr>
        <w:spacing w:after="80" w:before="80"/>
      </w:pPr>
      <w:r>
        <w:rPr>
          <w:rFonts w:ascii="Arial" w:cs="Arial" w:eastAsia="Arial" w:hAnsi="Arial"/>
          <w:b w:val="false"/>
          <w:bCs w:val="false"/>
          <w:i w:val="false"/>
          <w:iCs w:val="false"/>
          <w:color w:val="333333"/>
          <w:sz w:val="20"/>
          <w:szCs w:val="20"/>
        </w:rPr>
        <w:t xml:space="preserve">L'analisi non include valutazioni strategiche di lungo periodo (per le quali si rimanda al servizio di Consulenza Strategica), ma fornisce dati quantitativi azionabili entro un orizzonte di 6–12 mesi.</w:t>
      </w:r>
    </w:p>
    <w:p>
      <w:pPr>
        <w:spacing w:after="0" w:before="120"/>
      </w:pPr>
    </w:p>
    <w:p>
      <w:pPr>
        <w:spacing w:after="100" w:before="240"/>
      </w:pPr>
      <w:r>
        <w:rPr>
          <w:rFonts w:ascii="Arial" w:cs="Arial" w:eastAsia="Arial" w:hAnsi="Arial"/>
          <w:b/>
          <w:bCs/>
          <w:color w:val="5B4BA0"/>
          <w:sz w:val="24"/>
          <w:szCs w:val="24"/>
        </w:rPr>
        <w:t xml:space="preserve">2.2 Metodologia Adottata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Fase 1 — Data Collection</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Raccolta dati da bilancio 2025, contabilità analitica per centro di costo, report di produzione (pezzi prodotti, scarti, ore macchina, ore manodopera) per il periodo gennaio–dicembre 2025</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Fase 2 — Normalizzazione</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Pulizia e normalizzazione dati: eliminazione outlier, riclassificazione voci contabili secondo schema industriale ATECO 25.11 (metalmeccanica leggera), calcolo indici su base omogenea 12 mesi</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Fase 3 — Benchmark</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Confronto con database settoriale K2-AI (218 aziende metalmeccaniche, 5–50 dipendenti, Lombardia/Veneto/Piemonte), percentili P25 P50 P75 per 14 KPI operativi</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Fase 4 — Gap Analysis</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Identificazione degli scostamenti &gt; 10% rispetto al benchmark P50; quantificazione dell'impatto economico annuo; simulazione scenari di miglioramento</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Fase 5 — Sintesi</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Elaborazione raccomandazioni prioritizzate per impatto × facilità di implementazione; stima investimenti e tempi di ritorno</w:t>
            </w:r>
          </w:p>
        </w:tc>
      </w:tr>
    </w:tbl>
    <w:p>
      <w:pPr>
        <w:spacing w:after="0" w:before="120"/>
      </w:pPr>
    </w:p>
    <w:p>
      <w:pPr>
        <w:spacing w:after="100" w:before="240"/>
      </w:pPr>
      <w:r>
        <w:rPr>
          <w:rFonts w:ascii="Arial" w:cs="Arial" w:eastAsia="Arial" w:hAnsi="Arial"/>
          <w:b/>
          <w:bCs/>
          <w:color w:val="5B4BA0"/>
          <w:sz w:val="24"/>
          <w:szCs w:val="24"/>
        </w:rPr>
        <w:t xml:space="preserve">2.3 Fonti dei Dati</w:t>
      </w:r>
    </w:p>
    <w:p>
      <w:pPr>
        <w:pStyle w:val="ListParagraph"/>
        <w:numPr>
          <w:ilvl w:val="0"/>
          <w:numId w:val="2"/>
        </w:numPr>
        <w:spacing w:after="60" w:before="60"/>
      </w:pPr>
      <w:r>
        <w:rPr>
          <w:rFonts w:ascii="Arial" w:cs="Arial" w:eastAsia="Arial" w:hAnsi="Arial"/>
          <w:color w:val="333333"/>
          <w:sz w:val="20"/>
          <w:szCs w:val="20"/>
        </w:rPr>
        <w:t xml:space="preserve">Bilancio d'esercizio 2025 — Artigiana Italiana S.r.l.</w:t>
      </w:r>
    </w:p>
    <w:p>
      <w:pPr>
        <w:pStyle w:val="ListParagraph"/>
        <w:numPr>
          <w:ilvl w:val="0"/>
          <w:numId w:val="2"/>
        </w:numPr>
        <w:spacing w:after="60" w:before="60"/>
      </w:pPr>
      <w:r>
        <w:rPr>
          <w:rFonts w:ascii="Arial" w:cs="Arial" w:eastAsia="Arial" w:hAnsi="Arial"/>
          <w:color w:val="333333"/>
          <w:sz w:val="20"/>
          <w:szCs w:val="20"/>
        </w:rPr>
        <w:t xml:space="preserve">Contabilità analitica per centro di costo (fornita dal titolare)</w:t>
      </w:r>
    </w:p>
    <w:p>
      <w:pPr>
        <w:pStyle w:val="ListParagraph"/>
        <w:numPr>
          <w:ilvl w:val="0"/>
          <w:numId w:val="2"/>
        </w:numPr>
        <w:spacing w:after="60" w:before="60"/>
      </w:pPr>
      <w:r>
        <w:rPr>
          <w:rFonts w:ascii="Arial" w:cs="Arial" w:eastAsia="Arial" w:hAnsi="Arial"/>
          <w:color w:val="333333"/>
          <w:sz w:val="20"/>
          <w:szCs w:val="20"/>
        </w:rPr>
        <w:t xml:space="preserve">Report di produzione mensile (18 mesi: gen 2024 – giu 2025, campione esteso)</w:t>
      </w:r>
    </w:p>
    <w:p>
      <w:pPr>
        <w:pStyle w:val="ListParagraph"/>
        <w:numPr>
          <w:ilvl w:val="0"/>
          <w:numId w:val="2"/>
        </w:numPr>
        <w:spacing w:after="60" w:before="60"/>
      </w:pPr>
      <w:r>
        <w:rPr>
          <w:rFonts w:ascii="Arial" w:cs="Arial" w:eastAsia="Arial" w:hAnsi="Arial"/>
          <w:color w:val="333333"/>
          <w:sz w:val="20"/>
          <w:szCs w:val="20"/>
        </w:rPr>
        <w:t xml:space="preserve">Database benchmark K2-AI · Settore metalmeccanico · Aggiornamento Q1 2026</w:t>
      </w:r>
    </w:p>
    <w:p>
      <w:pPr>
        <w:pStyle w:val="ListParagraph"/>
        <w:numPr>
          <w:ilvl w:val="0"/>
          <w:numId w:val="2"/>
        </w:numPr>
        <w:spacing w:after="60" w:before="60"/>
      </w:pPr>
      <w:r>
        <w:rPr>
          <w:rFonts w:ascii="Arial" w:cs="Arial" w:eastAsia="Arial" w:hAnsi="Arial"/>
          <w:color w:val="333333"/>
          <w:sz w:val="20"/>
          <w:szCs w:val="20"/>
        </w:rPr>
        <w:t xml:space="preserve">ISTAT — Statistiche sulla struttura e il costo del lavoro nel manifatturiero 2024</w:t>
      </w:r>
    </w:p>
    <w:p>
      <w:pPr>
        <w:pStyle w:val="ListParagraph"/>
        <w:numPr>
          <w:ilvl w:val="0"/>
          <w:numId w:val="2"/>
        </w:numPr>
        <w:spacing w:after="60" w:before="60"/>
      </w:pPr>
      <w:r>
        <w:rPr>
          <w:rFonts w:ascii="Arial" w:cs="Arial" w:eastAsia="Arial" w:hAnsi="Arial"/>
          <w:color w:val="333333"/>
          <w:sz w:val="20"/>
          <w:szCs w:val="20"/>
        </w:rPr>
        <w:t xml:space="preserve">Confindustria Bergamo — Report di settore metalmeccanico Bergamo-Brescia 2025</w:t>
      </w:r>
    </w:p>
    <w:p>
      <w:r>
        <w:br w:type="page"/>
      </w:r>
    </w:p>
    <w:p>
      <w:pPr>
        <w:spacing w:after="120" w:before="280"/>
      </w:pPr>
      <w:r>
        <w:rPr>
          <w:rFonts w:ascii="Arial" w:cs="Arial" w:eastAsia="Arial" w:hAnsi="Arial"/>
          <w:b/>
          <w:bCs/>
          <w:color w:val="5B4BA0"/>
          <w:sz w:val="28"/>
          <w:szCs w:val="28"/>
        </w:rPr>
        <w:t xml:space="preserve">3 · Analisi Approfondita</w:t>
      </w:r>
    </w:p>
    <w:p>
      <w:pPr>
        <w:spacing w:after="100" w:before="240"/>
      </w:pPr>
      <w:r>
        <w:rPr>
          <w:rFonts w:ascii="Arial" w:cs="Arial" w:eastAsia="Arial" w:hAnsi="Arial"/>
          <w:b/>
          <w:bCs/>
          <w:color w:val="5B4BA0"/>
          <w:sz w:val="24"/>
          <w:szCs w:val="24"/>
        </w:rPr>
        <w:t xml:space="preserve">3.1 Struttura dei Costi per Linea di Prodotto</w:t>
      </w:r>
    </w:p>
    <w:p>
      <w:pPr>
        <w:spacing w:after="80" w:before="80"/>
      </w:pPr>
      <w:r>
        <w:rPr>
          <w:rFonts w:ascii="Arial" w:cs="Arial" w:eastAsia="Arial" w:hAnsi="Arial"/>
          <w:b w:val="false"/>
          <w:bCs w:val="false"/>
          <w:i w:val="false"/>
          <w:iCs w:val="false"/>
          <w:color w:val="333333"/>
          <w:sz w:val="20"/>
          <w:szCs w:val="20"/>
        </w:rPr>
        <w:t xml:space="preserve">L'analisi della contabilità analitica per l'esercizio 2025 ha permesso di isolare la struttura dei costi nelle tre linee principali di prodotto. La tabella seguente sintetizza i dati raccolti e normalizzati:</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56"/>
        <w:gridCol w:w="1656"/>
        <w:gridCol w:w="1656"/>
        <w:gridCol w:w="1658"/>
      </w:tblGrid>
      <w:tr>
        <w:tc>
          <w:tcPr>
            <w:tcW w:type="dxa" w:w="2400"/>
            <w:tcBorders>
              <w:top w:val="single" w:color="CCCCCC" w:sz="4"/>
              <w:left w:val="single" w:color="CCCCCC" w:sz="4"/>
              <w:bottom w:val="single" w:color="CCCCCC" w:sz="4"/>
              <w:right w:val="single" w:color="CCCCCC" w:sz="4"/>
            </w:tcBorders>
            <w:shd w:fill="5B4BA0" w:color="auto" w:val="clear"/>
            <w:tcMar>
              <w:top w:type="dxa" w:w="80"/>
              <w:left w:type="dxa" w:w="160"/>
              <w:bottom w:type="dxa" w:w="80"/>
              <w:right w:type="dxa" w:w="160"/>
            </w:tcMar>
            <w:vAlign w:val="top"/>
          </w:tcPr>
          <w:p>
            <w:r>
              <w:rPr>
                <w:rFonts w:ascii="Arial" w:cs="Arial" w:eastAsia="Arial" w:hAnsi="Arial"/>
                <w:b/>
                <w:bCs/>
                <w:sz w:val="20"/>
                <w:szCs w:val="20"/>
              </w:rPr>
              <w:t xml:space="preserve">Voce di Costo</w:t>
            </w:r>
          </w:p>
        </w:tc>
        <w:tc>
          <w:tcPr>
            <w:tcW w:type="dxa" w:w="1656"/>
            <w:tcBorders>
              <w:top w:val="single" w:color="CCCCCC" w:sz="4"/>
              <w:left w:val="single" w:color="CCCCCC" w:sz="4"/>
              <w:bottom w:val="single" w:color="CCCCCC" w:sz="4"/>
              <w:right w:val="single" w:color="CCCCCC" w:sz="4"/>
            </w:tcBorders>
            <w:shd w:fill="5B4BA0" w:color="auto" w:val="clear"/>
            <w:tcMar>
              <w:top w:type="dxa" w:w="80"/>
              <w:left w:type="dxa" w:w="160"/>
              <w:bottom w:type="dxa" w:w="80"/>
              <w:right w:type="dxa" w:w="160"/>
            </w:tcMar>
            <w:vAlign w:val="top"/>
          </w:tcPr>
          <w:p>
            <w:r>
              <w:rPr>
                <w:rFonts w:ascii="Arial" w:cs="Arial" w:eastAsia="Arial" w:hAnsi="Arial"/>
                <w:b/>
                <w:bCs/>
                <w:sz w:val="20"/>
                <w:szCs w:val="20"/>
              </w:rPr>
              <w:t xml:space="preserve">Componenti Custom</w:t>
            </w:r>
          </w:p>
        </w:tc>
        <w:tc>
          <w:tcPr>
            <w:tcW w:type="dxa" w:w="1656"/>
            <w:tcBorders>
              <w:top w:val="single" w:color="CCCCCC" w:sz="4"/>
              <w:left w:val="single" w:color="CCCCCC" w:sz="4"/>
              <w:bottom w:val="single" w:color="CCCCCC" w:sz="4"/>
              <w:right w:val="single" w:color="CCCCCC" w:sz="4"/>
            </w:tcBorders>
            <w:shd w:fill="5B4BA0" w:color="auto" w:val="clear"/>
            <w:tcMar>
              <w:top w:type="dxa" w:w="80"/>
              <w:left w:type="dxa" w:w="160"/>
              <w:bottom w:type="dxa" w:w="80"/>
              <w:right w:type="dxa" w:w="160"/>
            </w:tcMar>
            <w:vAlign w:val="top"/>
          </w:tcPr>
          <w:p>
            <w:r>
              <w:rPr>
                <w:rFonts w:ascii="Arial" w:cs="Arial" w:eastAsia="Arial" w:hAnsi="Arial"/>
                <w:b/>
                <w:bCs/>
                <w:sz w:val="20"/>
                <w:szCs w:val="20"/>
              </w:rPr>
              <w:t xml:space="preserve">Conto Terzi</w:t>
            </w:r>
          </w:p>
        </w:tc>
        <w:tc>
          <w:tcPr>
            <w:tcW w:type="dxa" w:w="1656"/>
            <w:tcBorders>
              <w:top w:val="single" w:color="CCCCCC" w:sz="4"/>
              <w:left w:val="single" w:color="CCCCCC" w:sz="4"/>
              <w:bottom w:val="single" w:color="CCCCCC" w:sz="4"/>
              <w:right w:val="single" w:color="CCCCCC" w:sz="4"/>
            </w:tcBorders>
            <w:shd w:fill="5B4BA0" w:color="auto" w:val="clear"/>
            <w:tcMar>
              <w:top w:type="dxa" w:w="80"/>
              <w:left w:type="dxa" w:w="160"/>
              <w:bottom w:type="dxa" w:w="80"/>
              <w:right w:type="dxa" w:w="160"/>
            </w:tcMar>
            <w:vAlign w:val="top"/>
          </w:tcPr>
          <w:p>
            <w:r>
              <w:rPr>
                <w:rFonts w:ascii="Arial" w:cs="Arial" w:eastAsia="Arial" w:hAnsi="Arial"/>
                <w:b/>
                <w:bCs/>
                <w:sz w:val="20"/>
                <w:szCs w:val="20"/>
              </w:rPr>
              <w:t xml:space="preserve">Assemblaggio</w:t>
            </w:r>
          </w:p>
        </w:tc>
        <w:tc>
          <w:tcPr>
            <w:tcW w:type="dxa" w:w="1658"/>
            <w:tcBorders>
              <w:top w:val="single" w:color="CCCCCC" w:sz="4"/>
              <w:left w:val="single" w:color="CCCCCC" w:sz="4"/>
              <w:bottom w:val="single" w:color="CCCCCC" w:sz="4"/>
              <w:right w:val="single" w:color="CCCCCC" w:sz="4"/>
            </w:tcBorders>
            <w:shd w:fill="5B4BA0" w:color="auto" w:val="clear"/>
            <w:tcMar>
              <w:top w:type="dxa" w:w="80"/>
              <w:left w:type="dxa" w:w="160"/>
              <w:bottom w:type="dxa" w:w="80"/>
              <w:right w:type="dxa" w:w="160"/>
            </w:tcMar>
            <w:vAlign w:val="top"/>
          </w:tcPr>
          <w:p>
            <w:r>
              <w:rPr>
                <w:rFonts w:ascii="Arial" w:cs="Arial" w:eastAsia="Arial" w:hAnsi="Arial"/>
                <w:b/>
                <w:bCs/>
                <w:sz w:val="20"/>
                <w:szCs w:val="20"/>
              </w:rPr>
              <w:t xml:space="preserve">TOTALE</w:t>
            </w:r>
          </w:p>
        </w:tc>
      </w:tr>
      <w:tr>
        <w:tc>
          <w:tcPr>
            <w:tcW w:type="dxa" w:w="240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Fatturato linea</w:t>
            </w:r>
          </w:p>
        </w:tc>
        <w:tc>
          <w:tcPr>
            <w:tcW w:type="dxa" w:w="165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€960.000</w:t>
            </w:r>
          </w:p>
        </w:tc>
        <w:tc>
          <w:tcPr>
            <w:tcW w:type="dxa" w:w="165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€840.000</w:t>
            </w:r>
          </w:p>
        </w:tc>
        <w:tc>
          <w:tcPr>
            <w:tcW w:type="dxa" w:w="165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€600.000</w:t>
            </w:r>
          </w:p>
        </w:tc>
        <w:tc>
          <w:tcPr>
            <w:tcW w:type="dxa" w:w="1658"/>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€2.400.000</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Materie prime</w:t>
            </w:r>
          </w:p>
        </w:tc>
        <w:tc>
          <w:tcPr>
            <w:tcW w:type="dxa" w:w="165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€288.000 (30%)</w:t>
            </w:r>
          </w:p>
        </w:tc>
        <w:tc>
          <w:tcPr>
            <w:tcW w:type="dxa" w:w="165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€176.400 (21%)</w:t>
            </w:r>
          </w:p>
        </w:tc>
        <w:tc>
          <w:tcPr>
            <w:tcW w:type="dxa" w:w="165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€222.000 (37%)</w:t>
            </w:r>
          </w:p>
        </w:tc>
        <w:tc>
          <w:tcPr>
            <w:tcW w:type="dxa" w:w="1658"/>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€686.400 (28,6%)</w:t>
            </w:r>
          </w:p>
        </w:tc>
      </w:tr>
      <w:tr>
        <w:tc>
          <w:tcPr>
            <w:tcW w:type="dxa" w:w="240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Manodopera diretta</w:t>
            </w:r>
          </w:p>
        </w:tc>
        <w:tc>
          <w:tcPr>
            <w:tcW w:type="dxa" w:w="1656"/>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€384.000 (40%)</w:t>
            </w:r>
          </w:p>
        </w:tc>
        <w:tc>
          <w:tcPr>
            <w:tcW w:type="dxa" w:w="1656"/>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€378.000 (45%)</w:t>
            </w:r>
          </w:p>
        </w:tc>
        <w:tc>
          <w:tcPr>
            <w:tcW w:type="dxa" w:w="1656"/>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€222.000 (37%)</w:t>
            </w:r>
          </w:p>
        </w:tc>
        <w:tc>
          <w:tcPr>
            <w:tcW w:type="dxa" w:w="1658"/>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€984.000 (41%)</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Costi indiretti allocati</w:t>
            </w:r>
          </w:p>
        </w:tc>
        <w:tc>
          <w:tcPr>
            <w:tcW w:type="dxa" w:w="165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€115.200 (12%)</w:t>
            </w:r>
          </w:p>
        </w:tc>
        <w:tc>
          <w:tcPr>
            <w:tcW w:type="dxa" w:w="165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€109.200 (13%)</w:t>
            </w:r>
          </w:p>
        </w:tc>
        <w:tc>
          <w:tcPr>
            <w:tcW w:type="dxa" w:w="165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€84.000 (14%)</w:t>
            </w:r>
          </w:p>
        </w:tc>
        <w:tc>
          <w:tcPr>
            <w:tcW w:type="dxa" w:w="1658"/>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€308.400 (12,9%)</w:t>
            </w:r>
          </w:p>
        </w:tc>
      </w:tr>
      <w:tr>
        <w:tc>
          <w:tcPr>
            <w:tcW w:type="dxa" w:w="240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Scarti e rilavorazioni</w:t>
            </w:r>
          </w:p>
        </w:tc>
        <w:tc>
          <w:tcPr>
            <w:tcW w:type="dxa" w:w="1656"/>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€38.400 (4%)</w:t>
            </w:r>
          </w:p>
        </w:tc>
        <w:tc>
          <w:tcPr>
            <w:tcW w:type="dxa" w:w="1656"/>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€25.200 (3%)</w:t>
            </w:r>
          </w:p>
        </w:tc>
        <w:tc>
          <w:tcPr>
            <w:tcW w:type="dxa" w:w="1656"/>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€27.600 (4,6%)</w:t>
            </w:r>
          </w:p>
        </w:tc>
        <w:tc>
          <w:tcPr>
            <w:tcW w:type="dxa" w:w="1658"/>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€91.200 (3,8%)</w:t>
            </w:r>
          </w:p>
        </w:tc>
      </w:tr>
      <w:tr>
        <w:tc>
          <w:tcPr>
            <w:tcW w:type="dxa" w:w="2400"/>
            <w:tcBorders>
              <w:top w:val="single" w:color="CCCCCC" w:sz="4"/>
              <w:left w:val="single" w:color="CCCCCC" w:sz="4"/>
              <w:bottom w:val="single" w:color="CCCCCC" w:sz="4"/>
              <w:right w:val="single" w:color="CCCCCC" w:sz="4"/>
            </w:tcBorders>
            <w:shd w:fill="E8F5E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Margine operativo</w:t>
            </w:r>
          </w:p>
        </w:tc>
        <w:tc>
          <w:tcPr>
            <w:tcW w:type="dxa" w:w="1656"/>
            <w:tcBorders>
              <w:top w:val="single" w:color="CCCCCC" w:sz="4"/>
              <w:left w:val="single" w:color="CCCCCC" w:sz="4"/>
              <w:bottom w:val="single" w:color="CCCCCC" w:sz="4"/>
              <w:right w:val="single" w:color="CCCCCC" w:sz="4"/>
            </w:tcBorders>
            <w:shd w:fill="E8F5E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€134.400 (14%)</w:t>
            </w:r>
          </w:p>
        </w:tc>
        <w:tc>
          <w:tcPr>
            <w:tcW w:type="dxa" w:w="1656"/>
            <w:tcBorders>
              <w:top w:val="single" w:color="CCCCCC" w:sz="4"/>
              <w:left w:val="single" w:color="CCCCCC" w:sz="4"/>
              <w:bottom w:val="single" w:color="CCCCCC" w:sz="4"/>
              <w:right w:val="single" w:color="CCCCCC" w:sz="4"/>
            </w:tcBorders>
            <w:shd w:fill="E8F5E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€151.200 (18%)</w:t>
            </w:r>
          </w:p>
        </w:tc>
        <w:tc>
          <w:tcPr>
            <w:tcW w:type="dxa" w:w="1656"/>
            <w:tcBorders>
              <w:top w:val="single" w:color="CCCCCC" w:sz="4"/>
              <w:left w:val="single" w:color="CCCCCC" w:sz="4"/>
              <w:bottom w:val="single" w:color="CCCCCC" w:sz="4"/>
              <w:right w:val="single" w:color="CCCCCC" w:sz="4"/>
            </w:tcBorders>
            <w:shd w:fill="FFE8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€44.400 (7,4%)</w:t>
            </w:r>
          </w:p>
        </w:tc>
        <w:tc>
          <w:tcPr>
            <w:tcW w:type="dxa" w:w="1658"/>
            <w:tcBorders>
              <w:top w:val="single" w:color="CCCCCC" w:sz="4"/>
              <w:left w:val="single" w:color="CCCCCC" w:sz="4"/>
              <w:bottom w:val="single" w:color="CCCCCC" w:sz="4"/>
              <w:right w:val="single" w:color="CCCCCC" w:sz="4"/>
            </w:tcBorders>
            <w:shd w:fill="E8F5E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€220.800 (9,2%)</w:t>
            </w:r>
          </w:p>
        </w:tc>
      </w:tr>
    </w:tbl>
    <w:p>
      <w:pPr>
        <w:spacing w:after="0" w:before="120"/>
      </w:pPr>
    </w:p>
    <w:p>
      <w:pPr>
        <w:spacing w:after="100" w:before="240"/>
      </w:pPr>
      <w:r>
        <w:rPr>
          <w:rFonts w:ascii="Arial" w:cs="Arial" w:eastAsia="Arial" w:hAnsi="Arial"/>
          <w:b/>
          <w:bCs/>
          <w:color w:val="5B4BA0"/>
          <w:sz w:val="24"/>
          <w:szCs w:val="24"/>
        </w:rPr>
        <w:t xml:space="preserve">3.2 Analisi degli Scarti e Rilavorazioni</w:t>
      </w:r>
    </w:p>
    <w:p>
      <w:pPr>
        <w:spacing w:after="80" w:before="80"/>
      </w:pPr>
      <w:r>
        <w:rPr>
          <w:rFonts w:ascii="Arial" w:cs="Arial" w:eastAsia="Arial" w:hAnsi="Arial"/>
          <w:b w:val="false"/>
          <w:bCs w:val="false"/>
          <w:i w:val="false"/>
          <w:iCs w:val="false"/>
          <w:color w:val="333333"/>
          <w:sz w:val="20"/>
          <w:szCs w:val="20"/>
        </w:rPr>
        <w:t xml:space="preserve">Il tasso di scarto è la variabile che incide maggiormente sulla profittabilità dell'azienda. Con €91.200 di costo annuo e un benchmark settoriale del 1,5%, l'impatto economico del gap è quantificabile come segue: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Tasso scarto attuale</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3,8% del fatturato = €91.200/anno</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Tasso benchmark P50 settore</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1,5% del fatturato = €36.000/anno (a parità di fatturato)</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Gap economico annuo</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€55.200 di costo evitabile</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Causa principale identificata</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Setup macchina non standardizzato (contribuisce ~60% degli scarti)</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Causa secondaria</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Variabilità qualità materia prima fornitori B e C (~28%)</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Causa residua</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Errori operativi/formazione (~12%)</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Investimento per riduzione a 2%</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€6.000–8.000 (SOP + formazione + jigs)</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Risparmio atteso a regime (2%)</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€43.200/anno · payback 2,2 mesi</w:t>
            </w:r>
          </w:p>
        </w:tc>
      </w:tr>
    </w:tbl>
    <w:p>
      <w:pPr>
        <w:spacing w:after="0" w:before="120"/>
      </w:pPr>
    </w:p>
    <w:p>
      <w:pPr>
        <w:spacing w:after="100" w:before="240"/>
      </w:pPr>
      <w:r>
        <w:rPr>
          <w:rFonts w:ascii="Arial" w:cs="Arial" w:eastAsia="Arial" w:hAnsi="Arial"/>
          <w:b/>
          <w:bCs/>
          <w:color w:val="5B4BA0"/>
          <w:sz w:val="24"/>
          <w:szCs w:val="24"/>
        </w:rPr>
        <w:t xml:space="preserve">3.3 Utilizzo Impianti e Capacità Produttiva</w:t>
      </w:r>
    </w:p>
    <w:p>
      <w:pPr>
        <w:spacing w:after="80" w:before="80"/>
      </w:pPr>
      <w:r>
        <w:rPr>
          <w:rFonts w:ascii="Arial" w:cs="Arial" w:eastAsia="Arial" w:hAnsi="Arial"/>
          <w:b w:val="false"/>
          <w:bCs w:val="false"/>
          <w:i w:val="false"/>
          <w:iCs w:val="false"/>
          <w:color w:val="333333"/>
          <w:sz w:val="20"/>
          <w:szCs w:val="20"/>
        </w:rPr>
        <w:t xml:space="preserve">L'analisi delle ore macchina disponibili vs. ore macchina effettive nel 2025 evidenzia un tasso di utilizzo del 67%, significativamente sotto il benchmark best practice del 82–88% per aziende comparabili. Le cause principali sono:</w:t>
      </w:r>
    </w:p>
    <w:p>
      <w:pPr>
        <w:pStyle w:val="ListParagraph"/>
        <w:numPr>
          <w:ilvl w:val="0"/>
          <w:numId w:val="2"/>
        </w:numPr>
        <w:spacing w:after="60" w:before="60"/>
      </w:pPr>
      <w:r>
        <w:rPr>
          <w:rFonts w:ascii="Arial" w:cs="Arial" w:eastAsia="Arial" w:hAnsi="Arial"/>
          <w:color w:val="333333"/>
          <w:sz w:val="20"/>
          <w:szCs w:val="20"/>
        </w:rPr>
        <w:t xml:space="preserve">Fermi per setup e attrezzaggio: 18% del tempo disponibile (benchmark: 9%)</w:t>
      </w:r>
    </w:p>
    <w:p>
      <w:pPr>
        <w:pStyle w:val="ListParagraph"/>
        <w:numPr>
          <w:ilvl w:val="0"/>
          <w:numId w:val="2"/>
        </w:numPr>
        <w:spacing w:after="60" w:before="60"/>
      </w:pPr>
      <w:r>
        <w:rPr>
          <w:rFonts w:ascii="Arial" w:cs="Arial" w:eastAsia="Arial" w:hAnsi="Arial"/>
          <w:color w:val="333333"/>
          <w:sz w:val="20"/>
          <w:szCs w:val="20"/>
        </w:rPr>
        <w:t xml:space="preserve">Fermi per manutenzione non pianificata: 8% (benchmark: 3% — manutenzione preventiva assente)</w:t>
      </w:r>
    </w:p>
    <w:p>
      <w:pPr>
        <w:pStyle w:val="ListParagraph"/>
        <w:numPr>
          <w:ilvl w:val="0"/>
          <w:numId w:val="2"/>
        </w:numPr>
        <w:spacing w:after="60" w:before="60"/>
      </w:pPr>
      <w:r>
        <w:rPr>
          <w:rFonts w:ascii="Arial" w:cs="Arial" w:eastAsia="Arial" w:hAnsi="Arial"/>
          <w:color w:val="333333"/>
          <w:sz w:val="20"/>
          <w:szCs w:val="20"/>
        </w:rPr>
        <w:t xml:space="preserve">Attesa materiali: 4% (benchmark: 1% — pianificazione approvvigionamenti migliorabile)</w:t>
      </w:r>
    </w:p>
    <w:p>
      <w:pPr>
        <w:pStyle w:val="ListParagraph"/>
        <w:numPr>
          <w:ilvl w:val="0"/>
          <w:numId w:val="2"/>
        </w:numPr>
        <w:spacing w:after="60" w:before="60"/>
      </w:pPr>
      <w:r>
        <w:rPr>
          <w:rFonts w:ascii="Arial" w:cs="Arial" w:eastAsia="Arial" w:hAnsi="Arial"/>
          <w:color w:val="333333"/>
          <w:sz w:val="20"/>
          <w:szCs w:val="20"/>
        </w:rPr>
        <w:t xml:space="preserve">Assenze operatori non coperte: 3% (benchmark: 2%)</w:t>
      </w:r>
    </w:p>
    <w:p>
      <w:pPr>
        <w:spacing w:after="0" w:before="80"/>
      </w:pPr>
    </w:p>
    <w:p>
      <w:pPr>
        <w:spacing w:after="80" w:before="80"/>
      </w:pPr>
      <w:r>
        <w:rPr>
          <w:rFonts w:ascii="Arial" w:cs="Arial" w:eastAsia="Arial" w:hAnsi="Arial"/>
          <w:b w:val="false"/>
          <w:bCs w:val="false"/>
          <w:i w:val="false"/>
          <w:iCs w:val="false"/>
          <w:color w:val="333333"/>
          <w:sz w:val="20"/>
          <w:szCs w:val="20"/>
        </w:rPr>
        <w:t xml:space="preserve">Portare l'utilizzo impianti al 77% (obiettivo conservativo) senza investimenti in macchinari permetterebbe di aumentare la capacità produttiva di circa €185.000 di fatturato aggiuntivo, a parità di struttura di costi fissi.</w:t>
      </w:r>
    </w:p>
    <w:p>
      <w:r>
        <w:br w:type="page"/>
      </w:r>
    </w:p>
    <w:p>
      <w:pPr>
        <w:spacing w:after="120" w:before="280"/>
      </w:pPr>
      <w:r>
        <w:rPr>
          <w:rFonts w:ascii="Arial" w:cs="Arial" w:eastAsia="Arial" w:hAnsi="Arial"/>
          <w:b/>
          <w:bCs/>
          <w:color w:val="5B4BA0"/>
          <w:sz w:val="28"/>
          <w:szCs w:val="28"/>
        </w:rPr>
        <w:t xml:space="preserve">4 · Benchmark di Settore</w:t>
      </w:r>
    </w:p>
    <w:p>
      <w:pPr>
        <w:spacing w:after="80" w:before="80"/>
      </w:pPr>
      <w:r>
        <w:rPr>
          <w:rFonts w:ascii="Arial" w:cs="Arial" w:eastAsia="Arial" w:hAnsi="Arial"/>
          <w:b w:val="false"/>
          <w:bCs w:val="false"/>
          <w:i w:val="false"/>
          <w:iCs w:val="false"/>
          <w:color w:val="333333"/>
          <w:sz w:val="20"/>
          <w:szCs w:val="20"/>
        </w:rPr>
        <w:t xml:space="preserve">Il confronto con il database settoriale K2-AI (218 aziende metalmeccaniche, 5–50 dipendenti, Nord Italia, esercizio 2024–2025) evidenzia le seguenti posizioni relative per Artigiana Italiana S.r.l.: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CCCCCC" w:sz="4"/>
              <w:left w:val="single" w:color="CCCCCC" w:sz="4"/>
              <w:bottom w:val="single" w:color="CCCCCC" w:sz="4"/>
              <w:right w:val="single" w:color="CCCCCC" w:sz="4"/>
            </w:tcBorders>
            <w:shd w:fill="2C5F8A" w:color="auto" w:val="clear"/>
            <w:tcMar>
              <w:top w:type="dxa" w:w="80"/>
              <w:left w:type="dxa" w:w="160"/>
              <w:bottom w:type="dxa" w:w="80"/>
              <w:right w:type="dxa" w:w="160"/>
            </w:tcMar>
            <w:vAlign w:val="top"/>
          </w:tcPr>
          <w:p>
            <w:r>
              <w:rPr>
                <w:rFonts w:ascii="Arial" w:cs="Arial" w:eastAsia="Arial" w:hAnsi="Arial"/>
                <w:b/>
                <w:bCs/>
                <w:sz w:val="20"/>
                <w:szCs w:val="20"/>
              </w:rPr>
              <w:t xml:space="preserve">Indicatore</w:t>
            </w:r>
          </w:p>
        </w:tc>
        <w:tc>
          <w:tcPr>
            <w:tcW w:type="dxa" w:w="1800"/>
            <w:tcBorders>
              <w:top w:val="single" w:color="CCCCCC" w:sz="4"/>
              <w:left w:val="single" w:color="CCCCCC" w:sz="4"/>
              <w:bottom w:val="single" w:color="CCCCCC" w:sz="4"/>
              <w:right w:val="single" w:color="CCCCCC" w:sz="4"/>
            </w:tcBorders>
            <w:shd w:fill="2C5F8A" w:color="auto" w:val="clear"/>
            <w:tcMar>
              <w:top w:type="dxa" w:w="80"/>
              <w:left w:type="dxa" w:w="160"/>
              <w:bottom w:type="dxa" w:w="80"/>
              <w:right w:type="dxa" w:w="160"/>
            </w:tcMar>
            <w:vAlign w:val="top"/>
          </w:tcPr>
          <w:p>
            <w:r>
              <w:rPr>
                <w:rFonts w:ascii="Arial" w:cs="Arial" w:eastAsia="Arial" w:hAnsi="Arial"/>
                <w:b/>
                <w:bCs/>
                <w:sz w:val="20"/>
                <w:szCs w:val="20"/>
              </w:rPr>
              <w:t xml:space="preserve">Valore</w:t>
            </w:r>
          </w:p>
        </w:tc>
        <w:tc>
          <w:tcPr>
            <w:tcW w:type="dxa" w:w="4026"/>
            <w:tcBorders>
              <w:top w:val="single" w:color="CCCCCC" w:sz="4"/>
              <w:left w:val="single" w:color="CCCCCC" w:sz="4"/>
              <w:bottom w:val="single" w:color="CCCCCC" w:sz="4"/>
              <w:right w:val="single" w:color="CCCCCC" w:sz="4"/>
            </w:tcBorders>
            <w:shd w:fill="2C5F8A" w:color="auto" w:val="clear"/>
            <w:tcMar>
              <w:top w:type="dxa" w:w="80"/>
              <w:left w:type="dxa" w:w="160"/>
              <w:bottom w:type="dxa" w:w="80"/>
              <w:right w:type="dxa" w:w="160"/>
            </w:tcMar>
            <w:vAlign w:val="top"/>
          </w:tcPr>
          <w:p>
            <w:r>
              <w:rPr>
                <w:rFonts w:ascii="Arial" w:cs="Arial" w:eastAsia="Arial" w:hAnsi="Arial"/>
                <w:b/>
                <w:bCs/>
                <w:sz w:val="20"/>
                <w:szCs w:val="20"/>
              </w:rPr>
              <w:t xml:space="preserve">Benchmark</w:t>
            </w:r>
          </w:p>
        </w:tc>
      </w:tr>
      <w:tr>
        <w:tc>
          <w:tcPr>
            <w:tcW w:type="dxa" w:w="32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Margine operativo netto</w:t>
            </w:r>
          </w:p>
        </w:tc>
        <w:tc>
          <w:tcPr>
            <w:tcW w:type="dxa" w:w="18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9,2%</w:t>
            </w:r>
          </w:p>
        </w:tc>
        <w:tc>
          <w:tcPr>
            <w:tcW w:type="dxa" w:w="4026"/>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P50: 11,8% · P75: 14,2%</w:t>
            </w:r>
          </w:p>
        </w:tc>
      </w:tr>
      <w:tr>
        <w:tc>
          <w:tcPr>
            <w:tcW w:type="dxa" w:w="32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Costo del lavoro / Fatturato</w:t>
            </w:r>
          </w:p>
        </w:tc>
        <w:tc>
          <w:tcPr>
            <w:tcW w:type="dxa" w:w="18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41,0%</w:t>
            </w:r>
          </w:p>
        </w:tc>
        <w:tc>
          <w:tcPr>
            <w:tcW w:type="dxa" w:w="402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P50: 40,2% · P25: 37,8%</w:t>
            </w:r>
          </w:p>
        </w:tc>
      </w:tr>
      <w:tr>
        <w:tc>
          <w:tcPr>
            <w:tcW w:type="dxa" w:w="3200"/>
            <w:tcBorders>
              <w:top w:val="single" w:color="CCCCCC" w:sz="4"/>
              <w:left w:val="single" w:color="CCCCCC" w:sz="4"/>
              <w:bottom w:val="single" w:color="CCCCCC" w:sz="4"/>
              <w:right w:val="single" w:color="CCCCCC" w:sz="4"/>
            </w:tcBorders>
            <w:shd w:fill="FFE8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Tasso di scarto/rilavorazione</w:t>
            </w:r>
          </w:p>
        </w:tc>
        <w:tc>
          <w:tcPr>
            <w:tcW w:type="dxa" w:w="1800"/>
            <w:tcBorders>
              <w:top w:val="single" w:color="CCCCCC" w:sz="4"/>
              <w:left w:val="single" w:color="CCCCCC" w:sz="4"/>
              <w:bottom w:val="single" w:color="CCCCCC" w:sz="4"/>
              <w:right w:val="single" w:color="CCCCCC" w:sz="4"/>
            </w:tcBorders>
            <w:shd w:fill="FFE8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3,8%</w:t>
            </w:r>
          </w:p>
        </w:tc>
        <w:tc>
          <w:tcPr>
            <w:tcW w:type="dxa" w:w="4026"/>
            <w:tcBorders>
              <w:top w:val="single" w:color="CCCCCC" w:sz="4"/>
              <w:left w:val="single" w:color="CCCCCC" w:sz="4"/>
              <w:bottom w:val="single" w:color="CCCCCC" w:sz="4"/>
              <w:right w:val="single" w:color="CCCCCC" w:sz="4"/>
            </w:tcBorders>
            <w:shd w:fill="FFE8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P50: 2,1% · P75: 1,5%</w:t>
            </w:r>
          </w:p>
        </w:tc>
      </w:tr>
      <w:tr>
        <w:tc>
          <w:tcPr>
            <w:tcW w:type="dxa" w:w="32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Utilizzo impianti</w:t>
            </w:r>
          </w:p>
        </w:tc>
        <w:tc>
          <w:tcPr>
            <w:tcW w:type="dxa" w:w="18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67%</w:t>
            </w:r>
          </w:p>
        </w:tc>
        <w:tc>
          <w:tcPr>
            <w:tcW w:type="dxa" w:w="4026"/>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P50: 74% · P75: 83%</w:t>
            </w:r>
          </w:p>
        </w:tc>
      </w:tr>
      <w:tr>
        <w:tc>
          <w:tcPr>
            <w:tcW w:type="dxa" w:w="32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Rotazione del magazzino (gg)</w:t>
            </w:r>
          </w:p>
        </w:tc>
        <w:tc>
          <w:tcPr>
            <w:tcW w:type="dxa" w:w="18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48 giorni</w:t>
            </w:r>
          </w:p>
        </w:tc>
        <w:tc>
          <w:tcPr>
            <w:tcW w:type="dxa" w:w="4026"/>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P50: 38 giorni · P25: 28 giorni</w:t>
            </w:r>
          </w:p>
        </w:tc>
      </w:tr>
      <w:tr>
        <w:tc>
          <w:tcPr>
            <w:tcW w:type="dxa" w:w="3200"/>
            <w:tcBorders>
              <w:top w:val="single" w:color="CCCCCC" w:sz="4"/>
              <w:left w:val="single" w:color="CCCCCC" w:sz="4"/>
              <w:bottom w:val="single" w:color="CCCCCC" w:sz="4"/>
              <w:right w:val="single" w:color="CCCCCC" w:sz="4"/>
            </w:tcBorders>
            <w:shd w:fill="FFE8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Lead time medio produzione</w:t>
            </w:r>
          </w:p>
        </w:tc>
        <w:tc>
          <w:tcPr>
            <w:tcW w:type="dxa" w:w="1800"/>
            <w:tcBorders>
              <w:top w:val="single" w:color="CCCCCC" w:sz="4"/>
              <w:left w:val="single" w:color="CCCCCC" w:sz="4"/>
              <w:bottom w:val="single" w:color="CCCCCC" w:sz="4"/>
              <w:right w:val="single" w:color="CCCCCC" w:sz="4"/>
            </w:tcBorders>
            <w:shd w:fill="FFE8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18 giorni</w:t>
            </w:r>
          </w:p>
        </w:tc>
        <w:tc>
          <w:tcPr>
            <w:tcW w:type="dxa" w:w="4026"/>
            <w:tcBorders>
              <w:top w:val="single" w:color="CCCCCC" w:sz="4"/>
              <w:left w:val="single" w:color="CCCCCC" w:sz="4"/>
              <w:bottom w:val="single" w:color="CCCCCC" w:sz="4"/>
              <w:right w:val="single" w:color="CCCCCC" w:sz="4"/>
            </w:tcBorders>
            <w:shd w:fill="FFE8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P50: 14 giorni · P25: 11 giorni</w:t>
            </w:r>
          </w:p>
        </w:tc>
      </w:tr>
      <w:tr>
        <w:tc>
          <w:tcPr>
            <w:tcW w:type="dxa" w:w="32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Costo materie prime / Fatturato</w:t>
            </w:r>
          </w:p>
        </w:tc>
        <w:tc>
          <w:tcPr>
            <w:tcW w:type="dxa" w:w="18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28,6%</w:t>
            </w:r>
          </w:p>
        </w:tc>
        <w:tc>
          <w:tcPr>
            <w:tcW w:type="dxa" w:w="402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P50: 27,4% · P25: 24,8%</w:t>
            </w:r>
          </w:p>
        </w:tc>
      </w:tr>
      <w:tr>
        <w:tc>
          <w:tcPr>
            <w:tcW w:type="dxa" w:w="32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Fatturato per dipendente</w:t>
            </w:r>
          </w:p>
        </w:tc>
        <w:tc>
          <w:tcPr>
            <w:tcW w:type="dxa" w:w="18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€133.333</w:t>
            </w:r>
          </w:p>
        </w:tc>
        <w:tc>
          <w:tcPr>
            <w:tcW w:type="dxa" w:w="4026"/>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P50: €141.000 · P75: €162.000</w:t>
            </w:r>
          </w:p>
        </w:tc>
      </w:tr>
      <w:tr>
        <w:tc>
          <w:tcPr>
            <w:tcW w:type="dxa" w:w="32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EBITDA margin</w:t>
            </w:r>
          </w:p>
        </w:tc>
        <w:tc>
          <w:tcPr>
            <w:tcW w:type="dxa" w:w="18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12,4%</w:t>
            </w:r>
          </w:p>
        </w:tc>
        <w:tc>
          <w:tcPr>
            <w:tcW w:type="dxa" w:w="4026"/>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P50: 14,6% · P75: 18,2%</w:t>
            </w:r>
          </w:p>
        </w:tc>
      </w:tr>
      <w:tr>
        <w:tc>
          <w:tcPr>
            <w:tcW w:type="dxa" w:w="3200"/>
            <w:tcBorders>
              <w:top w:val="single" w:color="CCCCCC" w:sz="4"/>
              <w:left w:val="single" w:color="CCCCCC" w:sz="4"/>
              <w:bottom w:val="single" w:color="CCCCCC" w:sz="4"/>
              <w:right w:val="single" w:color="CCCCCC" w:sz="4"/>
            </w:tcBorders>
            <w:shd w:fill="FFE8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Indice di puntualità consegne</w:t>
            </w:r>
          </w:p>
        </w:tc>
        <w:tc>
          <w:tcPr>
            <w:tcW w:type="dxa" w:w="1800"/>
            <w:tcBorders>
              <w:top w:val="single" w:color="CCCCCC" w:sz="4"/>
              <w:left w:val="single" w:color="CCCCCC" w:sz="4"/>
              <w:bottom w:val="single" w:color="CCCCCC" w:sz="4"/>
              <w:right w:val="single" w:color="CCCCCC" w:sz="4"/>
            </w:tcBorders>
            <w:shd w:fill="FFE8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88%</w:t>
            </w:r>
          </w:p>
        </w:tc>
        <w:tc>
          <w:tcPr>
            <w:tcW w:type="dxa" w:w="4026"/>
            <w:tcBorders>
              <w:top w:val="single" w:color="CCCCCC" w:sz="4"/>
              <w:left w:val="single" w:color="CCCCCC" w:sz="4"/>
              <w:bottom w:val="single" w:color="CCCCCC" w:sz="4"/>
              <w:right w:val="single" w:color="CCCCCC" w:sz="4"/>
            </w:tcBorders>
            <w:shd w:fill="FFE8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P50: 92% · P75: 97%</w:t>
            </w:r>
          </w:p>
        </w:tc>
      </w:tr>
    </w:tbl>
    <w:p>
      <w:pPr>
        <w:spacing w:after="0" w:before="120"/>
      </w:pPr>
    </w:p>
    <w:p>
      <w:pPr>
        <w:spacing w:after="80" w:before="80"/>
      </w:pPr>
      <w:r>
        <w:rPr>
          <w:rFonts w:ascii="Arial" w:cs="Arial" w:eastAsia="Arial" w:hAnsi="Arial"/>
          <w:b w:val="false"/>
          <w:bCs w:val="false"/>
          <w:i/>
          <w:iCs/>
          <w:color w:val="333333"/>
          <w:sz w:val="20"/>
          <w:szCs w:val="20"/>
        </w:rPr>
        <w:t xml:space="preserve">Artigiana Italiana si colloca prevalentemente tra il percentile P25 e P50 del campione. Le aree di maggiore distanza dal benchmark sono il tasso di scarto, il lead time di produzione e la puntualità delle consegne — tutte correlate a inefficienze nel processo produttivo piuttosto che a problemi di mercato o struttura finanziaria.</w:t>
      </w:r>
    </w:p>
    <w:p>
      <w:r>
        <w:br w:type="page"/>
      </w:r>
    </w:p>
    <w:p>
      <w:pPr>
        <w:spacing w:after="120" w:before="280"/>
      </w:pPr>
      <w:r>
        <w:rPr>
          <w:rFonts w:ascii="Arial" w:cs="Arial" w:eastAsia="Arial" w:hAnsi="Arial"/>
          <w:b/>
          <w:bCs/>
          <w:color w:val="5B4BA0"/>
          <w:sz w:val="28"/>
          <w:szCs w:val="28"/>
        </w:rPr>
        <w:t xml:space="preserve">5 · Conclusioni</w:t>
      </w:r>
    </w:p>
    <w:p>
      <w:pPr>
        <w:spacing w:after="80" w:before="80"/>
      </w:pPr>
      <w:r>
        <w:rPr>
          <w:rFonts w:ascii="Arial" w:cs="Arial" w:eastAsia="Arial" w:hAnsi="Arial"/>
          <w:b w:val="false"/>
          <w:bCs w:val="false"/>
          <w:i w:val="false"/>
          <w:iCs w:val="false"/>
          <w:color w:val="333333"/>
          <w:sz w:val="20"/>
          <w:szCs w:val="20"/>
        </w:rPr>
        <w:t xml:space="preserve">L'analisi conferma che Artigiana Italiana S.r.l. è un'azienda con fondamentali solidi e un posizionamento di mercato apprezzabile, ma con margini operativi inferiori al potenziale a causa di inefficienze operative identificabili e correggibili nel breve-medio termine.</w:t>
      </w:r>
    </w:p>
    <w:p>
      <w:pPr>
        <w:spacing w:after="0" w:before="80"/>
      </w:pPr>
    </w:p>
    <w:p>
      <w:pPr>
        <w:spacing w:after="80" w:before="80"/>
      </w:pPr>
      <w:r>
        <w:rPr>
          <w:rFonts w:ascii="Arial" w:cs="Arial" w:eastAsia="Arial" w:hAnsi="Arial"/>
          <w:b w:val="false"/>
          <w:bCs w:val="false"/>
          <w:i w:val="false"/>
          <w:iCs w:val="false"/>
          <w:color w:val="333333"/>
          <w:sz w:val="20"/>
          <w:szCs w:val="20"/>
        </w:rPr>
        <w:t xml:space="preserve">Non si tratta di problemi strutturali o di mercato: il fatturato è in crescita del 6,2% YoY, il carnet ordini per H2 2026 è superiore allo stesso periodo 2025 del 9%, e la clientela è fidelizzata (tasso di riacquisto &gt;80%). Il principale potenziale inespresso è nella trasformazione della produzione da "artigianale estesa" a "manifatturiera snella", con processi più standardizzati e misurabili.</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2C5F8A" w:color="auto" w:val="clear"/>
            <w:tcMar>
              <w:top w:type="dxa" w:w="80"/>
              <w:left w:type="dxa" w:w="160"/>
              <w:bottom w:type="dxa" w:w="80"/>
              <w:right w:type="dxa" w:w="160"/>
            </w:tcMar>
            <w:vAlign w:val="top"/>
          </w:tcPr>
          <w:p>
            <w:r>
              <w:rPr>
                <w:rFonts w:ascii="Arial" w:cs="Arial" w:eastAsia="Arial" w:hAnsi="Arial"/>
                <w:b/>
                <w:bCs/>
                <w:sz w:val="20"/>
                <w:szCs w:val="20"/>
              </w:rPr>
              <w:t xml:space="preserve">Punti di Forza Confermati</w:t>
            </w:r>
          </w:p>
        </w:tc>
        <w:tc>
          <w:tcPr>
            <w:tcW w:type="dxa" w:w="4513"/>
            <w:tcBorders>
              <w:top w:val="single" w:color="CCCCCC" w:sz="4"/>
              <w:left w:val="single" w:color="CCCCCC" w:sz="4"/>
              <w:bottom w:val="single" w:color="CCCCCC" w:sz="4"/>
              <w:right w:val="single" w:color="CCCCCC" w:sz="4"/>
            </w:tcBorders>
            <w:shd w:fill="1A6B3C" w:color="auto" w:val="clear"/>
            <w:tcMar>
              <w:top w:type="dxa" w:w="80"/>
              <w:left w:type="dxa" w:w="160"/>
              <w:bottom w:type="dxa" w:w="80"/>
              <w:right w:type="dxa" w:w="160"/>
            </w:tcMar>
            <w:vAlign w:val="top"/>
          </w:tcPr>
          <w:p>
            <w:r>
              <w:rPr>
                <w:rFonts w:ascii="Arial" w:cs="Arial" w:eastAsia="Arial" w:hAnsi="Arial"/>
                <w:b/>
                <w:bCs/>
                <w:sz w:val="20"/>
                <w:szCs w:val="20"/>
              </w:rPr>
              <w:t xml:space="preserve">Aree di Miglioramento Prioritarie</w:t>
            </w:r>
          </w:p>
        </w:tc>
      </w:tr>
      <w:tr>
        <w:tc>
          <w:tcPr>
            <w:tcW w:type="dxa" w:w="4513"/>
            <w:tcBorders>
              <w:top w:val="single" w:color="CCCCCC" w:sz="4"/>
              <w:left w:val="single" w:color="CCCCCC" w:sz="4"/>
              <w:bottom w:val="single" w:color="CCCCCC" w:sz="4"/>
              <w:right w:val="single" w:color="CCCCCC" w:sz="4"/>
            </w:tcBorders>
            <w:shd w:fill="F0F7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Carnet ordini in crescita (+9% H2)</w:t>
            </w:r>
          </w:p>
        </w:tc>
        <w:tc>
          <w:tcPr>
            <w:tcW w:type="dxa" w:w="4513"/>
            <w:tcBorders>
              <w:top w:val="single" w:color="CCCCCC" w:sz="4"/>
              <w:left w:val="single" w:color="CCCCCC" w:sz="4"/>
              <w:bottom w:val="single" w:color="CCCCCC" w:sz="4"/>
              <w:right w:val="single" w:color="CCCCCC" w:sz="4"/>
            </w:tcBorders>
            <w:shd w:fill="F0FFF4"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Tasso scarto superiore al benchmark (3,8% vs 1,5%)</w:t>
            </w:r>
          </w:p>
        </w:tc>
      </w:tr>
      <w:tr>
        <w:tc>
          <w:tcPr>
            <w:tcW w:type="dxa" w:w="4513"/>
            <w:tcBorders>
              <w:top w:val="single" w:color="CCCCCC" w:sz="4"/>
              <w:left w:val="single" w:color="CCCCCC" w:sz="4"/>
              <w:bottom w:val="single" w:color="CCCCCC" w:sz="4"/>
              <w:right w:val="single" w:color="CCCCCC" w:sz="4"/>
            </w:tcBorders>
            <w:shd w:fill="F0F7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Fidelizzazione clienti elevata (&gt;80%)</w:t>
            </w:r>
          </w:p>
        </w:tc>
        <w:tc>
          <w:tcPr>
            <w:tcW w:type="dxa" w:w="4513"/>
            <w:tcBorders>
              <w:top w:val="single" w:color="CCCCCC" w:sz="4"/>
              <w:left w:val="single" w:color="CCCCCC" w:sz="4"/>
              <w:bottom w:val="single" w:color="CCCCCC" w:sz="4"/>
              <w:right w:val="single" w:color="CCCCCC" w:sz="4"/>
            </w:tcBorders>
            <w:shd w:fill="F0FFF4"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Lead time produzione lungo (18 vs 14 giorni)</w:t>
            </w:r>
          </w:p>
        </w:tc>
      </w:tr>
      <w:tr>
        <w:tc>
          <w:tcPr>
            <w:tcW w:type="dxa" w:w="4513"/>
            <w:tcBorders>
              <w:top w:val="single" w:color="CCCCCC" w:sz="4"/>
              <w:left w:val="single" w:color="CCCCCC" w:sz="4"/>
              <w:bottom w:val="single" w:color="CCCCCC" w:sz="4"/>
              <w:right w:val="single" w:color="CCCCCC" w:sz="4"/>
            </w:tcBorders>
            <w:shd w:fill="F0F7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Qualità percepita alta — pochi resi</w:t>
            </w:r>
          </w:p>
        </w:tc>
        <w:tc>
          <w:tcPr>
            <w:tcW w:type="dxa" w:w="4513"/>
            <w:tcBorders>
              <w:top w:val="single" w:color="CCCCCC" w:sz="4"/>
              <w:left w:val="single" w:color="CCCCCC" w:sz="4"/>
              <w:bottom w:val="single" w:color="CCCCCC" w:sz="4"/>
              <w:right w:val="single" w:color="CCCCCC" w:sz="4"/>
            </w:tcBorders>
            <w:shd w:fill="F0FFF4"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Utilizzo impianti sotto ottimo (67% vs 77%+)</w:t>
            </w:r>
          </w:p>
        </w:tc>
      </w:tr>
      <w:tr>
        <w:tc>
          <w:tcPr>
            <w:tcW w:type="dxa" w:w="4513"/>
            <w:tcBorders>
              <w:top w:val="single" w:color="CCCCCC" w:sz="4"/>
              <w:left w:val="single" w:color="CCCCCC" w:sz="4"/>
              <w:bottom w:val="single" w:color="CCCCCC" w:sz="4"/>
              <w:right w:val="single" w:color="CCCCCC" w:sz="4"/>
            </w:tcBorders>
            <w:shd w:fill="F0F7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Struttura finanziaria sana (PFN negativa)</w:t>
            </w:r>
          </w:p>
        </w:tc>
        <w:tc>
          <w:tcPr>
            <w:tcW w:type="dxa" w:w="4513"/>
            <w:tcBorders>
              <w:top w:val="single" w:color="CCCCCC" w:sz="4"/>
              <w:left w:val="single" w:color="CCCCCC" w:sz="4"/>
              <w:bottom w:val="single" w:color="CCCCCC" w:sz="4"/>
              <w:right w:val="single" w:color="CCCCCC" w:sz="4"/>
            </w:tcBorders>
            <w:shd w:fill="F0FFF4"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Assenza manutenzione preventiva pianificata</w:t>
            </w:r>
          </w:p>
        </w:tc>
      </w:tr>
      <w:tr>
        <w:tc>
          <w:tcPr>
            <w:tcW w:type="dxa" w:w="4513"/>
            <w:tcBorders>
              <w:top w:val="single" w:color="CCCCCC" w:sz="4"/>
              <w:left w:val="single" w:color="CCCCCC" w:sz="4"/>
              <w:bottom w:val="single" w:color="CCCCCC" w:sz="4"/>
              <w:right w:val="single" w:color="CCCCCC" w:sz="4"/>
            </w:tcBorders>
            <w:shd w:fill="F0F7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Team stabile — turnover &lt;5%</w:t>
            </w:r>
          </w:p>
        </w:tc>
        <w:tc>
          <w:tcPr>
            <w:tcW w:type="dxa" w:w="4513"/>
            <w:tcBorders>
              <w:top w:val="single" w:color="CCCCCC" w:sz="4"/>
              <w:left w:val="single" w:color="CCCCCC" w:sz="4"/>
              <w:bottom w:val="single" w:color="CCCCCC" w:sz="4"/>
              <w:right w:val="single" w:color="CCCCCC" w:sz="4"/>
            </w:tcBorders>
            <w:shd w:fill="F0FFF4"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Rotazione magazzino migliorabile (48 vs 38 gg)</w:t>
            </w:r>
          </w:p>
        </w:tc>
      </w:tr>
    </w:tbl>
    <w:p>
      <w:r>
        <w:br w:type="page"/>
      </w:r>
    </w:p>
    <w:p>
      <w:pPr>
        <w:spacing w:after="120" w:before="280"/>
      </w:pPr>
      <w:r>
        <w:rPr>
          <w:rFonts w:ascii="Arial" w:cs="Arial" w:eastAsia="Arial" w:hAnsi="Arial"/>
          <w:b/>
          <w:bCs/>
          <w:color w:val="5B4BA0"/>
          <w:sz w:val="28"/>
          <w:szCs w:val="28"/>
        </w:rPr>
        <w:t xml:space="preserve">6 · Raccomandazioni</w:t>
      </w:r>
    </w:p>
    <w:p>
      <w:pPr>
        <w:spacing w:after="100" w:before="240"/>
      </w:pPr>
      <w:r>
        <w:rPr>
          <w:rFonts w:ascii="Arial" w:cs="Arial" w:eastAsia="Arial" w:hAnsi="Arial"/>
          <w:b/>
          <w:bCs/>
          <w:color w:val="5B4BA0"/>
          <w:sz w:val="24"/>
          <w:szCs w:val="24"/>
        </w:rPr>
        <w:t xml:space="preserve">Priorità 1 — Riduzione Scarti (Impatto: €43.000/anno · Urgenza: Alta)</w:t>
      </w:r>
    </w:p>
    <w:p>
      <w:pPr>
        <w:spacing w:after="80" w:before="80"/>
      </w:pPr>
      <w:r>
        <w:rPr>
          <w:rFonts w:ascii="Arial" w:cs="Arial" w:eastAsia="Arial" w:hAnsi="Arial"/>
          <w:b w:val="false"/>
          <w:bCs w:val="false"/>
          <w:i w:val="false"/>
          <w:iCs w:val="false"/>
          <w:color w:val="333333"/>
          <w:sz w:val="20"/>
          <w:szCs w:val="20"/>
        </w:rPr>
        <w:t xml:space="preserve">Implementare Standard Operating Procedure (SOP) per i 6 setup macchina più frequenti. Introdurre checklist pre-produzione per ogni lotto. Condurre 2 sessioni di formazione operatori (metodo 5S + controllo visivo). Investimento: €4.500. Tempi: 6–8 settimane. ROI: &lt; 2 mesi.</w:t>
      </w:r>
    </w:p>
    <w:p>
      <w:pPr>
        <w:spacing w:after="0" w:before="80"/>
      </w:pPr>
    </w:p>
    <w:p>
      <w:pPr>
        <w:spacing w:after="100" w:before="240"/>
      </w:pPr>
      <w:r>
        <w:rPr>
          <w:rFonts w:ascii="Arial" w:cs="Arial" w:eastAsia="Arial" w:hAnsi="Arial"/>
          <w:b/>
          <w:bCs/>
          <w:color w:val="5B4BA0"/>
          <w:sz w:val="24"/>
          <w:szCs w:val="24"/>
        </w:rPr>
        <w:t xml:space="preserve">Priorità 2 — Piano di Manutenzione Preventiva (Impatto: €18.000/anno · Urgenza: Alta)</w:t>
      </w:r>
    </w:p>
    <w:p>
      <w:pPr>
        <w:spacing w:after="80" w:before="80"/>
      </w:pPr>
      <w:r>
        <w:rPr>
          <w:rFonts w:ascii="Arial" w:cs="Arial" w:eastAsia="Arial" w:hAnsi="Arial"/>
          <w:b w:val="false"/>
          <w:bCs w:val="false"/>
          <w:i w:val="false"/>
          <w:iCs w:val="false"/>
          <w:color w:val="333333"/>
          <w:sz w:val="20"/>
          <w:szCs w:val="20"/>
        </w:rPr>
        <w:t xml:space="preserve">Implementare un piano di manutenzione preventiva per i 4 macchinari principali (fresatrice CNC, tornio CNC, impianto di taglio laser, punzonatrice). Frequenza: mensile per lubrificazioni e ispezioni, trimestrale per revisioni complete. Software suggerito: Limble CMMS (€89/mese). Riduzione attesa fermi non pianificati: da 8% a 3%.</w:t>
      </w:r>
    </w:p>
    <w:p>
      <w:pPr>
        <w:spacing w:after="0" w:before="80"/>
      </w:pPr>
    </w:p>
    <w:p>
      <w:pPr>
        <w:spacing w:after="100" w:before="240"/>
      </w:pPr>
      <w:r>
        <w:rPr>
          <w:rFonts w:ascii="Arial" w:cs="Arial" w:eastAsia="Arial" w:hAnsi="Arial"/>
          <w:b/>
          <w:bCs/>
          <w:color w:val="5B4BA0"/>
          <w:sz w:val="24"/>
          <w:szCs w:val="24"/>
        </w:rPr>
        <w:t xml:space="preserve">Priorità 3 — Ottimizzazione Mix Prodotto (Impatto: €28.000/anno · Urgenza: Media)</w:t>
      </w:r>
    </w:p>
    <w:p>
      <w:pPr>
        <w:spacing w:after="80" w:before="80"/>
      </w:pPr>
      <w:r>
        <w:rPr>
          <w:rFonts w:ascii="Arial" w:cs="Arial" w:eastAsia="Arial" w:hAnsi="Arial"/>
          <w:b w:val="false"/>
          <w:bCs w:val="false"/>
          <w:i w:val="false"/>
          <w:iCs w:val="false"/>
          <w:color w:val="333333"/>
          <w:sz w:val="20"/>
          <w:szCs w:val="20"/>
        </w:rPr>
        <w:t xml:space="preserve">La linea "Componenti Custom" (margine 14%) e "Conto Terzi" (margine 18%) devono essere preferite commercialmente rispetto all'Assemblaggio (margine 7,4%). Proposta: revisione listino assemblaggio con +8% medio, o riduzione volume assemblaggio del 15% redirigendo la capacità liberata verso lavorazioni conto terzi.</w:t>
      </w:r>
    </w:p>
    <w:p>
      <w:pPr>
        <w:spacing w:after="0" w:before="80"/>
      </w:pPr>
    </w:p>
    <w:p>
      <w:pPr>
        <w:spacing w:after="100" w:before="240"/>
      </w:pPr>
      <w:r>
        <w:rPr>
          <w:rFonts w:ascii="Arial" w:cs="Arial" w:eastAsia="Arial" w:hAnsi="Arial"/>
          <w:b/>
          <w:bCs/>
          <w:color w:val="5B4BA0"/>
          <w:sz w:val="24"/>
          <w:szCs w:val="24"/>
        </w:rPr>
        <w:t xml:space="preserve">Priorità 4 — Rinegoziazione Fornitori (Impatto: €19.000/anno · Urgenza: Media)</w:t>
      </w:r>
    </w:p>
    <w:p>
      <w:pPr>
        <w:spacing w:after="80" w:before="80"/>
      </w:pPr>
      <w:r>
        <w:rPr>
          <w:rFonts w:ascii="Arial" w:cs="Arial" w:eastAsia="Arial" w:hAnsi="Arial"/>
          <w:b w:val="false"/>
          <w:bCs w:val="false"/>
          <w:i w:val="false"/>
          <w:iCs w:val="false"/>
          <w:color w:val="333333"/>
          <w:sz w:val="20"/>
          <w:szCs w:val="20"/>
        </w:rPr>
        <w:t xml:space="preserve">I fornitori B e C di materie prime presentano variabilità qualitativa superiore al fornitore A, contribuendo al 28% degli scarti. Rinegoziare i contratti con clausole di qualità (AQL 1,0) e sconto volume garantito. In alternativa, consolidare il volume sul fornitore A con impegno annuale per ottenere condizioni migliori. Stima risparmio su scarti: €25.500; stima miglioramento condizioni acquisto: +1,5% margine su materie prime.</w:t>
      </w:r>
    </w:p>
    <w:p>
      <w:pPr>
        <w:spacing w:after="0" w:before="80"/>
      </w:pPr>
    </w:p>
    <w:p>
      <w:pPr>
        <w:spacing w:after="100" w:before="240"/>
      </w:pPr>
      <w:r>
        <w:rPr>
          <w:rFonts w:ascii="Arial" w:cs="Arial" w:eastAsia="Arial" w:hAnsi="Arial"/>
          <w:b/>
          <w:bCs/>
          <w:color w:val="5B4BA0"/>
          <w:sz w:val="24"/>
          <w:szCs w:val="24"/>
        </w:rPr>
        <w:t xml:space="preserve">Priorità 5 — Riduzione Lead Time (Impatto: competitività · Urgenza: Media-Bassa)</w:t>
      </w:r>
    </w:p>
    <w:p>
      <w:pPr>
        <w:spacing w:after="80" w:before="80"/>
      </w:pPr>
      <w:r>
        <w:rPr>
          <w:rFonts w:ascii="Arial" w:cs="Arial" w:eastAsia="Arial" w:hAnsi="Arial"/>
          <w:b w:val="false"/>
          <w:bCs w:val="false"/>
          <w:i w:val="false"/>
          <w:iCs w:val="false"/>
          <w:color w:val="333333"/>
          <w:sz w:val="20"/>
          <w:szCs w:val="20"/>
        </w:rPr>
        <w:t xml:space="preserve">Il lead time di 18 giorni vs i 12–14 dei concorrenti diretti è un fattore citato da 3 clienti in uscita nell'ultimo anno. L'implementazione delle priorità 1–3 porterà naturalmente a una riduzione del lead time a ~15 giorni. Per raggiungere 12 giorni sarà necessaria una revisione del layout di fabbrica (stimata in una giornata consulenziale Lean, €800).</w:t>
      </w:r>
    </w:p>
    <w:p>
      <w:r>
        <w:br w:type="page"/>
      </w:r>
    </w:p>
    <w:p>
      <w:pPr>
        <w:spacing w:after="120" w:before="280"/>
      </w:pPr>
      <w:r>
        <w:rPr>
          <w:rFonts w:ascii="Arial" w:cs="Arial" w:eastAsia="Arial" w:hAnsi="Arial"/>
          <w:b/>
          <w:bCs/>
          <w:color w:val="5B4BA0"/>
          <w:sz w:val="28"/>
          <w:szCs w:val="28"/>
        </w:rPr>
        <w:t xml:space="preserve">7 · Appendice Dati</w:t>
      </w:r>
    </w:p>
    <w:p>
      <w:pPr>
        <w:spacing w:after="100" w:before="240"/>
      </w:pPr>
      <w:r>
        <w:rPr>
          <w:rFonts w:ascii="Arial" w:cs="Arial" w:eastAsia="Arial" w:hAnsi="Arial"/>
          <w:b/>
          <w:bCs/>
          <w:color w:val="5B4BA0"/>
          <w:sz w:val="24"/>
          <w:szCs w:val="24"/>
        </w:rPr>
        <w:t xml:space="preserve">A. Dati di Input Utilizzati nell'Analisi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Bilancio utilizzato</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Bilancio d'esercizio 2025 — approvato CDA marzo 2026</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Contabilità analitica</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Estratto per centro di costo — periodo gen–dic 2025</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Report produzione</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File Excel fornito da Sig. Ferretti — 18 fogli mensili</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Dati benchmark</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Database K2-AI — 218 aziende metalmeccaniche Nord Italia (Q1 2026)</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Tasso di cambio</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N/A — tutte le transazioni in EUR</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Normalizzazioni applicate</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 voci di costo straordinario escluse (€12.400 totale — non ricorrenti)</w:t>
            </w:r>
          </w:p>
        </w:tc>
      </w:tr>
    </w:tbl>
    <w:p>
      <w:pPr>
        <w:spacing w:after="0" w:before="120"/>
      </w:pPr>
    </w:p>
    <w:p>
      <w:pPr>
        <w:spacing w:after="100" w:before="240"/>
      </w:pPr>
      <w:r>
        <w:rPr>
          <w:rFonts w:ascii="Arial" w:cs="Arial" w:eastAsia="Arial" w:hAnsi="Arial"/>
          <w:b/>
          <w:bCs/>
          <w:color w:val="5B4BA0"/>
          <w:sz w:val="24"/>
          <w:szCs w:val="24"/>
        </w:rPr>
        <w:t xml:space="preserve">B. Note Metodologiche</w:t>
      </w:r>
    </w:p>
    <w:p>
      <w:pPr>
        <w:pStyle w:val="ListParagraph"/>
        <w:numPr>
          <w:ilvl w:val="0"/>
          <w:numId w:val="2"/>
        </w:numPr>
        <w:spacing w:after="60" w:before="60"/>
      </w:pPr>
      <w:r>
        <w:rPr>
          <w:rFonts w:ascii="Arial" w:cs="Arial" w:eastAsia="Arial" w:hAnsi="Arial"/>
          <w:color w:val="333333"/>
          <w:sz w:val="20"/>
          <w:szCs w:val="20"/>
        </w:rPr>
        <w:t xml:space="preserve">I margini per linea di prodotto sono calcolati con allocazione dei costi indiretti su base ore manodopera diretta (metodo full costing tradizionale)</w:t>
      </w:r>
    </w:p>
    <w:p>
      <w:pPr>
        <w:pStyle w:val="ListParagraph"/>
        <w:numPr>
          <w:ilvl w:val="0"/>
          <w:numId w:val="2"/>
        </w:numPr>
        <w:spacing w:after="60" w:before="60"/>
      </w:pPr>
      <w:r>
        <w:rPr>
          <w:rFonts w:ascii="Arial" w:cs="Arial" w:eastAsia="Arial" w:hAnsi="Arial"/>
          <w:color w:val="333333"/>
          <w:sz w:val="20"/>
          <w:szCs w:val="20"/>
        </w:rPr>
        <w:t xml:space="preserve">Il benchmark settoriale K2-AI utilizza dati aziendali anonimi raccolti tramite questionario strutturato e integrati con dati ATECO pubblici ISTAT/Cerved</w:t>
      </w:r>
    </w:p>
    <w:p>
      <w:pPr>
        <w:pStyle w:val="ListParagraph"/>
        <w:numPr>
          <w:ilvl w:val="0"/>
          <w:numId w:val="2"/>
        </w:numPr>
        <w:spacing w:after="60" w:before="60"/>
      </w:pPr>
      <w:r>
        <w:rPr>
          <w:rFonts w:ascii="Arial" w:cs="Arial" w:eastAsia="Arial" w:hAnsi="Arial"/>
          <w:color w:val="333333"/>
          <w:sz w:val="20"/>
          <w:szCs w:val="20"/>
        </w:rPr>
        <w:t xml:space="preserve">Le stime di risparmio sono calcolate in scenari "conservativi" — l'effetto ottimistico potrebbe essere superiore del 20–30%</w:t>
      </w:r>
    </w:p>
    <w:p>
      <w:pPr>
        <w:pStyle w:val="ListParagraph"/>
        <w:numPr>
          <w:ilvl w:val="0"/>
          <w:numId w:val="2"/>
        </w:numPr>
        <w:spacing w:after="60" w:before="60"/>
      </w:pPr>
      <w:r>
        <w:rPr>
          <w:rFonts w:ascii="Arial" w:cs="Arial" w:eastAsia="Arial" w:hAnsi="Arial"/>
          <w:color w:val="333333"/>
          <w:sz w:val="20"/>
          <w:szCs w:val="20"/>
        </w:rPr>
        <w:t xml:space="preserve">Il Report non costituisce perizia contabile né revisione del bilancio: i dati aziendali sono stati utilizzati as-is senza audit indipendente</w:t>
      </w:r>
    </w:p>
    <w:p>
      <w:pPr>
        <w:spacing w:after="0" w:before="120"/>
      </w:pPr>
    </w:p>
    <w:p>
      <w:pPr>
        <w:spacing w:after="100" w:before="240"/>
      </w:pPr>
      <w:r>
        <w:rPr>
          <w:rFonts w:ascii="Arial" w:cs="Arial" w:eastAsia="Arial" w:hAnsi="Arial"/>
          <w:b/>
          <w:bCs/>
          <w:color w:val="5B4BA0"/>
          <w:sz w:val="24"/>
          <w:szCs w:val="24"/>
        </w:rPr>
        <w:t xml:space="preserve">C. Glossario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EBITDA</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Earnings Before Interest, Taxes, Depreciation and Amortization — utile prima di interessi, tasse e ammortamenti</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Lead time</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Tempo medio tra ricezione ordine e consegna al cliente</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OEE (Overall Equipment Effectiveness)</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Indice composito di efficienza impianti = Disponibilità × Performance × Qualità</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SOP (Standard Operating Procedure)</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Procedura operativa standard documentata per garantire uniformità nell'esecuzione delle attività</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P50 / P75</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Percentile 50° (mediana) e 75° del campione benchmark — P75 indica il top quartile</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AQL (Acceptable Quality Level)</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Livello di qualità accettabile nelle forniture — contrattualizzato per limitare i lotti difettosi</w:t>
            </w:r>
          </w:p>
        </w:tc>
      </w:tr>
    </w:tbl>
    <w:p>
      <w:pPr>
        <w:spacing w:after="0" w:before="120"/>
      </w:pPr>
    </w:p>
    <w:p>
      <w:pPr>
        <w:pBdr>
          <w:bottom w:val="single" w:color="DDDDDD" w:sz="4"/>
        </w:pBdr>
        <w:spacing w:after="120" w:before="120"/>
      </w:pPr>
    </w:p>
    <w:p>
      <w:pPr>
        <w:spacing w:after="80" w:before="80"/>
      </w:pPr>
      <w:r>
        <w:rPr>
          <w:rFonts w:ascii="Arial" w:cs="Arial" w:eastAsia="Arial" w:hAnsi="Arial"/>
          <w:b w:val="false"/>
          <w:bCs w:val="false"/>
          <w:i/>
          <w:iCs/>
          <w:color w:val="999999"/>
          <w:sz w:val="20"/>
          <w:szCs w:val="20"/>
        </w:rPr>
        <w:t xml:space="preserve">K2-AI · Via della Competitività 24 · 20121 Milano MI · info@k2-ai.it · www.k2-ai.it</w:t>
      </w:r>
    </w:p>
    <w:p>
      <w:pPr>
        <w:spacing w:after="80" w:before="80"/>
      </w:pPr>
      <w:r>
        <w:rPr>
          <w:rFonts w:ascii="Arial" w:cs="Arial" w:eastAsia="Arial" w:hAnsi="Arial"/>
          <w:b w:val="false"/>
          <w:bCs w:val="false"/>
          <w:i/>
          <w:iCs/>
          <w:color w:val="AAAAAA"/>
          <w:sz w:val="20"/>
          <w:szCs w:val="20"/>
        </w:rPr>
        <w:t xml:space="preserve">Documento riservato — Artigiana Italiana S.r.l. — Uso interno. Vietata la riproduzione senza autorizzazione scritta.</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8B1A1A" w:color="auto" w:val="clear"/>
            <w:tcMar>
              <w:top w:type="dxa" w:w="80"/>
              <w:left w:type="dxa" w:w="160"/>
              <w:bottom w:type="dxa" w:w="80"/>
              <w:right w:type="dxa" w:w="160"/>
            </w:tcMar>
            <w:vAlign w:val="top"/>
          </w:tcPr>
          <w:p>
            <w:r>
              <w:rPr>
                <w:rFonts w:ascii="Arial" w:cs="Arial" w:eastAsia="Arial" w:hAnsi="Arial"/>
                <w:b/>
                <w:bCs/>
                <w:color w:val="FFFFFF"/>
                <w:sz w:val="52"/>
                <w:szCs w:val="52"/>
              </w:rPr>
              <w:t xml:space="preserve">K2-AI</w:t>
            </w:r>
          </w:p>
          <w:p>
            <w:r>
              <w:rPr>
                <w:rFonts w:ascii="Arial" w:cs="Arial" w:eastAsia="Arial" w:hAnsi="Arial"/>
                <w:b/>
                <w:bCs/>
                <w:color w:val="FFFFFF"/>
                <w:sz w:val="32"/>
                <w:szCs w:val="32"/>
              </w:rPr>
              <w:t xml:space="preserve">Piano Strategico Completo</w:t>
            </w:r>
          </w:p>
          <w:p>
            <w:pPr>
              <w:spacing w:after="0" w:before="80"/>
            </w:pPr>
          </w:p>
          <w:p>
            <w:r>
              <w:rPr>
                <w:rFonts w:ascii="Arial" w:cs="Arial" w:eastAsia="Arial" w:hAnsi="Arial"/>
                <w:color w:val="FFFFFF"/>
                <w:sz w:val="28"/>
                <w:szCs w:val="28"/>
              </w:rPr>
              <w:t xml:space="preserve">€500 – €3.000 · Progetto Personalizzato</w:t>
            </w:r>
          </w:p>
        </w:tc>
        <w:tc>
          <w:tcPr>
            <w:tcW w:type="dxa" w:w="4513"/>
            <w:tcBorders>
              <w:top w:val="single" w:color="CCCCCC" w:sz="4"/>
              <w:left w:val="single" w:color="CCCCCC" w:sz="4"/>
              <w:bottom w:val="single" w:color="CCCCCC" w:sz="4"/>
              <w:right w:val="single" w:color="CCCCCC" w:sz="4"/>
            </w:tcBorders>
            <w:shd w:fill="F5F8FC" w:color="auto" w:val="clear"/>
            <w:tcMar>
              <w:top w:type="dxa" w:w="80"/>
              <w:left w:type="dxa" w:w="160"/>
              <w:bottom w:type="dxa" w:w="80"/>
              <w:right w:type="dxa" w:w="160"/>
            </w:tcMar>
            <w:vAlign w:val="top"/>
          </w:tcPr>
          <w:p>
            <w:r>
              <w:rPr>
                <w:rFonts w:ascii="Arial" w:cs="Arial" w:eastAsia="Arial" w:hAnsi="Arial"/>
                <w:b/>
                <w:bCs/>
                <w:color w:val="1A1A1A"/>
                <w:sz w:val="24"/>
                <w:szCs w:val="24"/>
              </w:rPr>
              <w:t xml:space="preserve">Artigiana Italiana S.r.l.</w:t>
            </w:r>
          </w:p>
          <w:p>
            <w:r>
              <w:rPr>
                <w:rFonts w:ascii="Arial" w:cs="Arial" w:eastAsia="Arial" w:hAnsi="Arial"/>
                <w:color w:val="666666"/>
                <w:sz w:val="20"/>
                <w:szCs w:val="20"/>
              </w:rPr>
              <w:t xml:space="preserve">Bergamo, Lombardia</w:t>
            </w:r>
          </w:p>
          <w:p>
            <w:r>
              <w:rPr>
                <w:rFonts w:ascii="Arial" w:cs="Arial" w:eastAsia="Arial" w:hAnsi="Arial"/>
                <w:color w:val="666666"/>
                <w:sz w:val="20"/>
                <w:szCs w:val="20"/>
              </w:rPr>
              <w:t xml:space="preserve">Metalmeccanica · 18 Dipendenti</w:t>
            </w:r>
          </w:p>
          <w:p>
            <w:r>
              <w:rPr>
                <w:rFonts w:ascii="Arial" w:cs="Arial" w:eastAsia="Arial" w:hAnsi="Arial"/>
                <w:color w:val="666666"/>
                <w:sz w:val="20"/>
                <w:szCs w:val="20"/>
              </w:rPr>
              <w:t xml:space="preserve">Fatturato: €2.400.000</w:t>
            </w:r>
          </w:p>
          <w:p>
            <w:r>
              <w:rPr>
                <w:rFonts w:ascii="Arial" w:cs="Arial" w:eastAsia="Arial" w:hAnsi="Arial"/>
                <w:color w:val="666666"/>
                <w:sz w:val="20"/>
                <w:szCs w:val="20"/>
              </w:rPr>
              <w:t xml:space="preserve">Titolare: Marco Ferretti</w:t>
            </w:r>
          </w:p>
          <w:p>
            <w:pPr>
              <w:spacing w:after="0" w:before="60"/>
            </w:pPr>
          </w:p>
          <w:p>
            <w:r>
              <w:rPr>
                <w:rFonts w:ascii="Arial" w:cs="Arial" w:eastAsia="Arial" w:hAnsi="Arial"/>
                <w:i/>
                <w:iCs/>
                <w:color w:val="999999"/>
                <w:sz w:val="18"/>
                <w:szCs w:val="18"/>
              </w:rPr>
              <w:t xml:space="preserve">Elaborato: Aprile 2026</w:t>
            </w:r>
          </w:p>
        </w:tc>
      </w:tr>
    </w:tbl>
    <w:p>
      <w:pPr>
        <w:spacing w:after="0" w:before="200"/>
      </w:pPr>
    </w:p>
    <w:p>
      <w:pPr>
        <w:spacing w:after="120" w:before="280"/>
      </w:pPr>
      <w:r>
        <w:rPr>
          <w:rFonts w:ascii="Arial" w:cs="Arial" w:eastAsia="Arial" w:hAnsi="Arial"/>
          <w:b/>
          <w:bCs/>
          <w:color w:val="8B1A1A"/>
          <w:sz w:val="34"/>
          <w:szCs w:val="34"/>
        </w:rPr>
        <w:t xml:space="preserve">PIANO STRATEGICO COMPLETO</w:t>
      </w:r>
    </w:p>
    <w:p>
      <w:pPr>
        <w:spacing w:after="100" w:before="240"/>
      </w:pPr>
      <w:r>
        <w:rPr>
          <w:rFonts w:ascii="Arial" w:cs="Arial" w:eastAsia="Arial" w:hAnsi="Arial"/>
          <w:b/>
          <w:bCs/>
          <w:color w:val="8B1A1A"/>
          <w:sz w:val="24"/>
          <w:szCs w:val="24"/>
        </w:rPr>
        <w:t xml:space="preserve">Consulenza Strategica e Operativa su Misura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Tipologia Servizio</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Consulenza Strategica Personalizzata — Pacchetto Trasformazione</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Oggetto del Mandato</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Diagnosi Completa · Piano Triennale · Roadmap Implementativa</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Committente</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Marco Ferretti — Artigiana Italiana S.r.l., Bergamo</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Fascia di Prezzo</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€2.800 (Piano Strategico Completo 3 anni + 3 sessioni follow-up)</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Durata Progetto</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8 settimane (discovery + analisi + piano + presentazione)</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Validità Piano</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18 mesi con revisione semestrale inclusa</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Consulente Responsabile</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K2-AI · Team Strategia Industriale</w:t>
            </w:r>
          </w:p>
        </w:tc>
      </w:tr>
    </w:tbl>
    <w:p>
      <w:r>
        <w:br w:type="page"/>
      </w:r>
    </w:p>
    <w:p>
      <w:pPr>
        <w:spacing w:after="120" w:before="280"/>
      </w:pPr>
      <w:r>
        <w:rPr>
          <w:rFonts w:ascii="Arial" w:cs="Arial" w:eastAsia="Arial" w:hAnsi="Arial"/>
          <w:b/>
          <w:bCs/>
          <w:color w:val="8B1A1A"/>
          <w:sz w:val="28"/>
          <w:szCs w:val="28"/>
        </w:rPr>
        <w:t xml:space="preserve">1 · Executive Summary</w:t>
      </w:r>
    </w:p>
    <w:p>
      <w:pPr>
        <w:spacing w:after="80" w:before="80"/>
      </w:pPr>
      <w:r>
        <w:rPr>
          <w:rFonts w:ascii="Arial" w:cs="Arial" w:eastAsia="Arial" w:hAnsi="Arial"/>
          <w:b w:val="false"/>
          <w:bCs w:val="false"/>
          <w:i w:val="false"/>
          <w:iCs w:val="false"/>
          <w:color w:val="333333"/>
          <w:sz w:val="20"/>
          <w:szCs w:val="20"/>
        </w:rPr>
        <w:t xml:space="preserve">Il presente Piano Strategico è il risultato di un'analisi completa condotta su Artigiana Italiana S.r.l. nell'arco di 8 settimane, attraverso interviste strutturate con il titolare e i 3 responsabili operativi, analisi dei dati finanziari degli ultimi 3 esercizi, osservazione diretta del processo produttivo e benchmarking settoriale approfondito.</w:t>
      </w:r>
    </w:p>
    <w:p>
      <w:pPr>
        <w:spacing w:after="0" w:before="80"/>
      </w:pPr>
    </w:p>
    <w:p>
      <w:pPr>
        <w:spacing w:after="80" w:before="80"/>
      </w:pPr>
      <w:r>
        <w:rPr>
          <w:rFonts w:ascii="Arial" w:cs="Arial" w:eastAsia="Arial" w:hAnsi="Arial"/>
          <w:b w:val="false"/>
          <w:bCs w:val="false"/>
          <w:i w:val="false"/>
          <w:iCs w:val="false"/>
          <w:color w:val="333333"/>
          <w:sz w:val="20"/>
          <w:szCs w:val="20"/>
        </w:rPr>
        <w:t xml:space="preserve">L'analisi ha portato a identificare tre scenari strategici credibili per il triennio 2026–2028, con un piano d'azione dettagliato, un modello di proiezione finanziaria e un sistema di KPI per il monitoraggio continuo dei risultati.</w:t>
      </w:r>
    </w:p>
    <w:p>
      <w:pPr>
        <w:spacing w:after="0" w:before="80"/>
      </w:pPr>
    </w:p>
    <w:p>
      <w:pPr>
        <w:spacing w:after="80" w:before="200"/>
      </w:pPr>
      <w:r>
        <w:rPr>
          <w:rFonts w:ascii="Arial" w:cs="Arial" w:eastAsia="Arial" w:hAnsi="Arial"/>
          <w:b/>
          <w:bCs/>
          <w:color w:val="444444"/>
          <w:sz w:val="22"/>
          <w:szCs w:val="22"/>
        </w:rPr>
        <w:t xml:space="preserve">La Situazione Attuale: Solidità con Potenziale Inespresso</w:t>
      </w:r>
    </w:p>
    <w:p>
      <w:pPr>
        <w:spacing w:after="80" w:before="80"/>
      </w:pPr>
      <w:r>
        <w:rPr>
          <w:rFonts w:ascii="Arial" w:cs="Arial" w:eastAsia="Arial" w:hAnsi="Arial"/>
          <w:b w:val="false"/>
          <w:bCs w:val="false"/>
          <w:i w:val="false"/>
          <w:iCs w:val="false"/>
          <w:color w:val="333333"/>
          <w:sz w:val="20"/>
          <w:szCs w:val="20"/>
        </w:rPr>
        <w:t xml:space="preserve">Artigiana Italiana è un'azienda ben posizionata nel proprio mercato, con una reputazione consolidata presso la clientela (tasso di riacquisto &gt;80%, NPS stimato +34). Tuttavia, la crescita è rallentata negli ultimi 24 mesi (+4% CAGR vs +9% del mercato di riferimento), e la marginalità è inferiore al benchmark di settore di circa 2,6 punti percentuali. Questi segnali indicano che l'azienda ha esaurito il potenziale di crescita organica "per inerzia" e necessita di una strategia esplicita per il prossimo ciclo competitivo.</w:t>
      </w:r>
    </w:p>
    <w:p>
      <w:pPr>
        <w:spacing w:after="0" w:before="80"/>
      </w:pPr>
    </w:p>
    <w:p>
      <w:pPr>
        <w:spacing w:after="80" w:before="200"/>
      </w:pPr>
      <w:r>
        <w:rPr>
          <w:rFonts w:ascii="Arial" w:cs="Arial" w:eastAsia="Arial" w:hAnsi="Arial"/>
          <w:b/>
          <w:bCs/>
          <w:color w:val="444444"/>
          <w:sz w:val="22"/>
          <w:szCs w:val="22"/>
        </w:rPr>
        <w:t xml:space="preserve">La Raccomandazione Strategica: Specializzazione Premium</w:t>
      </w:r>
    </w:p>
    <w:p>
      <w:pPr>
        <w:spacing w:after="80" w:before="80"/>
      </w:pPr>
      <w:r>
        <w:rPr>
          <w:rFonts w:ascii="Arial" w:cs="Arial" w:eastAsia="Arial" w:hAnsi="Arial"/>
          <w:b w:val="false"/>
          <w:bCs w:val="false"/>
          <w:i w:val="false"/>
          <w:iCs w:val="false"/>
          <w:color w:val="333333"/>
          <w:sz w:val="20"/>
          <w:szCs w:val="20"/>
        </w:rPr>
        <w:t xml:space="preserve">Tra i tre scenari analizzati, la strategia raccomandata è la Specializzazione Premium: riduzione del volume di commesse standardizzate a basso margine, concentrazione sulle lavorazioni ad alta precisione e certificazione per settori a domanda crescente (medicale, aeronautica industriale, automotive elettrico), e sviluppo di capacità distintive che rendano Artigiana Italiana non sostituibile per i propri clienti chiave.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Fatturato target 2028 (scenario base)</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€3.100.000 (+29% vs 2025)</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EBITDA target 2028</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18,5% (vs 12,4% attuale)</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Investimenti totali richiesti</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€185.000 in 3 anni</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Payback atteso</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28 mesi</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Posti di lavoro netti creati</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 (1 tecnico CNC specializzato + 1 quality manager + 1 commerciale)</w:t>
            </w:r>
          </w:p>
        </w:tc>
      </w:tr>
    </w:tbl>
    <w:p>
      <w:r>
        <w:br w:type="page"/>
      </w:r>
    </w:p>
    <w:p>
      <w:pPr>
        <w:spacing w:after="120" w:before="280"/>
      </w:pPr>
      <w:r>
        <w:rPr>
          <w:rFonts w:ascii="Arial" w:cs="Arial" w:eastAsia="Arial" w:hAnsi="Arial"/>
          <w:b/>
          <w:bCs/>
          <w:color w:val="8B1A1A"/>
          <w:sz w:val="28"/>
          <w:szCs w:val="28"/>
        </w:rPr>
        <w:t xml:space="preserve">2 · Mandato e Perimetro</w:t>
      </w:r>
    </w:p>
    <w:p>
      <w:pPr>
        <w:spacing w:after="100" w:before="240"/>
      </w:pPr>
      <w:r>
        <w:rPr>
          <w:rFonts w:ascii="Arial" w:cs="Arial" w:eastAsia="Arial" w:hAnsi="Arial"/>
          <w:b/>
          <w:bCs/>
          <w:color w:val="8B1A1A"/>
          <w:sz w:val="24"/>
          <w:szCs w:val="24"/>
        </w:rPr>
        <w:t xml:space="preserve">2.1 Quesiti Strategici Affrontati</w:t>
      </w:r>
    </w:p>
    <w:p>
      <w:pPr>
        <w:pStyle w:val="ListParagraph"/>
        <w:numPr>
          <w:ilvl w:val="0"/>
          <w:numId w:val="2"/>
        </w:numPr>
        <w:spacing w:after="60" w:before="60"/>
      </w:pPr>
      <w:r>
        <w:rPr>
          <w:rFonts w:ascii="Arial" w:cs="Arial" w:eastAsia="Arial" w:hAnsi="Arial"/>
          <w:color w:val="333333"/>
          <w:sz w:val="20"/>
          <w:szCs w:val="20"/>
        </w:rPr>
        <w:t xml:space="preserve">Come può Artigiana Italiana crescere in modo sostenibile nei prossimi 3 anni senza sovraccaricare l'organizzazione?</w:t>
      </w:r>
    </w:p>
    <w:p>
      <w:pPr>
        <w:pStyle w:val="ListParagraph"/>
        <w:numPr>
          <w:ilvl w:val="0"/>
          <w:numId w:val="2"/>
        </w:numPr>
        <w:spacing w:after="60" w:before="60"/>
      </w:pPr>
      <w:r>
        <w:rPr>
          <w:rFonts w:ascii="Arial" w:cs="Arial" w:eastAsia="Arial" w:hAnsi="Arial"/>
          <w:color w:val="333333"/>
          <w:sz w:val="20"/>
          <w:szCs w:val="20"/>
        </w:rPr>
        <w:t xml:space="preserve">Quali segmenti di clientela e linee di prodotto devono essere prioritizzati, e quali abbandonati o ridimensionati?</w:t>
      </w:r>
    </w:p>
    <w:p>
      <w:pPr>
        <w:pStyle w:val="ListParagraph"/>
        <w:numPr>
          <w:ilvl w:val="0"/>
          <w:numId w:val="2"/>
        </w:numPr>
        <w:spacing w:after="60" w:before="60"/>
      </w:pPr>
      <w:r>
        <w:rPr>
          <w:rFonts w:ascii="Arial" w:cs="Arial" w:eastAsia="Arial" w:hAnsi="Arial"/>
          <w:color w:val="333333"/>
          <w:sz w:val="20"/>
          <w:szCs w:val="20"/>
        </w:rPr>
        <w:t xml:space="preserve">Come colmare il gap di marginalità rispetto al benchmark senza tagliare investimenti nella qualità?</w:t>
      </w:r>
    </w:p>
    <w:p>
      <w:pPr>
        <w:pStyle w:val="ListParagraph"/>
        <w:numPr>
          <w:ilvl w:val="0"/>
          <w:numId w:val="2"/>
        </w:numPr>
        <w:spacing w:after="60" w:before="60"/>
      </w:pPr>
      <w:r>
        <w:rPr>
          <w:rFonts w:ascii="Arial" w:cs="Arial" w:eastAsia="Arial" w:hAnsi="Arial"/>
          <w:color w:val="333333"/>
          <w:sz w:val="20"/>
          <w:szCs w:val="20"/>
        </w:rPr>
        <w:t xml:space="preserve">Quali capacità organizzative e tecnologiche devono essere sviluppate per competere nel 2028?</w:t>
      </w:r>
    </w:p>
    <w:p>
      <w:pPr>
        <w:pStyle w:val="ListParagraph"/>
        <w:numPr>
          <w:ilvl w:val="0"/>
          <w:numId w:val="2"/>
        </w:numPr>
        <w:spacing w:after="60" w:before="60"/>
      </w:pPr>
      <w:r>
        <w:rPr>
          <w:rFonts w:ascii="Arial" w:cs="Arial" w:eastAsia="Arial" w:hAnsi="Arial"/>
          <w:color w:val="333333"/>
          <w:sz w:val="20"/>
          <w:szCs w:val="20"/>
        </w:rPr>
        <w:t xml:space="preserve">Come strutturare l'azienda per renderla meno dipendente dalla presenza diretta del titolare?</w:t>
      </w:r>
    </w:p>
    <w:p>
      <w:pPr>
        <w:spacing w:after="0" w:before="120"/>
      </w:pPr>
    </w:p>
    <w:p>
      <w:pPr>
        <w:spacing w:after="100" w:before="240"/>
      </w:pPr>
      <w:r>
        <w:rPr>
          <w:rFonts w:ascii="Arial" w:cs="Arial" w:eastAsia="Arial" w:hAnsi="Arial"/>
          <w:b/>
          <w:bCs/>
          <w:color w:val="8B1A1A"/>
          <w:sz w:val="24"/>
          <w:szCs w:val="24"/>
        </w:rPr>
        <w:t xml:space="preserve">2.2 Perimetro dell'Analisi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Arco temporale analisi storica</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2023–2025 (3 esercizi completi)</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Perimetro geografico mercato</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Nord Italia (principale) + clientela Centro Italia emergente</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Settori clientela analizzati</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Meccanica generale, automazione industriale, componentistica automotive, attrezzature medicali (segmento nascente)</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Linee prodotto incluse</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Tutte e 3 le linee (Componenti Custom, Conto Terzi, Assemblaggio)</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Personale coinvolto</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Titolare (3 sessioni) + Capo reparto produzione (2 sessioni) + Responsabile acquisti (1 sessione) + Commerciale (1 sessione)</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Non incluso nel mandato</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Analisi successione aziendale / M&amp;A / ingresso soci finanziari</w:t>
            </w:r>
          </w:p>
        </w:tc>
      </w:tr>
    </w:tbl>
    <w:p>
      <w:r>
        <w:br w:type="page"/>
      </w:r>
    </w:p>
    <w:p>
      <w:pPr>
        <w:spacing w:after="120" w:before="280"/>
      </w:pPr>
      <w:r>
        <w:rPr>
          <w:rFonts w:ascii="Arial" w:cs="Arial" w:eastAsia="Arial" w:hAnsi="Arial"/>
          <w:b/>
          <w:bCs/>
          <w:color w:val="8B1A1A"/>
          <w:sz w:val="28"/>
          <w:szCs w:val="28"/>
        </w:rPr>
        <w:t xml:space="preserve">3 · Analisi AS-IS</w:t>
      </w:r>
    </w:p>
    <w:p>
      <w:pPr>
        <w:spacing w:after="100" w:before="240"/>
      </w:pPr>
      <w:r>
        <w:rPr>
          <w:rFonts w:ascii="Arial" w:cs="Arial" w:eastAsia="Arial" w:hAnsi="Arial"/>
          <w:b/>
          <w:bCs/>
          <w:color w:val="8B1A1A"/>
          <w:sz w:val="24"/>
          <w:szCs w:val="24"/>
        </w:rPr>
        <w:t xml:space="preserve">3.1 Posizionamento Competitivo Attuale</w:t>
      </w:r>
    </w:p>
    <w:p>
      <w:pPr>
        <w:spacing w:after="80" w:before="80"/>
      </w:pPr>
      <w:r>
        <w:rPr>
          <w:rFonts w:ascii="Arial" w:cs="Arial" w:eastAsia="Arial" w:hAnsi="Arial"/>
          <w:b w:val="false"/>
          <w:bCs w:val="false"/>
          <w:i w:val="false"/>
          <w:iCs w:val="false"/>
          <w:color w:val="333333"/>
          <w:sz w:val="20"/>
          <w:szCs w:val="20"/>
        </w:rPr>
        <w:t xml:space="preserve">Artigiana Italiana si posiziona nel segmento medio del mercato metalmeccanico bergamasco: qualità superiore alla media ma prezzi non premium, capacità produttiva flessibile ma non ad altissima specializzazione, reputazione locale consolidata ma brand non strutturato. Questo posizionamento "buono ma non distintivo" espone l'azienda a una pressione crescente dal basso (officine low-cost con manodopera più economica) e la esclude dal segmento premium (che richiede certificazioni e attrezzature che l'azienda non possiede ancora).</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1A6B3C" w:color="auto" w:val="clear"/>
            <w:tcMar>
              <w:top w:type="dxa" w:w="80"/>
              <w:left w:type="dxa" w:w="160"/>
              <w:bottom w:type="dxa" w:w="80"/>
              <w:right w:type="dxa" w:w="160"/>
            </w:tcMar>
            <w:vAlign w:val="top"/>
          </w:tcPr>
          <w:p>
            <w:r>
              <w:rPr>
                <w:rFonts w:ascii="Arial" w:cs="Arial" w:eastAsia="Arial" w:hAnsi="Arial"/>
                <w:b/>
                <w:bCs/>
                <w:color w:val="FFFFFF"/>
                <w:sz w:val="22"/>
                <w:szCs w:val="22"/>
              </w:rPr>
              <w:t xml:space="preserve">✦  FORZE</w:t>
            </w:r>
          </w:p>
        </w:tc>
        <w:tc>
          <w:tcPr>
            <w:tcW w:type="dxa" w:w="4513"/>
            <w:tcBorders>
              <w:top w:val="single" w:color="CCCCCC" w:sz="4"/>
              <w:left w:val="single" w:color="CCCCCC" w:sz="4"/>
              <w:bottom w:val="single" w:color="CCCCCC" w:sz="4"/>
              <w:right w:val="single" w:color="CCCCCC" w:sz="4"/>
            </w:tcBorders>
            <w:shd w:fill="B8391A" w:color="auto" w:val="clear"/>
            <w:tcMar>
              <w:top w:type="dxa" w:w="80"/>
              <w:left w:type="dxa" w:w="160"/>
              <w:bottom w:type="dxa" w:w="80"/>
              <w:right w:type="dxa" w:w="160"/>
            </w:tcMar>
            <w:vAlign w:val="top"/>
          </w:tcPr>
          <w:p>
            <w:r>
              <w:rPr>
                <w:rFonts w:ascii="Arial" w:cs="Arial" w:eastAsia="Arial" w:hAnsi="Arial"/>
                <w:b/>
                <w:bCs/>
                <w:color w:val="FFFFFF"/>
                <w:sz w:val="22"/>
                <w:szCs w:val="22"/>
              </w:rPr>
              <w:t xml:space="preserve">▼  DEBOLEZZE</w:t>
            </w:r>
          </w:p>
        </w:tc>
      </w:tr>
      <w:tr>
        <w:tc>
          <w:tcPr>
            <w:tcW w:type="dxa" w:w="4513"/>
            <w:tcBorders>
              <w:top w:val="single" w:color="CCCCCC" w:sz="4"/>
              <w:left w:val="single" w:color="CCCCCC" w:sz="4"/>
              <w:bottom w:val="single" w:color="CCCCCC" w:sz="4"/>
              <w:right w:val="single" w:color="CCCCCC" w:sz="4"/>
            </w:tcBorders>
            <w:shd w:fill="E8F4E8" w:color="auto" w:val="clear"/>
            <w:tcMar>
              <w:top w:type="dxa" w:w="80"/>
              <w:left w:type="dxa" w:w="160"/>
              <w:bottom w:type="dxa" w:w="80"/>
              <w:right w:type="dxa" w:w="160"/>
            </w:tcMar>
            <w:vAlign w:val="top"/>
          </w:tcPr>
          <w:p>
            <w:pPr>
              <w:pStyle w:val="ListParagraph"/>
              <w:numPr>
                <w:ilvl w:val="0"/>
                <w:numId w:val="2"/>
              </w:numPr>
              <w:spacing w:after="40" w:before="60"/>
            </w:pPr>
            <w:r>
              <w:rPr>
                <w:rFonts w:ascii="Arial" w:cs="Arial" w:eastAsia="Arial" w:hAnsi="Arial"/>
                <w:color w:val="1A3A1A"/>
                <w:sz w:val="20"/>
                <w:szCs w:val="20"/>
              </w:rPr>
              <w:t xml:space="preserve">Reputazione qualitativa consolidata (18 anni)</w:t>
            </w:r>
          </w:p>
          <w:p>
            <w:pPr>
              <w:pStyle w:val="ListParagraph"/>
              <w:numPr>
                <w:ilvl w:val="0"/>
                <w:numId w:val="2"/>
              </w:numPr>
              <w:spacing w:after="40" w:before="60"/>
            </w:pPr>
            <w:r>
              <w:rPr>
                <w:rFonts w:ascii="Arial" w:cs="Arial" w:eastAsia="Arial" w:hAnsi="Arial"/>
                <w:color w:val="1A3A1A"/>
                <w:sz w:val="20"/>
                <w:szCs w:val="20"/>
              </w:rPr>
              <w:t xml:space="preserve">Base clienti fidelizzata — riacquisto &gt;80%</w:t>
            </w:r>
          </w:p>
          <w:p>
            <w:pPr>
              <w:pStyle w:val="ListParagraph"/>
              <w:numPr>
                <w:ilvl w:val="0"/>
                <w:numId w:val="2"/>
              </w:numPr>
              <w:spacing w:after="40" w:before="60"/>
            </w:pPr>
            <w:r>
              <w:rPr>
                <w:rFonts w:ascii="Arial" w:cs="Arial" w:eastAsia="Arial" w:hAnsi="Arial"/>
                <w:color w:val="1A3A1A"/>
                <w:sz w:val="20"/>
                <w:szCs w:val="20"/>
              </w:rPr>
              <w:t xml:space="preserve">Team stabile, competente, con basso turnover</w:t>
            </w:r>
          </w:p>
          <w:p>
            <w:pPr>
              <w:pStyle w:val="ListParagraph"/>
              <w:numPr>
                <w:ilvl w:val="0"/>
                <w:numId w:val="2"/>
              </w:numPr>
              <w:spacing w:after="40" w:before="60"/>
            </w:pPr>
            <w:r>
              <w:rPr>
                <w:rFonts w:ascii="Arial" w:cs="Arial" w:eastAsia="Arial" w:hAnsi="Arial"/>
                <w:color w:val="1A3A1A"/>
                <w:sz w:val="20"/>
                <w:szCs w:val="20"/>
              </w:rPr>
              <w:t xml:space="preserve">Struttura finanziaria sana, senza debiti gravosi</w:t>
            </w:r>
          </w:p>
          <w:p>
            <w:pPr>
              <w:pStyle w:val="ListParagraph"/>
              <w:numPr>
                <w:ilvl w:val="0"/>
                <w:numId w:val="2"/>
              </w:numPr>
              <w:spacing w:after="40" w:before="60"/>
            </w:pPr>
            <w:r>
              <w:rPr>
                <w:rFonts w:ascii="Arial" w:cs="Arial" w:eastAsia="Arial" w:hAnsi="Arial"/>
                <w:color w:val="1A3A1A"/>
                <w:sz w:val="20"/>
                <w:szCs w:val="20"/>
              </w:rPr>
              <w:t xml:space="preserve">Flessibilità produttiva e risposta rapida ai clienti</w:t>
            </w:r>
          </w:p>
        </w:tc>
        <w:tc>
          <w:tcPr>
            <w:tcW w:type="dxa" w:w="4513"/>
            <w:tcBorders>
              <w:top w:val="single" w:color="CCCCCC" w:sz="4"/>
              <w:left w:val="single" w:color="CCCCCC" w:sz="4"/>
              <w:bottom w:val="single" w:color="CCCCCC" w:sz="4"/>
              <w:right w:val="single" w:color="CCCCCC" w:sz="4"/>
            </w:tcBorders>
            <w:shd w:fill="FFE8E8" w:color="auto" w:val="clear"/>
            <w:tcMar>
              <w:top w:type="dxa" w:w="80"/>
              <w:left w:type="dxa" w:w="160"/>
              <w:bottom w:type="dxa" w:w="80"/>
              <w:right w:type="dxa" w:w="160"/>
            </w:tcMar>
            <w:vAlign w:val="top"/>
          </w:tcPr>
          <w:p>
            <w:pPr>
              <w:pStyle w:val="ListParagraph"/>
              <w:numPr>
                <w:ilvl w:val="0"/>
                <w:numId w:val="2"/>
              </w:numPr>
              <w:spacing w:after="40" w:before="60"/>
            </w:pPr>
            <w:r>
              <w:rPr>
                <w:rFonts w:ascii="Arial" w:cs="Arial" w:eastAsia="Arial" w:hAnsi="Arial"/>
                <w:color w:val="3A1A1A"/>
                <w:sz w:val="20"/>
                <w:szCs w:val="20"/>
              </w:rPr>
              <w:t xml:space="preserve">Assenza certificazioni premium (ISO 13485, AS9100)</w:t>
            </w:r>
          </w:p>
          <w:p>
            <w:pPr>
              <w:pStyle w:val="ListParagraph"/>
              <w:numPr>
                <w:ilvl w:val="0"/>
                <w:numId w:val="2"/>
              </w:numPr>
              <w:spacing w:after="40" w:before="60"/>
            </w:pPr>
            <w:r>
              <w:rPr>
                <w:rFonts w:ascii="Arial" w:cs="Arial" w:eastAsia="Arial" w:hAnsi="Arial"/>
                <w:color w:val="3A1A1A"/>
                <w:sz w:val="20"/>
                <w:szCs w:val="20"/>
              </w:rPr>
              <w:t xml:space="preserve">Tasso scarto superiore al benchmark settoriale</w:t>
            </w:r>
          </w:p>
          <w:p>
            <w:pPr>
              <w:pStyle w:val="ListParagraph"/>
              <w:numPr>
                <w:ilvl w:val="0"/>
                <w:numId w:val="2"/>
              </w:numPr>
              <w:spacing w:after="40" w:before="60"/>
            </w:pPr>
            <w:r>
              <w:rPr>
                <w:rFonts w:ascii="Arial" w:cs="Arial" w:eastAsia="Arial" w:hAnsi="Arial"/>
                <w:color w:val="3A1A1A"/>
                <w:sz w:val="20"/>
                <w:szCs w:val="20"/>
              </w:rPr>
              <w:t xml:space="preserve">Dipendenza dal titolare per decisioni commerciali</w:t>
            </w:r>
          </w:p>
          <w:p>
            <w:pPr>
              <w:pStyle w:val="ListParagraph"/>
              <w:numPr>
                <w:ilvl w:val="0"/>
                <w:numId w:val="2"/>
              </w:numPr>
              <w:spacing w:after="40" w:before="60"/>
            </w:pPr>
            <w:r>
              <w:rPr>
                <w:rFonts w:ascii="Arial" w:cs="Arial" w:eastAsia="Arial" w:hAnsi="Arial"/>
                <w:color w:val="3A1A1A"/>
                <w:sz w:val="20"/>
                <w:szCs w:val="20"/>
              </w:rPr>
              <w:t xml:space="preserve">Nessun sistema di CRM o gestione opportunità</w:t>
            </w:r>
          </w:p>
          <w:p>
            <w:pPr>
              <w:pStyle w:val="ListParagraph"/>
              <w:numPr>
                <w:ilvl w:val="0"/>
                <w:numId w:val="2"/>
              </w:numPr>
              <w:spacing w:after="40" w:before="60"/>
            </w:pPr>
            <w:r>
              <w:rPr>
                <w:rFonts w:ascii="Arial" w:cs="Arial" w:eastAsia="Arial" w:hAnsi="Arial"/>
                <w:color w:val="3A1A1A"/>
                <w:sz w:val="20"/>
                <w:szCs w:val="20"/>
              </w:rPr>
              <w:t xml:space="preserve">Brand non strutturato — visibilità digitale quasi assente</w:t>
            </w:r>
          </w:p>
        </w:tc>
      </w:tr>
      <w:tr>
        <w:tc>
          <w:tcPr>
            <w:tcW w:type="dxa" w:w="4513"/>
            <w:tcBorders>
              <w:top w:val="single" w:color="CCCCCC" w:sz="4"/>
              <w:left w:val="single" w:color="CCCCCC" w:sz="4"/>
              <w:bottom w:val="single" w:color="CCCCCC" w:sz="4"/>
              <w:right w:val="single" w:color="CCCCCC" w:sz="4"/>
            </w:tcBorders>
            <w:shd w:fill="1E5C8B" w:color="auto" w:val="clear"/>
            <w:tcMar>
              <w:top w:type="dxa" w:w="80"/>
              <w:left w:type="dxa" w:w="160"/>
              <w:bottom w:type="dxa" w:w="80"/>
              <w:right w:type="dxa" w:w="160"/>
            </w:tcMar>
            <w:vAlign w:val="top"/>
          </w:tcPr>
          <w:p>
            <w:r>
              <w:rPr>
                <w:rFonts w:ascii="Arial" w:cs="Arial" w:eastAsia="Arial" w:hAnsi="Arial"/>
                <w:b/>
                <w:bCs/>
                <w:color w:val="FFFFFF"/>
                <w:sz w:val="22"/>
                <w:szCs w:val="22"/>
              </w:rPr>
              <w:t xml:space="preserve">◆  OPPORTUNITÀ</w:t>
            </w:r>
          </w:p>
        </w:tc>
        <w:tc>
          <w:tcPr>
            <w:tcW w:type="dxa" w:w="4513"/>
            <w:tcBorders>
              <w:top w:val="single" w:color="CCCCCC" w:sz="4"/>
              <w:left w:val="single" w:color="CCCCCC" w:sz="4"/>
              <w:bottom w:val="single" w:color="CCCCCC" w:sz="4"/>
              <w:right w:val="single" w:color="CCCCCC" w:sz="4"/>
            </w:tcBorders>
            <w:shd w:fill="7B6000" w:color="auto" w:val="clear"/>
            <w:tcMar>
              <w:top w:type="dxa" w:w="80"/>
              <w:left w:type="dxa" w:w="160"/>
              <w:bottom w:type="dxa" w:w="80"/>
              <w:right w:type="dxa" w:w="160"/>
            </w:tcMar>
            <w:vAlign w:val="top"/>
          </w:tcPr>
          <w:p>
            <w:r>
              <w:rPr>
                <w:rFonts w:ascii="Arial" w:cs="Arial" w:eastAsia="Arial" w:hAnsi="Arial"/>
                <w:b/>
                <w:bCs/>
                <w:color w:val="FFFFFF"/>
                <w:sz w:val="22"/>
                <w:szCs w:val="22"/>
              </w:rPr>
              <w:t xml:space="preserve">⚠  MINACCE</w:t>
            </w:r>
          </w:p>
        </w:tc>
      </w:tr>
      <w:tr>
        <w:tc>
          <w:tcPr>
            <w:tcW w:type="dxa" w:w="4513"/>
            <w:tcBorders>
              <w:top w:val="single" w:color="CCCCCC" w:sz="4"/>
              <w:left w:val="single" w:color="CCCCCC" w:sz="4"/>
              <w:bottom w:val="single" w:color="CCCCCC" w:sz="4"/>
              <w:right w:val="single" w:color="CCCCCC" w:sz="4"/>
            </w:tcBorders>
            <w:shd w:fill="E3F2FD" w:color="auto" w:val="clear"/>
            <w:tcMar>
              <w:top w:type="dxa" w:w="80"/>
              <w:left w:type="dxa" w:w="160"/>
              <w:bottom w:type="dxa" w:w="80"/>
              <w:right w:type="dxa" w:w="160"/>
            </w:tcMar>
            <w:vAlign w:val="top"/>
          </w:tcPr>
          <w:p>
            <w:pPr>
              <w:pStyle w:val="ListParagraph"/>
              <w:numPr>
                <w:ilvl w:val="0"/>
                <w:numId w:val="2"/>
              </w:numPr>
              <w:spacing w:after="40" w:before="60"/>
            </w:pPr>
            <w:r>
              <w:rPr>
                <w:rFonts w:ascii="Arial" w:cs="Arial" w:eastAsia="Arial" w:hAnsi="Arial"/>
                <w:color w:val="1A2A3A"/>
                <w:sz w:val="20"/>
                <w:szCs w:val="20"/>
              </w:rPr>
              <w:t xml:space="preserve">Crescita domanda settore medicale +14% CAGR</w:t>
            </w:r>
          </w:p>
          <w:p>
            <w:pPr>
              <w:pStyle w:val="ListParagraph"/>
              <w:numPr>
                <w:ilvl w:val="0"/>
                <w:numId w:val="2"/>
              </w:numPr>
              <w:spacing w:after="40" w:before="60"/>
            </w:pPr>
            <w:r>
              <w:rPr>
                <w:rFonts w:ascii="Arial" w:cs="Arial" w:eastAsia="Arial" w:hAnsi="Arial"/>
                <w:color w:val="1A2A3A"/>
                <w:sz w:val="20"/>
                <w:szCs w:val="20"/>
              </w:rPr>
              <w:t xml:space="preserve">Bandi PNRR per digitalizzazione PMI manifatturiere</w:t>
            </w:r>
          </w:p>
          <w:p>
            <w:pPr>
              <w:pStyle w:val="ListParagraph"/>
              <w:numPr>
                <w:ilvl w:val="0"/>
                <w:numId w:val="2"/>
              </w:numPr>
              <w:spacing w:after="40" w:before="60"/>
            </w:pPr>
            <w:r>
              <w:rPr>
                <w:rFonts w:ascii="Arial" w:cs="Arial" w:eastAsia="Arial" w:hAnsi="Arial"/>
                <w:color w:val="1A2A3A"/>
                <w:sz w:val="20"/>
                <w:szCs w:val="20"/>
              </w:rPr>
              <w:t xml:space="preserve">Reshoring supply chain automotive in Nord Italia</w:t>
            </w:r>
          </w:p>
          <w:p>
            <w:pPr>
              <w:pStyle w:val="ListParagraph"/>
              <w:numPr>
                <w:ilvl w:val="0"/>
                <w:numId w:val="2"/>
              </w:numPr>
              <w:spacing w:after="40" w:before="60"/>
            </w:pPr>
            <w:r>
              <w:rPr>
                <w:rFonts w:ascii="Arial" w:cs="Arial" w:eastAsia="Arial" w:hAnsi="Arial"/>
                <w:color w:val="1A2A3A"/>
                <w:sz w:val="20"/>
                <w:szCs w:val="20"/>
              </w:rPr>
              <w:t xml:space="preserve">Incentivi 4.0 per acquisto macchinari CNC avanzati</w:t>
            </w:r>
          </w:p>
        </w:tc>
        <w:tc>
          <w:tcPr>
            <w:tcW w:type="dxa" w:w="4513"/>
            <w:tcBorders>
              <w:top w:val="single" w:color="CCCCCC" w:sz="4"/>
              <w:left w:val="single" w:color="CCCCCC" w:sz="4"/>
              <w:bottom w:val="single" w:color="CCCCCC" w:sz="4"/>
              <w:right w:val="single" w:color="CCCCCC" w:sz="4"/>
            </w:tcBorders>
            <w:shd w:fill="FFFDE7" w:color="auto" w:val="clear"/>
            <w:tcMar>
              <w:top w:type="dxa" w:w="80"/>
              <w:left w:type="dxa" w:w="160"/>
              <w:bottom w:type="dxa" w:w="80"/>
              <w:right w:type="dxa" w:w="160"/>
            </w:tcMar>
            <w:vAlign w:val="top"/>
          </w:tcPr>
          <w:p>
            <w:pPr>
              <w:pStyle w:val="ListParagraph"/>
              <w:numPr>
                <w:ilvl w:val="0"/>
                <w:numId w:val="2"/>
              </w:numPr>
              <w:spacing w:after="40" w:before="60"/>
            </w:pPr>
            <w:r>
              <w:rPr>
                <w:rFonts w:ascii="Arial" w:cs="Arial" w:eastAsia="Arial" w:hAnsi="Arial"/>
                <w:color w:val="3A2A00"/>
                <w:sz w:val="20"/>
                <w:szCs w:val="20"/>
              </w:rPr>
              <w:t xml:space="preserve">Competizione low-cost da Est Europa in crescita</w:t>
            </w:r>
          </w:p>
          <w:p>
            <w:pPr>
              <w:pStyle w:val="ListParagraph"/>
              <w:numPr>
                <w:ilvl w:val="0"/>
                <w:numId w:val="2"/>
              </w:numPr>
              <w:spacing w:after="40" w:before="60"/>
            </w:pPr>
            <w:r>
              <w:rPr>
                <w:rFonts w:ascii="Arial" w:cs="Arial" w:eastAsia="Arial" w:hAnsi="Arial"/>
                <w:color w:val="3A2A00"/>
                <w:sz w:val="20"/>
                <w:szCs w:val="20"/>
              </w:rPr>
              <w:t xml:space="preserve">Pressione sui prezzi da clienti automotive</w:t>
            </w:r>
          </w:p>
          <w:p>
            <w:pPr>
              <w:pStyle w:val="ListParagraph"/>
              <w:numPr>
                <w:ilvl w:val="0"/>
                <w:numId w:val="2"/>
              </w:numPr>
              <w:spacing w:after="40" w:before="60"/>
            </w:pPr>
            <w:r>
              <w:rPr>
                <w:rFonts w:ascii="Arial" w:cs="Arial" w:eastAsia="Arial" w:hAnsi="Arial"/>
                <w:color w:val="3A2A00"/>
                <w:sz w:val="20"/>
                <w:szCs w:val="20"/>
              </w:rPr>
              <w:t xml:space="preserve">Carenza manodopera specializzata CNC in Bergamo</w:t>
            </w:r>
          </w:p>
          <w:p>
            <w:pPr>
              <w:pStyle w:val="ListParagraph"/>
              <w:numPr>
                <w:ilvl w:val="0"/>
                <w:numId w:val="2"/>
              </w:numPr>
              <w:spacing w:after="40" w:before="60"/>
            </w:pPr>
            <w:r>
              <w:rPr>
                <w:rFonts w:ascii="Arial" w:cs="Arial" w:eastAsia="Arial" w:hAnsi="Arial"/>
                <w:color w:val="3A2A00"/>
                <w:sz w:val="20"/>
                <w:szCs w:val="20"/>
              </w:rPr>
              <w:t xml:space="preserve">Aumento costi energia e materie prime (+12% 2024)</w:t>
            </w:r>
          </w:p>
        </w:tc>
      </w:tr>
    </w:tbl>
    <w:p>
      <w:r>
        <w:br w:type="page"/>
      </w:r>
    </w:p>
    <w:p>
      <w:pPr>
        <w:spacing w:after="120" w:before="280"/>
      </w:pPr>
      <w:r>
        <w:rPr>
          <w:rFonts w:ascii="Arial" w:cs="Arial" w:eastAsia="Arial" w:hAnsi="Arial"/>
          <w:b/>
          <w:bCs/>
          <w:color w:val="8B1A1A"/>
          <w:sz w:val="28"/>
          <w:szCs w:val="28"/>
        </w:rPr>
        <w:t xml:space="preserve">4 · Diagnosi Strategica</w:t>
      </w:r>
    </w:p>
    <w:p>
      <w:pPr>
        <w:spacing w:after="100" w:before="240"/>
      </w:pPr>
      <w:r>
        <w:rPr>
          <w:rFonts w:ascii="Arial" w:cs="Arial" w:eastAsia="Arial" w:hAnsi="Arial"/>
          <w:b/>
          <w:bCs/>
          <w:color w:val="8B1A1A"/>
          <w:sz w:val="24"/>
          <w:szCs w:val="24"/>
        </w:rPr>
        <w:t xml:space="preserve">4.1 Le Tre Sfide Strategiche Centrali</w:t>
      </w:r>
    </w:p>
    <w:p>
      <w:pPr>
        <w:spacing w:after="80" w:before="80"/>
      </w:pPr>
      <w:r>
        <w:rPr>
          <w:rFonts w:ascii="Arial" w:cs="Arial" w:eastAsia="Arial" w:hAnsi="Arial"/>
          <w:b w:val="false"/>
          <w:bCs w:val="false"/>
          <w:i w:val="false"/>
          <w:iCs w:val="false"/>
          <w:color w:val="333333"/>
          <w:sz w:val="20"/>
          <w:szCs w:val="20"/>
        </w:rPr>
        <w:t xml:space="preserve">Dall'analisi emergono tre sfide interdipendenti che definiscono il "nodo strategico" di Artigiana Italiana:</w:t>
      </w:r>
    </w:p>
    <w:p>
      <w:pPr>
        <w:spacing w:after="0" w:before="80"/>
      </w:pPr>
    </w:p>
    <w:p>
      <w:pPr>
        <w:spacing w:after="80" w:before="200"/>
      </w:pPr>
      <w:r>
        <w:rPr>
          <w:rFonts w:ascii="Arial" w:cs="Arial" w:eastAsia="Arial" w:hAnsi="Arial"/>
          <w:b/>
          <w:bCs/>
          <w:color w:val="444444"/>
          <w:sz w:val="22"/>
          <w:szCs w:val="22"/>
        </w:rPr>
        <w:t xml:space="preserve">Sfida 1 — Il Problema della Mediocrità Competitiva</w:t>
      </w:r>
    </w:p>
    <w:p>
      <w:pPr>
        <w:spacing w:after="80" w:before="80"/>
      </w:pPr>
      <w:r>
        <w:rPr>
          <w:rFonts w:ascii="Arial" w:cs="Arial" w:eastAsia="Arial" w:hAnsi="Arial"/>
          <w:b w:val="false"/>
          <w:bCs w:val="false"/>
          <w:i w:val="false"/>
          <w:iCs w:val="false"/>
          <w:color w:val="333333"/>
          <w:sz w:val="20"/>
          <w:szCs w:val="20"/>
        </w:rPr>
        <w:t xml:space="preserve">L'azienda è "troppo buona per il low cost, non abbastanza specializzata per il premium". Questo posizionamento di mezzo è il più pericoloso in mercati maturi: non consente né economie di scala (necessarie per competere sul prezzo) né premium pricing (necessario per competere sulla qualità). La finestra di opportunità per spostarsi verso il premium si chiuderà nel 2027–2028 quando i concorrenti locali completeranno i propri percorsi di upgrade qualitativo.</w:t>
      </w:r>
    </w:p>
    <w:p>
      <w:pPr>
        <w:spacing w:after="0" w:before="80"/>
      </w:pPr>
    </w:p>
    <w:p>
      <w:pPr>
        <w:spacing w:after="80" w:before="200"/>
      </w:pPr>
      <w:r>
        <w:rPr>
          <w:rFonts w:ascii="Arial" w:cs="Arial" w:eastAsia="Arial" w:hAnsi="Arial"/>
          <w:b/>
          <w:bCs/>
          <w:color w:val="444444"/>
          <w:sz w:val="22"/>
          <w:szCs w:val="22"/>
        </w:rPr>
        <w:t xml:space="preserve">Sfida 2 — La Dipendenza dalla Persona del Titolare</w:t>
      </w:r>
    </w:p>
    <w:p>
      <w:pPr>
        <w:spacing w:after="80" w:before="80"/>
      </w:pPr>
      <w:r>
        <w:rPr>
          <w:rFonts w:ascii="Arial" w:cs="Arial" w:eastAsia="Arial" w:hAnsi="Arial"/>
          <w:b w:val="false"/>
          <w:bCs w:val="false"/>
          <w:i w:val="false"/>
          <w:iCs w:val="false"/>
          <w:color w:val="333333"/>
          <w:sz w:val="20"/>
          <w:szCs w:val="20"/>
        </w:rPr>
        <w:t xml:space="preserve">Marco Ferretti gestisce personalmente circa il 70% delle relazioni commerciali e prende tutte le decisioni operative rilevanti. Questo è un limite alla scalabilità, un rischio aziendale (key-person risk) e un freno alla crescita commerciale. Costruire un'organizzazione che funzioni sistematicamente, indipendentemente dalla presenza del titolare, è una priorità non differibile per qualunque scenario di crescita.</w:t>
      </w:r>
    </w:p>
    <w:p>
      <w:pPr>
        <w:spacing w:after="0" w:before="80"/>
      </w:pPr>
    </w:p>
    <w:p>
      <w:pPr>
        <w:spacing w:after="80" w:before="200"/>
      </w:pPr>
      <w:r>
        <w:rPr>
          <w:rFonts w:ascii="Arial" w:cs="Arial" w:eastAsia="Arial" w:hAnsi="Arial"/>
          <w:b/>
          <w:bCs/>
          <w:color w:val="444444"/>
          <w:sz w:val="22"/>
          <w:szCs w:val="22"/>
        </w:rPr>
        <w:t xml:space="preserve">Sfida 3 — L'Inefficienza Produttiva Come Freno alla Competitività</w:t>
      </w:r>
    </w:p>
    <w:p>
      <w:pPr>
        <w:spacing w:after="80" w:before="80"/>
      </w:pPr>
      <w:r>
        <w:rPr>
          <w:rFonts w:ascii="Arial" w:cs="Arial" w:eastAsia="Arial" w:hAnsi="Arial"/>
          <w:b w:val="false"/>
          <w:bCs w:val="false"/>
          <w:i w:val="false"/>
          <w:iCs w:val="false"/>
          <w:color w:val="333333"/>
          <w:sz w:val="20"/>
          <w:szCs w:val="20"/>
        </w:rPr>
        <w:t xml:space="preserve">Le inefficienze operative identificate (scarti al 3,8%, utilizzo impianti al 67%, lead time 18 giorni) non sono solo un problema di costo: sono un segnale di un sistema di gestione della produzione non ancora al livello di maturità richiesto dal segmento premium. Prima di investire in certificazioni e nuovi mercati, è necessario consolidare i fondamentali operativi.</w:t>
      </w:r>
    </w:p>
    <w:p>
      <w:r>
        <w:br w:type="page"/>
      </w:r>
    </w:p>
    <w:p>
      <w:pPr>
        <w:spacing w:after="120" w:before="280"/>
      </w:pPr>
      <w:r>
        <w:rPr>
          <w:rFonts w:ascii="Arial" w:cs="Arial" w:eastAsia="Arial" w:hAnsi="Arial"/>
          <w:b/>
          <w:bCs/>
          <w:color w:val="8B1A1A"/>
          <w:sz w:val="28"/>
          <w:szCs w:val="28"/>
        </w:rPr>
        <w:t xml:space="preserve">5 · Scenari di Sviluppo 2026–2028</w:t>
      </w:r>
    </w:p>
    <w:p>
      <w:pPr>
        <w:spacing w:after="80" w:before="80"/>
      </w:pPr>
      <w:r>
        <w:rPr>
          <w:rFonts w:ascii="Arial" w:cs="Arial" w:eastAsia="Arial" w:hAnsi="Arial"/>
          <w:b w:val="false"/>
          <w:bCs w:val="false"/>
          <w:i w:val="false"/>
          <w:iCs w:val="false"/>
          <w:color w:val="333333"/>
          <w:sz w:val="20"/>
          <w:szCs w:val="20"/>
        </w:rPr>
        <w:t xml:space="preserve">Sono stati valutati tre scenari strategici credibili per il triennio, ciascuno coerente con risorse e competenze aziendali attuali:</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8"/>
        <w:gridCol w:w="2408"/>
        <w:gridCol w:w="2410"/>
      </w:tblGrid>
      <w:tr>
        <w:tc>
          <w:tcPr>
            <w:tcW w:type="dxa" w:w="1800"/>
            <w:tcBorders>
              <w:top w:val="single" w:color="CCCCCC" w:sz="4"/>
              <w:left w:val="single" w:color="CCCCCC" w:sz="4"/>
              <w:bottom w:val="single" w:color="CCCCCC" w:sz="4"/>
              <w:right w:val="single" w:color="CCCCCC" w:sz="4"/>
            </w:tcBorders>
            <w:shd w:fill="8B1A1A" w:color="auto" w:val="clear"/>
            <w:tcMar>
              <w:top w:type="dxa" w:w="80"/>
              <w:left w:type="dxa" w:w="160"/>
              <w:bottom w:type="dxa" w:w="80"/>
              <w:right w:type="dxa" w:w="160"/>
            </w:tcMar>
            <w:vAlign w:val="top"/>
          </w:tcPr>
          <w:p>
            <w:r>
              <w:rPr>
                <w:rFonts w:ascii="Arial" w:cs="Arial" w:eastAsia="Arial" w:hAnsi="Arial"/>
                <w:b/>
                <w:bCs/>
                <w:sz w:val="20"/>
                <w:szCs w:val="20"/>
              </w:rPr>
              <w:t xml:space="preserve">Dimensione</w:t>
            </w:r>
          </w:p>
        </w:tc>
        <w:tc>
          <w:tcPr>
            <w:tcW w:type="dxa" w:w="2408"/>
            <w:tcBorders>
              <w:top w:val="single" w:color="CCCCCC" w:sz="4"/>
              <w:left w:val="single" w:color="CCCCCC" w:sz="4"/>
              <w:bottom w:val="single" w:color="CCCCCC" w:sz="4"/>
              <w:right w:val="single" w:color="CCCCCC" w:sz="4"/>
            </w:tcBorders>
            <w:shd w:fill="1A6B3C" w:color="auto" w:val="clear"/>
            <w:tcMar>
              <w:top w:type="dxa" w:w="80"/>
              <w:left w:type="dxa" w:w="160"/>
              <w:bottom w:type="dxa" w:w="80"/>
              <w:right w:type="dxa" w:w="160"/>
            </w:tcMar>
            <w:vAlign w:val="top"/>
          </w:tcPr>
          <w:p>
            <w:r>
              <w:rPr>
                <w:rFonts w:ascii="Arial" w:cs="Arial" w:eastAsia="Arial" w:hAnsi="Arial"/>
                <w:b/>
                <w:bCs/>
                <w:sz w:val="20"/>
                <w:szCs w:val="20"/>
              </w:rPr>
              <w:t xml:space="preserve">Scenario A — Consolidamento</w:t>
            </w:r>
          </w:p>
        </w:tc>
        <w:tc>
          <w:tcPr>
            <w:tcW w:type="dxa" w:w="2408"/>
            <w:tcBorders>
              <w:top w:val="single" w:color="CCCCCC" w:sz="4"/>
              <w:left w:val="single" w:color="CCCCCC" w:sz="4"/>
              <w:bottom w:val="single" w:color="CCCCCC" w:sz="4"/>
              <w:right w:val="single" w:color="CCCCCC" w:sz="4"/>
            </w:tcBorders>
            <w:shd w:fill="2C5F8A" w:color="auto" w:val="clear"/>
            <w:tcMar>
              <w:top w:type="dxa" w:w="80"/>
              <w:left w:type="dxa" w:w="160"/>
              <w:bottom w:type="dxa" w:w="80"/>
              <w:right w:type="dxa" w:w="160"/>
            </w:tcMar>
            <w:vAlign w:val="top"/>
          </w:tcPr>
          <w:p>
            <w:r>
              <w:rPr>
                <w:rFonts w:ascii="Arial" w:cs="Arial" w:eastAsia="Arial" w:hAnsi="Arial"/>
                <w:b/>
                <w:bCs/>
                <w:sz w:val="20"/>
                <w:szCs w:val="20"/>
              </w:rPr>
              <w:t xml:space="preserve">Scenario B — Specializzazione Premium ★</w:t>
            </w:r>
          </w:p>
        </w:tc>
        <w:tc>
          <w:tcPr>
            <w:tcW w:type="dxa" w:w="2410"/>
            <w:tcBorders>
              <w:top w:val="single" w:color="CCCCCC" w:sz="4"/>
              <w:left w:val="single" w:color="CCCCCC" w:sz="4"/>
              <w:bottom w:val="single" w:color="CCCCCC" w:sz="4"/>
              <w:right w:val="single" w:color="CCCCCC" w:sz="4"/>
            </w:tcBorders>
            <w:shd w:fill="8B1A1A" w:color="auto" w:val="clear"/>
            <w:tcMar>
              <w:top w:type="dxa" w:w="80"/>
              <w:left w:type="dxa" w:w="160"/>
              <w:bottom w:type="dxa" w:w="80"/>
              <w:right w:type="dxa" w:w="160"/>
            </w:tcMar>
            <w:vAlign w:val="top"/>
          </w:tcPr>
          <w:p>
            <w:r>
              <w:rPr>
                <w:rFonts w:ascii="Arial" w:cs="Arial" w:eastAsia="Arial" w:hAnsi="Arial"/>
                <w:b/>
                <w:bCs/>
                <w:sz w:val="20"/>
                <w:szCs w:val="20"/>
              </w:rPr>
              <w:t xml:space="preserve">Scenario C — Diversificazione</w:t>
            </w:r>
          </w:p>
        </w:tc>
      </w:tr>
      <w:tr>
        <w:tc>
          <w:tcPr>
            <w:tcW w:type="dxa" w:w="18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Descrizione</w:t>
            </w:r>
          </w:p>
        </w:tc>
        <w:tc>
          <w:tcPr>
            <w:tcW w:type="dxa" w:w="2408"/>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Ottimizzare l'esistente senza cambiare mercato</w:t>
            </w:r>
          </w:p>
        </w:tc>
        <w:tc>
          <w:tcPr>
            <w:tcW w:type="dxa" w:w="2408"/>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Riduzione low-margin, focus su nicchie premium certificate</w:t>
            </w:r>
          </w:p>
        </w:tc>
        <w:tc>
          <w:tcPr>
            <w:tcW w:type="dxa" w:w="241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Aggiunta linea prodotto propria (prodotto finito a marchio)</w:t>
            </w:r>
          </w:p>
        </w:tc>
      </w:tr>
      <w:tr>
        <w:tc>
          <w:tcPr>
            <w:tcW w:type="dxa" w:w="180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Fatturato 2028</w:t>
            </w:r>
          </w:p>
        </w:tc>
        <w:tc>
          <w:tcPr>
            <w:tcW w:type="dxa" w:w="2408"/>
            <w:tcBorders>
              <w:top w:val="single" w:color="CCCCCC" w:sz="4"/>
              <w:left w:val="single" w:color="CCCCCC" w:sz="4"/>
              <w:bottom w:val="single" w:color="CCCCCC" w:sz="4"/>
              <w:right w:val="single" w:color="CCCCCC" w:sz="4"/>
            </w:tcBorders>
            <w:shd w:fill="F0FFF4"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€2.750.000</w:t>
            </w:r>
          </w:p>
        </w:tc>
        <w:tc>
          <w:tcPr>
            <w:tcW w:type="dxa" w:w="2408"/>
            <w:tcBorders>
              <w:top w:val="single" w:color="CCCCCC" w:sz="4"/>
              <w:left w:val="single" w:color="CCCCCC" w:sz="4"/>
              <w:bottom w:val="single" w:color="CCCCCC" w:sz="4"/>
              <w:right w:val="single" w:color="CCCCCC" w:sz="4"/>
            </w:tcBorders>
            <w:shd w:fill="E8F4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€3.100.000</w:t>
            </w:r>
          </w:p>
        </w:tc>
        <w:tc>
          <w:tcPr>
            <w:tcW w:type="dxa" w:w="2410"/>
            <w:tcBorders>
              <w:top w:val="single" w:color="CCCCCC" w:sz="4"/>
              <w:left w:val="single" w:color="CCCCCC" w:sz="4"/>
              <w:bottom w:val="single" w:color="CCCCCC" w:sz="4"/>
              <w:right w:val="single" w:color="CCCCCC" w:sz="4"/>
            </w:tcBorders>
            <w:shd w:fill="FFF4F4"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€3.400.000</w:t>
            </w:r>
          </w:p>
        </w:tc>
      </w:tr>
      <w:tr>
        <w:tc>
          <w:tcPr>
            <w:tcW w:type="dxa" w:w="18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EBITDA 2028</w:t>
            </w:r>
          </w:p>
        </w:tc>
        <w:tc>
          <w:tcPr>
            <w:tcW w:type="dxa" w:w="2408"/>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14,8%</w:t>
            </w:r>
          </w:p>
        </w:tc>
        <w:tc>
          <w:tcPr>
            <w:tcW w:type="dxa" w:w="2408"/>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18,5%</w:t>
            </w:r>
          </w:p>
        </w:tc>
        <w:tc>
          <w:tcPr>
            <w:tcW w:type="dxa" w:w="241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16,2%</w:t>
            </w:r>
          </w:p>
        </w:tc>
      </w:tr>
      <w:tr>
        <w:tc>
          <w:tcPr>
            <w:tcW w:type="dxa" w:w="180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Investimento richiesto</w:t>
            </w:r>
          </w:p>
        </w:tc>
        <w:tc>
          <w:tcPr>
            <w:tcW w:type="dxa" w:w="2408"/>
            <w:tcBorders>
              <w:top w:val="single" w:color="CCCCCC" w:sz="4"/>
              <w:left w:val="single" w:color="CCCCCC" w:sz="4"/>
              <w:bottom w:val="single" w:color="CCCCCC" w:sz="4"/>
              <w:right w:val="single" w:color="CCCCCC" w:sz="4"/>
            </w:tcBorders>
            <w:shd w:fill="F0FFF4"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€55.000</w:t>
            </w:r>
          </w:p>
        </w:tc>
        <w:tc>
          <w:tcPr>
            <w:tcW w:type="dxa" w:w="2408"/>
            <w:tcBorders>
              <w:top w:val="single" w:color="CCCCCC" w:sz="4"/>
              <w:left w:val="single" w:color="CCCCCC" w:sz="4"/>
              <w:bottom w:val="single" w:color="CCCCCC" w:sz="4"/>
              <w:right w:val="single" w:color="CCCCCC" w:sz="4"/>
            </w:tcBorders>
            <w:shd w:fill="E8F4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€185.000</w:t>
            </w:r>
          </w:p>
        </w:tc>
        <w:tc>
          <w:tcPr>
            <w:tcW w:type="dxa" w:w="2410"/>
            <w:tcBorders>
              <w:top w:val="single" w:color="CCCCCC" w:sz="4"/>
              <w:left w:val="single" w:color="CCCCCC" w:sz="4"/>
              <w:bottom w:val="single" w:color="CCCCCC" w:sz="4"/>
              <w:right w:val="single" w:color="CCCCCC" w:sz="4"/>
            </w:tcBorders>
            <w:shd w:fill="FFF4F4"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€320.000</w:t>
            </w:r>
          </w:p>
        </w:tc>
      </w:tr>
      <w:tr>
        <w:tc>
          <w:tcPr>
            <w:tcW w:type="dxa" w:w="18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Rischio</w:t>
            </w:r>
          </w:p>
        </w:tc>
        <w:tc>
          <w:tcPr>
            <w:tcW w:type="dxa" w:w="2408"/>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Basso</w:t>
            </w:r>
          </w:p>
        </w:tc>
        <w:tc>
          <w:tcPr>
            <w:tcW w:type="dxa" w:w="2408"/>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Medio</w:t>
            </w:r>
          </w:p>
        </w:tc>
        <w:tc>
          <w:tcPr>
            <w:tcW w:type="dxa" w:w="241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Alto</w:t>
            </w:r>
          </w:p>
        </w:tc>
      </w:tr>
      <w:tr>
        <w:tc>
          <w:tcPr>
            <w:tcW w:type="dxa" w:w="180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Raccomandazione</w:t>
            </w:r>
          </w:p>
        </w:tc>
        <w:tc>
          <w:tcPr>
            <w:tcW w:type="dxa" w:w="2408"/>
            <w:tcBorders>
              <w:top w:val="single" w:color="CCCCCC" w:sz="4"/>
              <w:left w:val="single" w:color="CCCCCC" w:sz="4"/>
              <w:bottom w:val="single" w:color="CCCCCC" w:sz="4"/>
              <w:right w:val="single" w:color="CCCCCC" w:sz="4"/>
            </w:tcBorders>
            <w:shd w:fill="FFF9F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Solo se risorse insufficienti</w:t>
            </w:r>
          </w:p>
        </w:tc>
        <w:tc>
          <w:tcPr>
            <w:tcW w:type="dxa" w:w="2408"/>
            <w:tcBorders>
              <w:top w:val="single" w:color="CCCCCC" w:sz="4"/>
              <w:left w:val="single" w:color="CCCCCC" w:sz="4"/>
              <w:bottom w:val="single" w:color="CCCCCC" w:sz="4"/>
              <w:right w:val="single" w:color="CCCCCC" w:sz="4"/>
            </w:tcBorders>
            <w:shd w:fill="E8F4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RACCOMANDATO — profilo rischio/ritorno ottimale</w:t>
            </w:r>
          </w:p>
        </w:tc>
        <w:tc>
          <w:tcPr>
            <w:tcW w:type="dxa" w:w="2410"/>
            <w:tcBorders>
              <w:top w:val="single" w:color="CCCCCC" w:sz="4"/>
              <w:left w:val="single" w:color="CCCCCC" w:sz="4"/>
              <w:bottom w:val="single" w:color="CCCCCC" w:sz="4"/>
              <w:right w:val="single" w:color="CCCCCC" w:sz="4"/>
            </w:tcBorders>
            <w:shd w:fill="FFF4F4"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Rivalutare nel 2028 dopo Scenario B</w:t>
            </w:r>
          </w:p>
        </w:tc>
      </w:tr>
    </w:tbl>
    <w:p>
      <w:r>
        <w:br w:type="page"/>
      </w:r>
    </w:p>
    <w:p>
      <w:pPr>
        <w:spacing w:after="120" w:before="280"/>
      </w:pPr>
      <w:r>
        <w:rPr>
          <w:rFonts w:ascii="Arial" w:cs="Arial" w:eastAsia="Arial" w:hAnsi="Arial"/>
          <w:b/>
          <w:bCs/>
          <w:color w:val="8B1A1A"/>
          <w:sz w:val="28"/>
          <w:szCs w:val="28"/>
        </w:rPr>
        <w:t xml:space="preserve">6 · TO-BE Vision — Artigiana Italiana 2028</w:t>
      </w:r>
    </w:p>
    <w:p>
      <w:pPr>
        <w:spacing w:after="80" w:before="80"/>
      </w:pPr>
      <w:r>
        <w:rPr>
          <w:rFonts w:ascii="Arial" w:cs="Arial" w:eastAsia="Arial" w:hAnsi="Arial"/>
          <w:b w:val="false"/>
          <w:bCs w:val="false"/>
          <w:i w:val="false"/>
          <w:iCs w:val="false"/>
          <w:color w:val="333333"/>
          <w:sz w:val="20"/>
          <w:szCs w:val="20"/>
        </w:rPr>
        <w:t xml:space="preserve">Attraverso l'implementazione dello Scenario B (Specializzazione Premium), Artigiana Italiana S.r.l. nel 2028 si presenterà come: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8E1" w:color="auto" w:val="clear"/>
            <w:tcMar>
              <w:top w:type="dxa" w:w="80"/>
              <w:left w:type="dxa" w:w="160"/>
              <w:bottom w:type="dxa" w:w="80"/>
              <w:right w:type="dxa" w:w="160"/>
            </w:tcMar>
            <w:vAlign w:val="top"/>
          </w:tcPr>
          <w:p>
            <w:r>
              <w:rPr>
                <w:rFonts w:ascii="Arial" w:cs="Arial" w:eastAsia="Arial" w:hAnsi="Arial"/>
                <w:i/>
                <w:iCs/>
                <w:color w:val="333333"/>
                <w:sz w:val="20"/>
                <w:szCs w:val="20"/>
              </w:rPr>
              <w:t xml:space="preserve">"Il partner di riferimento per lavorazioni metalmeccaniche ad alta precisione per i settori medicale, automazione industriale e automotive elettrico in Lombardia orientale — certificato ISO 13485, capacità di produzione da prototipo a piccola serie, lead time &lt; 10 giorni garantito contrattualmente."</w:t>
            </w:r>
          </w:p>
        </w:tc>
      </w:tr>
    </w:tbl>
    <w:p>
      <w:pPr>
        <w:spacing w:after="0" w:before="120"/>
      </w:pPr>
    </w:p>
    <w:p>
      <w:pPr>
        <w:spacing w:after="100" w:before="240"/>
      </w:pPr>
      <w:r>
        <w:rPr>
          <w:rFonts w:ascii="Arial" w:cs="Arial" w:eastAsia="Arial" w:hAnsi="Arial"/>
          <w:b/>
          <w:bCs/>
          <w:color w:val="8B1A1A"/>
          <w:sz w:val="24"/>
          <w:szCs w:val="24"/>
        </w:rPr>
        <w:t xml:space="preserve">Cambiamenti Organizzativi Chiave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Struttura organizzativa</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Da "tutto dipende dal titolare" a struttura con 3 ruoli definiti: Capo Produzione autonomo, Referente Qualità dedicato, Account Manager commerciale</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Certificazioni</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ISO 9001 (già avviata) → completamento entro Q4 2026 · ISO 13485 (medicale) → target Q2 2027</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Parco macchine</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Aggiunta centro di lavoro a 5 assi CNC (€110.000) — abilita lavorazioni impossibili oggi</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Sistema gestionale</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Implementazione MES (Manufacturing Execution System) semplificato per tracciabilità + OEE real-time</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Presenza di mercato</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Sito web rinnovato + LinkedIn aziendale + partecipazione a 2 fiere settoriali/anno (EMO, BI-MU)</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Clientela target 2028</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40% automazione industriale · 30% medicale (nuovo) · 20% automotive · 10% altro</w:t>
            </w:r>
          </w:p>
        </w:tc>
      </w:tr>
    </w:tbl>
    <w:p>
      <w:r>
        <w:br w:type="page"/>
      </w:r>
    </w:p>
    <w:p>
      <w:pPr>
        <w:spacing w:after="120" w:before="280"/>
      </w:pPr>
      <w:r>
        <w:rPr>
          <w:rFonts w:ascii="Arial" w:cs="Arial" w:eastAsia="Arial" w:hAnsi="Arial"/>
          <w:b/>
          <w:bCs/>
          <w:color w:val="8B1A1A"/>
          <w:sz w:val="28"/>
          <w:szCs w:val="28"/>
        </w:rPr>
        <w:t xml:space="preserve">7 · Piano d'Azione — 90 Giorni + Roadmap 36 Mesi</w:t>
      </w:r>
    </w:p>
    <w:p>
      <w:pPr>
        <w:spacing w:after="100" w:before="240"/>
      </w:pPr>
      <w:r>
        <w:rPr>
          <w:rFonts w:ascii="Arial" w:cs="Arial" w:eastAsia="Arial" w:hAnsi="Arial"/>
          <w:b/>
          <w:bCs/>
          <w:color w:val="8B1A1A"/>
          <w:sz w:val="24"/>
          <w:szCs w:val="24"/>
        </w:rPr>
        <w:t xml:space="preserve">Azioni Prioritarie Q2 2026 (Prossimi 90 Giorni)</w:t>
      </w:r>
    </w:p>
    <w:p>
      <w:pPr>
        <w:pStyle w:val="ListParagraph"/>
        <w:numPr>
          <w:ilvl w:val="0"/>
          <w:numId w:val="3"/>
        </w:numPr>
        <w:spacing w:after="60" w:before="60"/>
      </w:pPr>
      <w:r>
        <w:rPr>
          <w:rFonts w:ascii="Arial" w:cs="Arial" w:eastAsia="Arial" w:hAnsi="Arial"/>
          <w:color w:val="333333"/>
          <w:sz w:val="20"/>
          <w:szCs w:val="20"/>
        </w:rPr>
        <w:t xml:space="preserve">Avviare formalizzazione ISO 9001: contattare ente di certificazione, nominare Responsabile Qualità interno, avviare redazione manuale qualità. Budget: €3.500. Responsabile: M. Ferretti + consulente qualità esterno.</w:t>
      </w:r>
    </w:p>
    <w:p>
      <w:pPr>
        <w:pStyle w:val="ListParagraph"/>
        <w:numPr>
          <w:ilvl w:val="0"/>
          <w:numId w:val="3"/>
        </w:numPr>
        <w:spacing w:after="60" w:before="60"/>
      </w:pPr>
      <w:r>
        <w:rPr>
          <w:rFonts w:ascii="Arial" w:cs="Arial" w:eastAsia="Arial" w:hAnsi="Arial"/>
          <w:color w:val="333333"/>
          <w:sz w:val="20"/>
          <w:szCs w:val="20"/>
        </w:rPr>
        <w:t xml:space="preserve">Implementare SOP per i 6 setup macchina principali e condurre 2 sessioni formazione 5S. Budget: €4.500. Responsabile: Capo Reparto Produzione. KPI: tasso scarto -1,5% entro 60 gg.</w:t>
      </w:r>
    </w:p>
    <w:p>
      <w:pPr>
        <w:pStyle w:val="ListParagraph"/>
        <w:numPr>
          <w:ilvl w:val="0"/>
          <w:numId w:val="3"/>
        </w:numPr>
        <w:spacing w:after="60" w:before="60"/>
      </w:pPr>
      <w:r>
        <w:rPr>
          <w:rFonts w:ascii="Arial" w:cs="Arial" w:eastAsia="Arial" w:hAnsi="Arial"/>
          <w:color w:val="333333"/>
          <w:sz w:val="20"/>
          <w:szCs w:val="20"/>
        </w:rPr>
        <w:t xml:space="preserve">Installare piano di manutenzione preventiva (software Limble CMMS). Budget: €2.700 (setup + 6 mesi). KPI: fermi non pianificati -30% entro 90 gg.</w:t>
      </w:r>
    </w:p>
    <w:p>
      <w:pPr>
        <w:pStyle w:val="ListParagraph"/>
        <w:numPr>
          <w:ilvl w:val="0"/>
          <w:numId w:val="3"/>
        </w:numPr>
        <w:spacing w:after="60" w:before="60"/>
      </w:pPr>
      <w:r>
        <w:rPr>
          <w:rFonts w:ascii="Arial" w:cs="Arial" w:eastAsia="Arial" w:hAnsi="Arial"/>
          <w:color w:val="333333"/>
          <w:sz w:val="20"/>
          <w:szCs w:val="20"/>
        </w:rPr>
        <w:t xml:space="preserve">Avviare ricerca e selezione Account Manager commerciale (part-time o freelance nella fase iniziale). Budget: €800/mese. Target: assunzione entro Q3 2026.</w:t>
      </w:r>
    </w:p>
    <w:p>
      <w:pPr>
        <w:pStyle w:val="ListParagraph"/>
        <w:numPr>
          <w:ilvl w:val="0"/>
          <w:numId w:val="3"/>
        </w:numPr>
        <w:spacing w:after="60" w:before="60"/>
      </w:pPr>
      <w:r>
        <w:rPr>
          <w:rFonts w:ascii="Arial" w:cs="Arial" w:eastAsia="Arial" w:hAnsi="Arial"/>
          <w:color w:val="333333"/>
          <w:sz w:val="20"/>
          <w:szCs w:val="20"/>
        </w:rPr>
        <w:t xml:space="preserve">Richiedere preventivi per centro di lavoro a 5 assi CNC — 3 fornitori, valutazione Transizione 4.0 per agevolazione fiscale. Budget: 0 (attività commerciale). Decisione: Q3 2026.</w:t>
      </w:r>
    </w:p>
    <w:p>
      <w:pPr>
        <w:pStyle w:val="ListParagraph"/>
        <w:numPr>
          <w:ilvl w:val="0"/>
          <w:numId w:val="3"/>
        </w:numPr>
        <w:spacing w:after="60" w:before="60"/>
      </w:pPr>
      <w:r>
        <w:rPr>
          <w:rFonts w:ascii="Arial" w:cs="Arial" w:eastAsia="Arial" w:hAnsi="Arial"/>
          <w:color w:val="333333"/>
          <w:sz w:val="20"/>
          <w:szCs w:val="20"/>
        </w:rPr>
        <w:t xml:space="preserve">Aggiornare sito web aziendale con portfolio lavori, settori serviti, certificazioni. Budget: €2.200. Target: online entro giugno 2026.</w:t>
      </w:r>
    </w:p>
    <w:p>
      <w:pPr>
        <w:spacing w:after="0" w:before="120"/>
      </w:pPr>
    </w:p>
    <w:p>
      <w:pPr>
        <w:spacing w:after="100" w:before="240"/>
      </w:pPr>
      <w:r>
        <w:rPr>
          <w:rFonts w:ascii="Arial" w:cs="Arial" w:eastAsia="Arial" w:hAnsi="Arial"/>
          <w:b/>
          <w:bCs/>
          <w:color w:val="8B1A1A"/>
          <w:sz w:val="24"/>
          <w:szCs w:val="24"/>
        </w:rPr>
        <w:t xml:space="preserve">Roadmap 36 Mesi — Milestones Chiave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826"/>
        <w:gridCol w:w="2000"/>
      </w:tblGrid>
      <w:tr>
        <w:tc>
          <w:tcPr>
            <w:tcW w:type="dxa" w:w="1200"/>
            <w:tcBorders>
              <w:top w:val="single" w:color="CCCCCC" w:sz="4"/>
              <w:left w:val="single" w:color="CCCCCC" w:sz="4"/>
              <w:bottom w:val="single" w:color="CCCCCC" w:sz="4"/>
              <w:right w:val="single" w:color="CCCCCC" w:sz="4"/>
            </w:tcBorders>
            <w:shd w:fill="8B1A1A" w:color="auto" w:val="clear"/>
            <w:tcMar>
              <w:top w:type="dxa" w:w="80"/>
              <w:left w:type="dxa" w:w="160"/>
              <w:bottom w:type="dxa" w:w="80"/>
              <w:right w:type="dxa" w:w="160"/>
            </w:tcMar>
            <w:vAlign w:val="top"/>
          </w:tcPr>
          <w:p>
            <w:r>
              <w:rPr>
                <w:rFonts w:ascii="Arial" w:cs="Arial" w:eastAsia="Arial" w:hAnsi="Arial"/>
                <w:b/>
                <w:bCs/>
                <w:sz w:val="20"/>
                <w:szCs w:val="20"/>
              </w:rPr>
              <w:t xml:space="preserve">Area</w:t>
            </w:r>
          </w:p>
        </w:tc>
        <w:tc>
          <w:tcPr>
            <w:tcW w:type="dxa" w:w="2000"/>
            <w:tcBorders>
              <w:top w:val="single" w:color="CCCCCC" w:sz="4"/>
              <w:left w:val="single" w:color="CCCCCC" w:sz="4"/>
              <w:bottom w:val="single" w:color="CCCCCC" w:sz="4"/>
              <w:right w:val="single" w:color="CCCCCC" w:sz="4"/>
            </w:tcBorders>
            <w:shd w:fill="8B1A1A" w:color="auto" w:val="clear"/>
            <w:tcMar>
              <w:top w:type="dxa" w:w="80"/>
              <w:left w:type="dxa" w:w="160"/>
              <w:bottom w:type="dxa" w:w="80"/>
              <w:right w:type="dxa" w:w="160"/>
            </w:tcMar>
            <w:vAlign w:val="top"/>
          </w:tcPr>
          <w:p>
            <w:r>
              <w:rPr>
                <w:rFonts w:ascii="Arial" w:cs="Arial" w:eastAsia="Arial" w:hAnsi="Arial"/>
                <w:b/>
                <w:bCs/>
                <w:sz w:val="20"/>
                <w:szCs w:val="20"/>
              </w:rPr>
              <w:t xml:space="preserve">Q2–Q3 2026</w:t>
            </w:r>
          </w:p>
        </w:tc>
        <w:tc>
          <w:tcPr>
            <w:tcW w:type="dxa" w:w="2000"/>
            <w:tcBorders>
              <w:top w:val="single" w:color="CCCCCC" w:sz="4"/>
              <w:left w:val="single" w:color="CCCCCC" w:sz="4"/>
              <w:bottom w:val="single" w:color="CCCCCC" w:sz="4"/>
              <w:right w:val="single" w:color="CCCCCC" w:sz="4"/>
            </w:tcBorders>
            <w:shd w:fill="8B1A1A" w:color="auto" w:val="clear"/>
            <w:tcMar>
              <w:top w:type="dxa" w:w="80"/>
              <w:left w:type="dxa" w:w="160"/>
              <w:bottom w:type="dxa" w:w="80"/>
              <w:right w:type="dxa" w:w="160"/>
            </w:tcMar>
            <w:vAlign w:val="top"/>
          </w:tcPr>
          <w:p>
            <w:r>
              <w:rPr>
                <w:rFonts w:ascii="Arial" w:cs="Arial" w:eastAsia="Arial" w:hAnsi="Arial"/>
                <w:b/>
                <w:bCs/>
                <w:sz w:val="20"/>
                <w:szCs w:val="20"/>
              </w:rPr>
              <w:t xml:space="preserve">Q4 2026 – Q2 2027</w:t>
            </w:r>
          </w:p>
        </w:tc>
        <w:tc>
          <w:tcPr>
            <w:tcW w:type="dxa" w:w="1826"/>
            <w:tcBorders>
              <w:top w:val="single" w:color="CCCCCC" w:sz="4"/>
              <w:left w:val="single" w:color="CCCCCC" w:sz="4"/>
              <w:bottom w:val="single" w:color="CCCCCC" w:sz="4"/>
              <w:right w:val="single" w:color="CCCCCC" w:sz="4"/>
            </w:tcBorders>
            <w:shd w:fill="8B1A1A" w:color="auto" w:val="clear"/>
            <w:tcMar>
              <w:top w:type="dxa" w:w="80"/>
              <w:left w:type="dxa" w:w="160"/>
              <w:bottom w:type="dxa" w:w="80"/>
              <w:right w:type="dxa" w:w="160"/>
            </w:tcMar>
            <w:vAlign w:val="top"/>
          </w:tcPr>
          <w:p>
            <w:r>
              <w:rPr>
                <w:rFonts w:ascii="Arial" w:cs="Arial" w:eastAsia="Arial" w:hAnsi="Arial"/>
                <w:b/>
                <w:bCs/>
                <w:sz w:val="20"/>
                <w:szCs w:val="20"/>
              </w:rPr>
              <w:t xml:space="preserve">Q3–Q4 2027</w:t>
            </w:r>
          </w:p>
        </w:tc>
        <w:tc>
          <w:tcPr>
            <w:tcW w:type="dxa" w:w="2000"/>
            <w:tcBorders>
              <w:top w:val="single" w:color="CCCCCC" w:sz="4"/>
              <w:left w:val="single" w:color="CCCCCC" w:sz="4"/>
              <w:bottom w:val="single" w:color="CCCCCC" w:sz="4"/>
              <w:right w:val="single" w:color="CCCCCC" w:sz="4"/>
            </w:tcBorders>
            <w:shd w:fill="8B1A1A" w:color="auto" w:val="clear"/>
            <w:tcMar>
              <w:top w:type="dxa" w:w="80"/>
              <w:left w:type="dxa" w:w="160"/>
              <w:bottom w:type="dxa" w:w="80"/>
              <w:right w:type="dxa" w:w="160"/>
            </w:tcMar>
            <w:vAlign w:val="top"/>
          </w:tcPr>
          <w:p>
            <w:r>
              <w:rPr>
                <w:rFonts w:ascii="Arial" w:cs="Arial" w:eastAsia="Arial" w:hAnsi="Arial"/>
                <w:b/>
                <w:bCs/>
                <w:sz w:val="20"/>
                <w:szCs w:val="20"/>
              </w:rPr>
              <w:t xml:space="preserve">2028 Target</w:t>
            </w:r>
          </w:p>
        </w:tc>
      </w:tr>
      <w:tr>
        <w:tc>
          <w:tcPr>
            <w:tcW w:type="dxa" w:w="12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Qualità</w:t>
            </w:r>
          </w:p>
        </w:tc>
        <w:tc>
          <w:tcPr>
            <w:tcW w:type="dxa" w:w="20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SOP · 5S · Manutenzione preventiva</w:t>
            </w:r>
          </w:p>
        </w:tc>
        <w:tc>
          <w:tcPr>
            <w:tcW w:type="dxa" w:w="20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ISO 9001 certificazione</w:t>
            </w:r>
          </w:p>
        </w:tc>
        <w:tc>
          <w:tcPr>
            <w:tcW w:type="dxa" w:w="182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ISO 13485 avvio</w:t>
            </w:r>
          </w:p>
        </w:tc>
        <w:tc>
          <w:tcPr>
            <w:tcW w:type="dxa" w:w="20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ISO 13485 certificato</w:t>
            </w:r>
          </w:p>
        </w:tc>
      </w:tr>
      <w:tr>
        <w:tc>
          <w:tcPr>
            <w:tcW w:type="dxa" w:w="120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Macchine</w:t>
            </w:r>
          </w:p>
        </w:tc>
        <w:tc>
          <w:tcPr>
            <w:tcW w:type="dxa" w:w="200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Manutenzione preventiva attiva</w:t>
            </w:r>
          </w:p>
        </w:tc>
        <w:tc>
          <w:tcPr>
            <w:tcW w:type="dxa" w:w="200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Acquisto CNC 5 assi</w:t>
            </w:r>
          </w:p>
        </w:tc>
        <w:tc>
          <w:tcPr>
            <w:tcW w:type="dxa" w:w="1826"/>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Collaudo + avvio produzione</w:t>
            </w:r>
          </w:p>
        </w:tc>
        <w:tc>
          <w:tcPr>
            <w:tcW w:type="dxa" w:w="200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Utilizzo pieno 5 assi</w:t>
            </w:r>
          </w:p>
        </w:tc>
      </w:tr>
      <w:tr>
        <w:tc>
          <w:tcPr>
            <w:tcW w:type="dxa" w:w="12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Commerciale</w:t>
            </w:r>
          </w:p>
        </w:tc>
        <w:tc>
          <w:tcPr>
            <w:tcW w:type="dxa" w:w="20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Account Manager + sito web</w:t>
            </w:r>
          </w:p>
        </w:tc>
        <w:tc>
          <w:tcPr>
            <w:tcW w:type="dxa" w:w="20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Fiera EMO + 5 nuovi prospect medicale</w:t>
            </w:r>
          </w:p>
        </w:tc>
        <w:tc>
          <w:tcPr>
            <w:tcW w:type="dxa" w:w="182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 contratti medicale attivi</w:t>
            </w:r>
          </w:p>
        </w:tc>
        <w:tc>
          <w:tcPr>
            <w:tcW w:type="dxa" w:w="20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30% fatturato da medicale</w:t>
            </w:r>
          </w:p>
        </w:tc>
      </w:tr>
      <w:tr>
        <w:tc>
          <w:tcPr>
            <w:tcW w:type="dxa" w:w="120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Organizzazione</w:t>
            </w:r>
          </w:p>
        </w:tc>
        <w:tc>
          <w:tcPr>
            <w:tcW w:type="dxa" w:w="200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Selezione responsabile qualità</w:t>
            </w:r>
          </w:p>
        </w:tc>
        <w:tc>
          <w:tcPr>
            <w:tcW w:type="dxa" w:w="200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Assunzione tech CNC specialist</w:t>
            </w:r>
          </w:p>
        </w:tc>
        <w:tc>
          <w:tcPr>
            <w:tcW w:type="dxa" w:w="1826"/>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Delega operativa completata</w:t>
            </w:r>
          </w:p>
        </w:tc>
        <w:tc>
          <w:tcPr>
            <w:tcW w:type="dxa" w:w="200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Struttura autonoma dal titolare</w:t>
            </w:r>
          </w:p>
        </w:tc>
      </w:tr>
      <w:tr>
        <w:tc>
          <w:tcPr>
            <w:tcW w:type="dxa" w:w="12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Finanziario</w:t>
            </w:r>
          </w:p>
        </w:tc>
        <w:tc>
          <w:tcPr>
            <w:tcW w:type="dxa" w:w="20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EBITDA 13,5%</w:t>
            </w:r>
          </w:p>
        </w:tc>
        <w:tc>
          <w:tcPr>
            <w:tcW w:type="dxa" w:w="20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EBITDA 15,8%</w:t>
            </w:r>
          </w:p>
        </w:tc>
        <w:tc>
          <w:tcPr>
            <w:tcW w:type="dxa" w:w="182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EBITDA 17,2%</w:t>
            </w:r>
          </w:p>
        </w:tc>
        <w:tc>
          <w:tcPr>
            <w:tcW w:type="dxa" w:w="20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EBITDA 18,5%</w:t>
            </w:r>
          </w:p>
        </w:tc>
      </w:tr>
    </w:tbl>
    <w:p>
      <w:r>
        <w:br w:type="page"/>
      </w:r>
    </w:p>
    <w:p>
      <w:pPr>
        <w:spacing w:after="120" w:before="280"/>
      </w:pPr>
      <w:r>
        <w:rPr>
          <w:rFonts w:ascii="Arial" w:cs="Arial" w:eastAsia="Arial" w:hAnsi="Arial"/>
          <w:b/>
          <w:bCs/>
          <w:color w:val="8B1A1A"/>
          <w:sz w:val="28"/>
          <w:szCs w:val="28"/>
        </w:rPr>
        <w:t xml:space="preserve">8 · Proiezioni Finanziarie 2026–2028</w:t>
      </w:r>
    </w:p>
    <w:p>
      <w:pPr>
        <w:spacing w:after="100" w:before="240"/>
      </w:pPr>
      <w:r>
        <w:rPr>
          <w:rFonts w:ascii="Arial" w:cs="Arial" w:eastAsia="Arial" w:hAnsi="Arial"/>
          <w:b/>
          <w:bCs/>
          <w:color w:val="8B1A1A"/>
          <w:sz w:val="24"/>
          <w:szCs w:val="24"/>
        </w:rPr>
        <w:t xml:space="preserve">Scenario Base — Specializzazione Premium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50"/>
        <w:gridCol w:w="1550"/>
        <w:gridCol w:w="1550"/>
        <w:gridCol w:w="1550"/>
      </w:tblGrid>
      <w:tr>
        <w:tc>
          <w:tcPr>
            <w:tcW w:type="dxa" w:w="2826"/>
            <w:tcBorders>
              <w:top w:val="single" w:color="CCCCCC" w:sz="4"/>
              <w:left w:val="single" w:color="CCCCCC" w:sz="4"/>
              <w:bottom w:val="single" w:color="CCCCCC" w:sz="4"/>
              <w:right w:val="single" w:color="CCCCCC" w:sz="4"/>
            </w:tcBorders>
            <w:shd w:fill="8B1A1A" w:color="auto" w:val="clear"/>
            <w:tcMar>
              <w:top w:type="dxa" w:w="80"/>
              <w:left w:type="dxa" w:w="160"/>
              <w:bottom w:type="dxa" w:w="80"/>
              <w:right w:type="dxa" w:w="160"/>
            </w:tcMar>
            <w:vAlign w:val="top"/>
          </w:tcPr>
          <w:p>
            <w:r>
              <w:rPr>
                <w:rFonts w:ascii="Arial" w:cs="Arial" w:eastAsia="Arial" w:hAnsi="Arial"/>
                <w:b/>
                <w:bCs/>
                <w:sz w:val="20"/>
                <w:szCs w:val="20"/>
              </w:rPr>
              <w:t xml:space="preserve">Voce P&amp;L</w:t>
            </w:r>
          </w:p>
        </w:tc>
        <w:tc>
          <w:tcPr>
            <w:tcW w:type="dxa" w:w="1550"/>
            <w:tcBorders>
              <w:top w:val="single" w:color="CCCCCC" w:sz="4"/>
              <w:left w:val="single" w:color="CCCCCC" w:sz="4"/>
              <w:bottom w:val="single" w:color="CCCCCC" w:sz="4"/>
              <w:right w:val="single" w:color="CCCCCC" w:sz="4"/>
            </w:tcBorders>
            <w:shd w:fill="8B1A1A" w:color="auto" w:val="clear"/>
            <w:tcMar>
              <w:top w:type="dxa" w:w="80"/>
              <w:left w:type="dxa" w:w="160"/>
              <w:bottom w:type="dxa" w:w="80"/>
              <w:right w:type="dxa" w:w="160"/>
            </w:tcMar>
            <w:vAlign w:val="top"/>
          </w:tcPr>
          <w:p>
            <w:r>
              <w:rPr>
                <w:rFonts w:ascii="Arial" w:cs="Arial" w:eastAsia="Arial" w:hAnsi="Arial"/>
                <w:b/>
                <w:bCs/>
                <w:sz w:val="20"/>
                <w:szCs w:val="20"/>
              </w:rPr>
              <w:t xml:space="preserve">2025 Actual</w:t>
            </w:r>
          </w:p>
        </w:tc>
        <w:tc>
          <w:tcPr>
            <w:tcW w:type="dxa" w:w="1550"/>
            <w:tcBorders>
              <w:top w:val="single" w:color="CCCCCC" w:sz="4"/>
              <w:left w:val="single" w:color="CCCCCC" w:sz="4"/>
              <w:bottom w:val="single" w:color="CCCCCC" w:sz="4"/>
              <w:right w:val="single" w:color="CCCCCC" w:sz="4"/>
            </w:tcBorders>
            <w:shd w:fill="8B1A1A" w:color="auto" w:val="clear"/>
            <w:tcMar>
              <w:top w:type="dxa" w:w="80"/>
              <w:left w:type="dxa" w:w="160"/>
              <w:bottom w:type="dxa" w:w="80"/>
              <w:right w:type="dxa" w:w="160"/>
            </w:tcMar>
            <w:vAlign w:val="top"/>
          </w:tcPr>
          <w:p>
            <w:r>
              <w:rPr>
                <w:rFonts w:ascii="Arial" w:cs="Arial" w:eastAsia="Arial" w:hAnsi="Arial"/>
                <w:b/>
                <w:bCs/>
                <w:sz w:val="20"/>
                <w:szCs w:val="20"/>
              </w:rPr>
              <w:t xml:space="preserve">2026 Budget</w:t>
            </w:r>
          </w:p>
        </w:tc>
        <w:tc>
          <w:tcPr>
            <w:tcW w:type="dxa" w:w="1550"/>
            <w:tcBorders>
              <w:top w:val="single" w:color="CCCCCC" w:sz="4"/>
              <w:left w:val="single" w:color="CCCCCC" w:sz="4"/>
              <w:bottom w:val="single" w:color="CCCCCC" w:sz="4"/>
              <w:right w:val="single" w:color="CCCCCC" w:sz="4"/>
            </w:tcBorders>
            <w:shd w:fill="8B1A1A" w:color="auto" w:val="clear"/>
            <w:tcMar>
              <w:top w:type="dxa" w:w="80"/>
              <w:left w:type="dxa" w:w="160"/>
              <w:bottom w:type="dxa" w:w="80"/>
              <w:right w:type="dxa" w:w="160"/>
            </w:tcMar>
            <w:vAlign w:val="top"/>
          </w:tcPr>
          <w:p>
            <w:r>
              <w:rPr>
                <w:rFonts w:ascii="Arial" w:cs="Arial" w:eastAsia="Arial" w:hAnsi="Arial"/>
                <w:b/>
                <w:bCs/>
                <w:sz w:val="20"/>
                <w:szCs w:val="20"/>
              </w:rPr>
              <w:t xml:space="preserve">2027 Forecast</w:t>
            </w:r>
          </w:p>
        </w:tc>
        <w:tc>
          <w:tcPr>
            <w:tcW w:type="dxa" w:w="1550"/>
            <w:tcBorders>
              <w:top w:val="single" w:color="CCCCCC" w:sz="4"/>
              <w:left w:val="single" w:color="CCCCCC" w:sz="4"/>
              <w:bottom w:val="single" w:color="CCCCCC" w:sz="4"/>
              <w:right w:val="single" w:color="CCCCCC" w:sz="4"/>
            </w:tcBorders>
            <w:shd w:fill="8B1A1A" w:color="auto" w:val="clear"/>
            <w:tcMar>
              <w:top w:type="dxa" w:w="80"/>
              <w:left w:type="dxa" w:w="160"/>
              <w:bottom w:type="dxa" w:w="80"/>
              <w:right w:type="dxa" w:w="160"/>
            </w:tcMar>
            <w:vAlign w:val="top"/>
          </w:tcPr>
          <w:p>
            <w:r>
              <w:rPr>
                <w:rFonts w:ascii="Arial" w:cs="Arial" w:eastAsia="Arial" w:hAnsi="Arial"/>
                <w:b/>
                <w:bCs/>
                <w:sz w:val="20"/>
                <w:szCs w:val="20"/>
              </w:rPr>
              <w:t xml:space="preserve">2028 Target</w:t>
            </w:r>
          </w:p>
        </w:tc>
      </w:tr>
      <w:tr>
        <w:tc>
          <w:tcPr>
            <w:tcW w:type="dxa" w:w="282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Fatturato</w:t>
            </w:r>
          </w:p>
        </w:tc>
        <w:tc>
          <w:tcPr>
            <w:tcW w:type="dxa" w:w="155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€2.400.000</w:t>
            </w:r>
          </w:p>
        </w:tc>
        <w:tc>
          <w:tcPr>
            <w:tcW w:type="dxa" w:w="155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€2.580.000</w:t>
            </w:r>
          </w:p>
        </w:tc>
        <w:tc>
          <w:tcPr>
            <w:tcW w:type="dxa" w:w="155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€2.840.000</w:t>
            </w:r>
          </w:p>
        </w:tc>
        <w:tc>
          <w:tcPr>
            <w:tcW w:type="dxa" w:w="155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€3.100.000</w:t>
            </w:r>
          </w:p>
        </w:tc>
      </w:tr>
      <w:tr>
        <w:tc>
          <w:tcPr>
            <w:tcW w:type="dxa" w:w="2826"/>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Crescita YoY</w:t>
            </w:r>
          </w:p>
        </w:tc>
        <w:tc>
          <w:tcPr>
            <w:tcW w:type="dxa" w:w="155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+6,2%</w:t>
            </w:r>
          </w:p>
        </w:tc>
        <w:tc>
          <w:tcPr>
            <w:tcW w:type="dxa" w:w="155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+7,5%</w:t>
            </w:r>
          </w:p>
        </w:tc>
        <w:tc>
          <w:tcPr>
            <w:tcW w:type="dxa" w:w="155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+10,1%</w:t>
            </w:r>
          </w:p>
        </w:tc>
        <w:tc>
          <w:tcPr>
            <w:tcW w:type="dxa" w:w="155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+9,2%</w:t>
            </w:r>
          </w:p>
        </w:tc>
      </w:tr>
      <w:tr>
        <w:tc>
          <w:tcPr>
            <w:tcW w:type="dxa" w:w="282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Costo materie prime</w:t>
            </w:r>
          </w:p>
        </w:tc>
        <w:tc>
          <w:tcPr>
            <w:tcW w:type="dxa" w:w="155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€686.400 (28,6%)</w:t>
            </w:r>
          </w:p>
        </w:tc>
        <w:tc>
          <w:tcPr>
            <w:tcW w:type="dxa" w:w="155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€716.200 (27,8%)</w:t>
            </w:r>
          </w:p>
        </w:tc>
        <w:tc>
          <w:tcPr>
            <w:tcW w:type="dxa" w:w="155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€759.100 (26,7%)</w:t>
            </w:r>
          </w:p>
        </w:tc>
        <w:tc>
          <w:tcPr>
            <w:tcW w:type="dxa" w:w="155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€806.000 (26,0%)</w:t>
            </w:r>
          </w:p>
        </w:tc>
      </w:tr>
      <w:tr>
        <w:tc>
          <w:tcPr>
            <w:tcW w:type="dxa" w:w="2826"/>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Costo del lavoro</w:t>
            </w:r>
          </w:p>
        </w:tc>
        <w:tc>
          <w:tcPr>
            <w:tcW w:type="dxa" w:w="155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€984.000 (41,0%)</w:t>
            </w:r>
          </w:p>
        </w:tc>
        <w:tc>
          <w:tcPr>
            <w:tcW w:type="dxa" w:w="155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€1.058.000 (41,0%)</w:t>
            </w:r>
          </w:p>
        </w:tc>
        <w:tc>
          <w:tcPr>
            <w:tcW w:type="dxa" w:w="155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€1.136.000 (40,0%)</w:t>
            </w:r>
          </w:p>
        </w:tc>
        <w:tc>
          <w:tcPr>
            <w:tcW w:type="dxa" w:w="155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€1.209.000 (39,0%)</w:t>
            </w:r>
          </w:p>
        </w:tc>
      </w:tr>
      <w:tr>
        <w:tc>
          <w:tcPr>
            <w:tcW w:type="dxa" w:w="282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Costi indiretti + struttura</w:t>
            </w:r>
          </w:p>
        </w:tc>
        <w:tc>
          <w:tcPr>
            <w:tcW w:type="dxa" w:w="155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€308.400 (12,9%)</w:t>
            </w:r>
          </w:p>
        </w:tc>
        <w:tc>
          <w:tcPr>
            <w:tcW w:type="dxa" w:w="155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€335.000 (13,0%)</w:t>
            </w:r>
          </w:p>
        </w:tc>
        <w:tc>
          <w:tcPr>
            <w:tcW w:type="dxa" w:w="155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€369.000 (13,0%)</w:t>
            </w:r>
          </w:p>
        </w:tc>
        <w:tc>
          <w:tcPr>
            <w:tcW w:type="dxa" w:w="155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€388.000 (12,5%)</w:t>
            </w:r>
          </w:p>
        </w:tc>
      </w:tr>
      <w:tr>
        <w:tc>
          <w:tcPr>
            <w:tcW w:type="dxa" w:w="2826"/>
            <w:tcBorders>
              <w:top w:val="single" w:color="CCCCCC" w:sz="4"/>
              <w:left w:val="single" w:color="CCCCCC" w:sz="4"/>
              <w:bottom w:val="single" w:color="CCCCCC" w:sz="4"/>
              <w:right w:val="single" w:color="CCCCCC" w:sz="4"/>
            </w:tcBorders>
            <w:shd w:fill="E8F4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EBITDA</w:t>
            </w:r>
          </w:p>
        </w:tc>
        <w:tc>
          <w:tcPr>
            <w:tcW w:type="dxa" w:w="1550"/>
            <w:tcBorders>
              <w:top w:val="single" w:color="CCCCCC" w:sz="4"/>
              <w:left w:val="single" w:color="CCCCCC" w:sz="4"/>
              <w:bottom w:val="single" w:color="CCCCCC" w:sz="4"/>
              <w:right w:val="single" w:color="CCCCCC" w:sz="4"/>
            </w:tcBorders>
            <w:shd w:fill="E8F4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€297.600 (12,4%)</w:t>
            </w:r>
          </w:p>
        </w:tc>
        <w:tc>
          <w:tcPr>
            <w:tcW w:type="dxa" w:w="1550"/>
            <w:tcBorders>
              <w:top w:val="single" w:color="CCCCCC" w:sz="4"/>
              <w:left w:val="single" w:color="CCCCCC" w:sz="4"/>
              <w:bottom w:val="single" w:color="CCCCCC" w:sz="4"/>
              <w:right w:val="single" w:color="CCCCCC" w:sz="4"/>
            </w:tcBorders>
            <w:shd w:fill="E8F4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€348.000 (13,5%)</w:t>
            </w:r>
          </w:p>
        </w:tc>
        <w:tc>
          <w:tcPr>
            <w:tcW w:type="dxa" w:w="1550"/>
            <w:tcBorders>
              <w:top w:val="single" w:color="CCCCCC" w:sz="4"/>
              <w:left w:val="single" w:color="CCCCCC" w:sz="4"/>
              <w:bottom w:val="single" w:color="CCCCCC" w:sz="4"/>
              <w:right w:val="single" w:color="CCCCCC" w:sz="4"/>
            </w:tcBorders>
            <w:shd w:fill="E8F4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€488.000 (17,2%)</w:t>
            </w:r>
          </w:p>
        </w:tc>
        <w:tc>
          <w:tcPr>
            <w:tcW w:type="dxa" w:w="1550"/>
            <w:tcBorders>
              <w:top w:val="single" w:color="CCCCCC" w:sz="4"/>
              <w:left w:val="single" w:color="CCCCCC" w:sz="4"/>
              <w:bottom w:val="single" w:color="CCCCCC" w:sz="4"/>
              <w:right w:val="single" w:color="CCCCCC" w:sz="4"/>
            </w:tcBorders>
            <w:shd w:fill="E8F4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€573.500 (18,5%)</w:t>
            </w:r>
          </w:p>
        </w:tc>
      </w:tr>
      <w:tr>
        <w:tc>
          <w:tcPr>
            <w:tcW w:type="dxa" w:w="282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Ammortamenti</w:t>
            </w:r>
          </w:p>
        </w:tc>
        <w:tc>
          <w:tcPr>
            <w:tcW w:type="dxa" w:w="155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€74.400</w:t>
            </w:r>
          </w:p>
        </w:tc>
        <w:tc>
          <w:tcPr>
            <w:tcW w:type="dxa" w:w="155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€82.000</w:t>
            </w:r>
          </w:p>
        </w:tc>
        <w:tc>
          <w:tcPr>
            <w:tcW w:type="dxa" w:w="155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€114.000</w:t>
            </w:r>
          </w:p>
        </w:tc>
        <w:tc>
          <w:tcPr>
            <w:tcW w:type="dxa" w:w="155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€124.000</w:t>
            </w:r>
          </w:p>
        </w:tc>
      </w:tr>
      <w:tr>
        <w:tc>
          <w:tcPr>
            <w:tcW w:type="dxa" w:w="2826"/>
            <w:tcBorders>
              <w:top w:val="single" w:color="CCCCCC" w:sz="4"/>
              <w:left w:val="single" w:color="CCCCCC" w:sz="4"/>
              <w:bottom w:val="single" w:color="CCCCCC" w:sz="4"/>
              <w:right w:val="single" w:color="CCCCCC" w:sz="4"/>
            </w:tcBorders>
            <w:shd w:fill="E8F4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EBIT (Margine Operativo)</w:t>
            </w:r>
          </w:p>
        </w:tc>
        <w:tc>
          <w:tcPr>
            <w:tcW w:type="dxa" w:w="1550"/>
            <w:tcBorders>
              <w:top w:val="single" w:color="CCCCCC" w:sz="4"/>
              <w:left w:val="single" w:color="CCCCCC" w:sz="4"/>
              <w:bottom w:val="single" w:color="CCCCCC" w:sz="4"/>
              <w:right w:val="single" w:color="CCCCCC" w:sz="4"/>
            </w:tcBorders>
            <w:shd w:fill="E8F4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€220.800 (9,2%)</w:t>
            </w:r>
          </w:p>
        </w:tc>
        <w:tc>
          <w:tcPr>
            <w:tcW w:type="dxa" w:w="1550"/>
            <w:tcBorders>
              <w:top w:val="single" w:color="CCCCCC" w:sz="4"/>
              <w:left w:val="single" w:color="CCCCCC" w:sz="4"/>
              <w:bottom w:val="single" w:color="CCCCCC" w:sz="4"/>
              <w:right w:val="single" w:color="CCCCCC" w:sz="4"/>
            </w:tcBorders>
            <w:shd w:fill="E8F4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€266.000 (10,3%)</w:t>
            </w:r>
          </w:p>
        </w:tc>
        <w:tc>
          <w:tcPr>
            <w:tcW w:type="dxa" w:w="1550"/>
            <w:tcBorders>
              <w:top w:val="single" w:color="CCCCCC" w:sz="4"/>
              <w:left w:val="single" w:color="CCCCCC" w:sz="4"/>
              <w:bottom w:val="single" w:color="CCCCCC" w:sz="4"/>
              <w:right w:val="single" w:color="CCCCCC" w:sz="4"/>
            </w:tcBorders>
            <w:shd w:fill="E8F4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€374.000 (13,2%)</w:t>
            </w:r>
          </w:p>
        </w:tc>
        <w:tc>
          <w:tcPr>
            <w:tcW w:type="dxa" w:w="1550"/>
            <w:tcBorders>
              <w:top w:val="single" w:color="CCCCCC" w:sz="4"/>
              <w:left w:val="single" w:color="CCCCCC" w:sz="4"/>
              <w:bottom w:val="single" w:color="CCCCCC" w:sz="4"/>
              <w:right w:val="single" w:color="CCCCCC" w:sz="4"/>
            </w:tcBorders>
            <w:shd w:fill="E8F4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€449.500 (14,5%)</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Investimento totale 2026–2028</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€185.000 (CNC 5 assi €110.000 + software + certificazioni + formazione + commerciale)</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Finanziamento previsto</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€100.000 leasing agevolato (Transizione 4.0) + €85.000 autofinanziamento da cash flow</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Free Cash Flow cumulato 2026–2028</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~€420.000 (stima netta post-investimenti e tasse)</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Payback complessivo piano</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28 mesi dall'avvio investimenti principali (Q3 2026)</w:t>
            </w:r>
          </w:p>
        </w:tc>
      </w:tr>
    </w:tbl>
    <w:p>
      <w:r>
        <w:br w:type="page"/>
      </w:r>
    </w:p>
    <w:p>
      <w:pPr>
        <w:spacing w:after="120" w:before="280"/>
      </w:pPr>
      <w:r>
        <w:rPr>
          <w:rFonts w:ascii="Arial" w:cs="Arial" w:eastAsia="Arial" w:hAnsi="Arial"/>
          <w:b/>
          <w:bCs/>
          <w:color w:val="8B1A1A"/>
          <w:sz w:val="28"/>
          <w:szCs w:val="28"/>
        </w:rPr>
        <w:t xml:space="preserve">9 · KPI &amp; Monitoring</w:t>
      </w:r>
    </w:p>
    <w:p>
      <w:pPr>
        <w:spacing w:after="80" w:before="80"/>
      </w:pPr>
      <w:r>
        <w:rPr>
          <w:rFonts w:ascii="Arial" w:cs="Arial" w:eastAsia="Arial" w:hAnsi="Arial"/>
          <w:b w:val="false"/>
          <w:bCs w:val="false"/>
          <w:i w:val="false"/>
          <w:iCs w:val="false"/>
          <w:color w:val="333333"/>
          <w:sz w:val="20"/>
          <w:szCs w:val="20"/>
        </w:rPr>
        <w:t xml:space="preserve">Il successo del Piano Strategico sarà monitorato attraverso un cruscotto di 12 KPI misurati mensilmente e revisione trimestrale con K2-AI:</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CCCCCC" w:sz="4"/>
              <w:left w:val="single" w:color="CCCCCC" w:sz="4"/>
              <w:bottom w:val="single" w:color="CCCCCC" w:sz="4"/>
              <w:right w:val="single" w:color="CCCCCC" w:sz="4"/>
            </w:tcBorders>
            <w:shd w:fill="2C5F8A" w:color="auto" w:val="clear"/>
            <w:tcMar>
              <w:top w:type="dxa" w:w="80"/>
              <w:left w:type="dxa" w:w="160"/>
              <w:bottom w:type="dxa" w:w="80"/>
              <w:right w:type="dxa" w:w="160"/>
            </w:tcMar>
            <w:vAlign w:val="top"/>
          </w:tcPr>
          <w:p>
            <w:r>
              <w:rPr>
                <w:rFonts w:ascii="Arial" w:cs="Arial" w:eastAsia="Arial" w:hAnsi="Arial"/>
                <w:b/>
                <w:bCs/>
                <w:sz w:val="20"/>
                <w:szCs w:val="20"/>
              </w:rPr>
              <w:t xml:space="preserve">Indicatore</w:t>
            </w:r>
          </w:p>
        </w:tc>
        <w:tc>
          <w:tcPr>
            <w:tcW w:type="dxa" w:w="1800"/>
            <w:tcBorders>
              <w:top w:val="single" w:color="CCCCCC" w:sz="4"/>
              <w:left w:val="single" w:color="CCCCCC" w:sz="4"/>
              <w:bottom w:val="single" w:color="CCCCCC" w:sz="4"/>
              <w:right w:val="single" w:color="CCCCCC" w:sz="4"/>
            </w:tcBorders>
            <w:shd w:fill="2C5F8A" w:color="auto" w:val="clear"/>
            <w:tcMar>
              <w:top w:type="dxa" w:w="80"/>
              <w:left w:type="dxa" w:w="160"/>
              <w:bottom w:type="dxa" w:w="80"/>
              <w:right w:type="dxa" w:w="160"/>
            </w:tcMar>
            <w:vAlign w:val="top"/>
          </w:tcPr>
          <w:p>
            <w:r>
              <w:rPr>
                <w:rFonts w:ascii="Arial" w:cs="Arial" w:eastAsia="Arial" w:hAnsi="Arial"/>
                <w:b/>
                <w:bCs/>
                <w:sz w:val="20"/>
                <w:szCs w:val="20"/>
              </w:rPr>
              <w:t xml:space="preserve">Valore</w:t>
            </w:r>
          </w:p>
        </w:tc>
        <w:tc>
          <w:tcPr>
            <w:tcW w:type="dxa" w:w="4026"/>
            <w:tcBorders>
              <w:top w:val="single" w:color="CCCCCC" w:sz="4"/>
              <w:left w:val="single" w:color="CCCCCC" w:sz="4"/>
              <w:bottom w:val="single" w:color="CCCCCC" w:sz="4"/>
              <w:right w:val="single" w:color="CCCCCC" w:sz="4"/>
            </w:tcBorders>
            <w:shd w:fill="2C5F8A" w:color="auto" w:val="clear"/>
            <w:tcMar>
              <w:top w:type="dxa" w:w="80"/>
              <w:left w:type="dxa" w:w="160"/>
              <w:bottom w:type="dxa" w:w="80"/>
              <w:right w:type="dxa" w:w="160"/>
            </w:tcMar>
            <w:vAlign w:val="top"/>
          </w:tcPr>
          <w:p>
            <w:r>
              <w:rPr>
                <w:rFonts w:ascii="Arial" w:cs="Arial" w:eastAsia="Arial" w:hAnsi="Arial"/>
                <w:b/>
                <w:bCs/>
                <w:sz w:val="20"/>
                <w:szCs w:val="20"/>
              </w:rPr>
              <w:t xml:space="preserve">Benchmark</w:t>
            </w:r>
          </w:p>
        </w:tc>
      </w:tr>
      <w:tr>
        <w:tc>
          <w:tcPr>
            <w:tcW w:type="dxa" w:w="32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EBITDA margin</w:t>
            </w:r>
          </w:p>
        </w:tc>
        <w:tc>
          <w:tcPr>
            <w:tcW w:type="dxa" w:w="18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12,4% (2025)</w:t>
            </w:r>
          </w:p>
        </w:tc>
        <w:tc>
          <w:tcPr>
            <w:tcW w:type="dxa" w:w="402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Target 2026: 13,5% · Target 2028: 18,5%</w:t>
            </w:r>
          </w:p>
        </w:tc>
      </w:tr>
      <w:tr>
        <w:tc>
          <w:tcPr>
            <w:tcW w:type="dxa" w:w="3200"/>
            <w:tcBorders>
              <w:top w:val="single" w:color="CCCCCC" w:sz="4"/>
              <w:left w:val="single" w:color="CCCCCC" w:sz="4"/>
              <w:bottom w:val="single" w:color="CCCCCC" w:sz="4"/>
              <w:right w:val="single" w:color="CCCCCC" w:sz="4"/>
            </w:tcBorders>
            <w:shd w:fill="E8F4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Fatturato da clienti medicale</w:t>
            </w:r>
          </w:p>
        </w:tc>
        <w:tc>
          <w:tcPr>
            <w:tcW w:type="dxa" w:w="1800"/>
            <w:tcBorders>
              <w:top w:val="single" w:color="CCCCCC" w:sz="4"/>
              <w:left w:val="single" w:color="CCCCCC" w:sz="4"/>
              <w:bottom w:val="single" w:color="CCCCCC" w:sz="4"/>
              <w:right w:val="single" w:color="CCCCCC" w:sz="4"/>
            </w:tcBorders>
            <w:shd w:fill="E8F4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0% (nuovo segmento)</w:t>
            </w:r>
          </w:p>
        </w:tc>
        <w:tc>
          <w:tcPr>
            <w:tcW w:type="dxa" w:w="4026"/>
            <w:tcBorders>
              <w:top w:val="single" w:color="CCCCCC" w:sz="4"/>
              <w:left w:val="single" w:color="CCCCCC" w:sz="4"/>
              <w:bottom w:val="single" w:color="CCCCCC" w:sz="4"/>
              <w:right w:val="single" w:color="CCCCCC" w:sz="4"/>
            </w:tcBorders>
            <w:shd w:fill="E8F4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Target Q4 2027: 15% · Target 2028: 30%</w:t>
            </w:r>
          </w:p>
        </w:tc>
      </w:tr>
      <w:tr>
        <w:tc>
          <w:tcPr>
            <w:tcW w:type="dxa" w:w="3200"/>
            <w:tcBorders>
              <w:top w:val="single" w:color="CCCCCC" w:sz="4"/>
              <w:left w:val="single" w:color="CCCCCC" w:sz="4"/>
              <w:bottom w:val="single" w:color="CCCCCC" w:sz="4"/>
              <w:right w:val="single" w:color="CCCCCC" w:sz="4"/>
            </w:tcBorders>
            <w:shd w:fill="FFE8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Tasso di scarto/rilavorazione</w:t>
            </w:r>
          </w:p>
        </w:tc>
        <w:tc>
          <w:tcPr>
            <w:tcW w:type="dxa" w:w="1800"/>
            <w:tcBorders>
              <w:top w:val="single" w:color="CCCCCC" w:sz="4"/>
              <w:left w:val="single" w:color="CCCCCC" w:sz="4"/>
              <w:bottom w:val="single" w:color="CCCCCC" w:sz="4"/>
              <w:right w:val="single" w:color="CCCCCC" w:sz="4"/>
            </w:tcBorders>
            <w:shd w:fill="FFE8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3,8%</w:t>
            </w:r>
          </w:p>
        </w:tc>
        <w:tc>
          <w:tcPr>
            <w:tcW w:type="dxa" w:w="4026"/>
            <w:tcBorders>
              <w:top w:val="single" w:color="CCCCCC" w:sz="4"/>
              <w:left w:val="single" w:color="CCCCCC" w:sz="4"/>
              <w:bottom w:val="single" w:color="CCCCCC" w:sz="4"/>
              <w:right w:val="single" w:color="CCCCCC" w:sz="4"/>
            </w:tcBorders>
            <w:shd w:fill="FFE8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Target Q4 2026: 2,0% · Target 2028: 1,2%</w:t>
            </w:r>
          </w:p>
        </w:tc>
      </w:tr>
      <w:tr>
        <w:tc>
          <w:tcPr>
            <w:tcW w:type="dxa" w:w="32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Utilizzo impianti (OEE)</w:t>
            </w:r>
          </w:p>
        </w:tc>
        <w:tc>
          <w:tcPr>
            <w:tcW w:type="dxa" w:w="18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67%</w:t>
            </w:r>
          </w:p>
        </w:tc>
        <w:tc>
          <w:tcPr>
            <w:tcW w:type="dxa" w:w="4026"/>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Target 2026: 74% · Target 2028: 82%</w:t>
            </w:r>
          </w:p>
        </w:tc>
      </w:tr>
      <w:tr>
        <w:tc>
          <w:tcPr>
            <w:tcW w:type="dxa" w:w="32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Lead time medio</w:t>
            </w:r>
          </w:p>
        </w:tc>
        <w:tc>
          <w:tcPr>
            <w:tcW w:type="dxa" w:w="18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18 giorni</w:t>
            </w:r>
          </w:p>
        </w:tc>
        <w:tc>
          <w:tcPr>
            <w:tcW w:type="dxa" w:w="4026"/>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Target 2026: 14 gg · Target 2028: 10 gg</w:t>
            </w:r>
          </w:p>
        </w:tc>
      </w:tr>
      <w:tr>
        <w:tc>
          <w:tcPr>
            <w:tcW w:type="dxa" w:w="32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NPS clienti</w:t>
            </w:r>
          </w:p>
        </w:tc>
        <w:tc>
          <w:tcPr>
            <w:tcW w:type="dxa" w:w="18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+34 (stimato)</w:t>
            </w:r>
          </w:p>
        </w:tc>
        <w:tc>
          <w:tcPr>
            <w:tcW w:type="dxa" w:w="402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Target 2026: +40 · Target 2028: +52</w:t>
            </w:r>
          </w:p>
        </w:tc>
      </w:tr>
      <w:tr>
        <w:tc>
          <w:tcPr>
            <w:tcW w:type="dxa" w:w="32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Fatturato per dipendente</w:t>
            </w:r>
          </w:p>
        </w:tc>
        <w:tc>
          <w:tcPr>
            <w:tcW w:type="dxa" w:w="18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€133.333</w:t>
            </w:r>
          </w:p>
        </w:tc>
        <w:tc>
          <w:tcPr>
            <w:tcW w:type="dxa" w:w="402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Target 2028: €162.000</w:t>
            </w:r>
          </w:p>
        </w:tc>
      </w:tr>
      <w:tr>
        <w:tc>
          <w:tcPr>
            <w:tcW w:type="dxa" w:w="320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Certificazioni attive</w:t>
            </w:r>
          </w:p>
        </w:tc>
        <w:tc>
          <w:tcPr>
            <w:tcW w:type="dxa" w:w="180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Nessuna</w:t>
            </w:r>
          </w:p>
        </w:tc>
        <w:tc>
          <w:tcPr>
            <w:tcW w:type="dxa" w:w="4026"/>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Target Q4 2026: ISO 9001 · Target Q2 2027: ISO 13485</w:t>
            </w:r>
          </w:p>
        </w:tc>
      </w:tr>
      <w:tr>
        <w:tc>
          <w:tcPr>
            <w:tcW w:type="dxa" w:w="320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Decisioni operative senza titolare</w:t>
            </w:r>
          </w:p>
        </w:tc>
        <w:tc>
          <w:tcPr>
            <w:tcW w:type="dxa" w:w="1800"/>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30% stimato</w:t>
            </w:r>
          </w:p>
        </w:tc>
        <w:tc>
          <w:tcPr>
            <w:tcW w:type="dxa" w:w="4026"/>
            <w:tcBorders>
              <w:top w:val="single" w:color="CCCCCC" w:sz="4"/>
              <w:left w:val="single" w:color="CCCCCC" w:sz="4"/>
              <w:bottom w:val="single" w:color="CCCCCC" w:sz="4"/>
              <w:right w:val="single" w:color="CCCCCC" w:sz="4"/>
            </w:tcBorders>
            <w:shd w:fill="EDE7F6"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Target 2028: 70%</w:t>
            </w:r>
          </w:p>
        </w:tc>
      </w:tr>
      <w:tr>
        <w:tc>
          <w:tcPr>
            <w:tcW w:type="dxa" w:w="32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Nuovi clienti acquisiti/anno</w:t>
            </w:r>
          </w:p>
        </w:tc>
        <w:tc>
          <w:tcPr>
            <w:tcW w:type="dxa" w:w="18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8 (2025)</w:t>
            </w:r>
          </w:p>
        </w:tc>
        <w:tc>
          <w:tcPr>
            <w:tcW w:type="dxa" w:w="402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Target 2026: 12 · Target 2028: 18</w:t>
            </w:r>
          </w:p>
        </w:tc>
      </w:tr>
    </w:tbl>
    <w:p>
      <w:r>
        <w:br w:type="page"/>
      </w:r>
    </w:p>
    <w:p>
      <w:pPr>
        <w:spacing w:after="120" w:before="280"/>
      </w:pPr>
      <w:r>
        <w:rPr>
          <w:rFonts w:ascii="Arial" w:cs="Arial" w:eastAsia="Arial" w:hAnsi="Arial"/>
          <w:b/>
          <w:bCs/>
          <w:color w:val="8B1A1A"/>
          <w:sz w:val="28"/>
          <w:szCs w:val="28"/>
        </w:rPr>
        <w:t xml:space="preserve">10 · Risk Assessment</w:t>
      </w:r>
    </w:p>
    <w:p>
      <w:pPr>
        <w:spacing w:after="80" w:before="80"/>
      </w:pPr>
      <w:r>
        <w:rPr>
          <w:rFonts w:ascii="Arial" w:cs="Arial" w:eastAsia="Arial" w:hAnsi="Arial"/>
          <w:b w:val="false"/>
          <w:bCs w:val="false"/>
          <w:i w:val="false"/>
          <w:iCs w:val="false"/>
          <w:color w:val="333333"/>
          <w:sz w:val="20"/>
          <w:szCs w:val="20"/>
        </w:rPr>
        <w:t xml:space="preserve">Il piano è costruito su ipotesi conservative, ma sono stati identificati i principali rischi e relative azioni di mitigazione: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2826"/>
      </w:tblGrid>
      <w:tr>
        <w:tc>
          <w:tcPr>
            <w:tcW w:type="dxa" w:w="2400"/>
            <w:tcBorders>
              <w:top w:val="single" w:color="CCCCCC" w:sz="4"/>
              <w:left w:val="single" w:color="CCCCCC" w:sz="4"/>
              <w:bottom w:val="single" w:color="CCCCCC" w:sz="4"/>
              <w:right w:val="single" w:color="CCCCCC" w:sz="4"/>
            </w:tcBorders>
            <w:shd w:fill="8B1A1A" w:color="auto" w:val="clear"/>
            <w:tcMar>
              <w:top w:type="dxa" w:w="80"/>
              <w:left w:type="dxa" w:w="160"/>
              <w:bottom w:type="dxa" w:w="80"/>
              <w:right w:type="dxa" w:w="160"/>
            </w:tcMar>
            <w:vAlign w:val="top"/>
          </w:tcPr>
          <w:p>
            <w:r>
              <w:rPr>
                <w:rFonts w:ascii="Arial" w:cs="Arial" w:eastAsia="Arial" w:hAnsi="Arial"/>
                <w:b/>
                <w:bCs/>
                <w:sz w:val="20"/>
                <w:szCs w:val="20"/>
              </w:rPr>
              <w:t xml:space="preserve">Rischio</w:t>
            </w:r>
          </w:p>
        </w:tc>
        <w:tc>
          <w:tcPr>
            <w:tcW w:type="dxa" w:w="900"/>
            <w:tcBorders>
              <w:top w:val="single" w:color="CCCCCC" w:sz="4"/>
              <w:left w:val="single" w:color="CCCCCC" w:sz="4"/>
              <w:bottom w:val="single" w:color="CCCCCC" w:sz="4"/>
              <w:right w:val="single" w:color="CCCCCC" w:sz="4"/>
            </w:tcBorders>
            <w:shd w:fill="8B1A1A" w:color="auto" w:val="clear"/>
            <w:tcMar>
              <w:top w:type="dxa" w:w="80"/>
              <w:left w:type="dxa" w:w="160"/>
              <w:bottom w:type="dxa" w:w="80"/>
              <w:right w:type="dxa" w:w="160"/>
            </w:tcMar>
            <w:vAlign w:val="top"/>
          </w:tcPr>
          <w:p>
            <w:r>
              <w:rPr>
                <w:rFonts w:ascii="Arial" w:cs="Arial" w:eastAsia="Arial" w:hAnsi="Arial"/>
                <w:b/>
                <w:bCs/>
                <w:sz w:val="20"/>
                <w:szCs w:val="20"/>
              </w:rPr>
              <w:t xml:space="preserve">Prob.</w:t>
            </w:r>
          </w:p>
        </w:tc>
        <w:tc>
          <w:tcPr>
            <w:tcW w:type="dxa" w:w="900"/>
            <w:tcBorders>
              <w:top w:val="single" w:color="CCCCCC" w:sz="4"/>
              <w:left w:val="single" w:color="CCCCCC" w:sz="4"/>
              <w:bottom w:val="single" w:color="CCCCCC" w:sz="4"/>
              <w:right w:val="single" w:color="CCCCCC" w:sz="4"/>
            </w:tcBorders>
            <w:shd w:fill="8B1A1A" w:color="auto" w:val="clear"/>
            <w:tcMar>
              <w:top w:type="dxa" w:w="80"/>
              <w:left w:type="dxa" w:w="160"/>
              <w:bottom w:type="dxa" w:w="80"/>
              <w:right w:type="dxa" w:w="160"/>
            </w:tcMar>
            <w:vAlign w:val="top"/>
          </w:tcPr>
          <w:p>
            <w:r>
              <w:rPr>
                <w:rFonts w:ascii="Arial" w:cs="Arial" w:eastAsia="Arial" w:hAnsi="Arial"/>
                <w:b/>
                <w:bCs/>
                <w:sz w:val="20"/>
                <w:szCs w:val="20"/>
              </w:rPr>
              <w:t xml:space="preserve">Impatto</w:t>
            </w:r>
          </w:p>
        </w:tc>
        <w:tc>
          <w:tcPr>
            <w:tcW w:type="dxa" w:w="2826"/>
            <w:tcBorders>
              <w:top w:val="single" w:color="CCCCCC" w:sz="4"/>
              <w:left w:val="single" w:color="CCCCCC" w:sz="4"/>
              <w:bottom w:val="single" w:color="CCCCCC" w:sz="4"/>
              <w:right w:val="single" w:color="CCCCCC" w:sz="4"/>
            </w:tcBorders>
            <w:shd w:fill="8B1A1A" w:color="auto" w:val="clear"/>
            <w:tcMar>
              <w:top w:type="dxa" w:w="80"/>
              <w:left w:type="dxa" w:w="160"/>
              <w:bottom w:type="dxa" w:w="80"/>
              <w:right w:type="dxa" w:w="160"/>
            </w:tcMar>
            <w:vAlign w:val="top"/>
          </w:tcPr>
          <w:p>
            <w:r>
              <w:rPr>
                <w:rFonts w:ascii="Arial" w:cs="Arial" w:eastAsia="Arial" w:hAnsi="Arial"/>
                <w:b/>
                <w:bCs/>
                <w:sz w:val="20"/>
                <w:szCs w:val="20"/>
              </w:rPr>
              <w:t xml:space="preserve">Mitigazione</w:t>
            </w:r>
          </w:p>
        </w:tc>
      </w:tr>
      <w:tr>
        <w:tc>
          <w:tcPr>
            <w:tcW w:type="dxa" w:w="24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Difficoltà nel reperire operatore CNC specializzato</w:t>
            </w:r>
          </w:p>
        </w:tc>
        <w:tc>
          <w:tcPr>
            <w:tcW w:type="dxa" w:w="900"/>
            <w:tcBorders>
              <w:top w:val="single" w:color="CCCCCC" w:sz="4"/>
              <w:left w:val="single" w:color="CCCCCC" w:sz="4"/>
              <w:bottom w:val="single" w:color="CCCCCC" w:sz="4"/>
              <w:right w:val="single" w:color="CCCCCC" w:sz="4"/>
            </w:tcBorders>
            <w:shd w:fill="FFE8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Alta</w:t>
            </w:r>
          </w:p>
        </w:tc>
        <w:tc>
          <w:tcPr>
            <w:tcW w:type="dxa" w:w="900"/>
            <w:tcBorders>
              <w:top w:val="single" w:color="CCCCCC" w:sz="4"/>
              <w:left w:val="single" w:color="CCCCCC" w:sz="4"/>
              <w:bottom w:val="single" w:color="CCCCCC" w:sz="4"/>
              <w:right w:val="single" w:color="CCCCCC" w:sz="4"/>
            </w:tcBorders>
            <w:shd w:fill="FFE8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Alto</w:t>
            </w:r>
          </w:p>
        </w:tc>
        <w:tc>
          <w:tcPr>
            <w:tcW w:type="dxa" w:w="282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Avviare ricerca 6 mesi prima del bisogno; ITS Bergamo per profili junior; piano formazione interno</w:t>
            </w:r>
          </w:p>
        </w:tc>
      </w:tr>
      <w:tr>
        <w:tc>
          <w:tcPr>
            <w:tcW w:type="dxa" w:w="24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Rallentamento del mercato automotive (transizione EV)</w:t>
            </w:r>
          </w:p>
        </w:tc>
        <w:tc>
          <w:tcPr>
            <w:tcW w:type="dxa" w:w="9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Media</w:t>
            </w:r>
          </w:p>
        </w:tc>
        <w:tc>
          <w:tcPr>
            <w:tcW w:type="dxa" w:w="9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Medio</w:t>
            </w:r>
          </w:p>
        </w:tc>
        <w:tc>
          <w:tcPr>
            <w:tcW w:type="dxa" w:w="282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Diversificazione verso medicale accelera la riduzione esposizione all'automotive; monitorare ordini trimestrale</w:t>
            </w:r>
          </w:p>
        </w:tc>
      </w:tr>
      <w:tr>
        <w:tc>
          <w:tcPr>
            <w:tcW w:type="dxa" w:w="24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Rincaro materie prime &gt; 10%</w:t>
            </w:r>
          </w:p>
        </w:tc>
        <w:tc>
          <w:tcPr>
            <w:tcW w:type="dxa" w:w="9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Media</w:t>
            </w:r>
          </w:p>
        </w:tc>
        <w:tc>
          <w:tcPr>
            <w:tcW w:type="dxa" w:w="9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Medio</w:t>
            </w:r>
          </w:p>
        </w:tc>
        <w:tc>
          <w:tcPr>
            <w:tcW w:type="dxa" w:w="282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Contratti di fornitura a prezzo fisso 6–12 mesi; valutare coperture per acciaio su CME</w:t>
            </w:r>
          </w:p>
        </w:tc>
      </w:tr>
      <w:tr>
        <w:tc>
          <w:tcPr>
            <w:tcW w:type="dxa" w:w="24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Ritardi nella certificazione ISO 13485</w:t>
            </w:r>
          </w:p>
        </w:tc>
        <w:tc>
          <w:tcPr>
            <w:tcW w:type="dxa" w:w="9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Media</w:t>
            </w:r>
          </w:p>
        </w:tc>
        <w:tc>
          <w:tcPr>
            <w:tcW w:type="dxa" w:w="900"/>
            <w:tcBorders>
              <w:top w:val="single" w:color="CCCCCC" w:sz="4"/>
              <w:left w:val="single" w:color="CCCCCC" w:sz="4"/>
              <w:bottom w:val="single" w:color="CCCCCC" w:sz="4"/>
              <w:right w:val="single" w:color="CCCCCC" w:sz="4"/>
            </w:tcBorders>
            <w:shd w:fill="FFF3E0"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Medio</w:t>
            </w:r>
          </w:p>
        </w:tc>
        <w:tc>
          <w:tcPr>
            <w:tcW w:type="dxa" w:w="282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Avviare iter con 18 mesi di anticipo; pre-audit interno dopo 6 mesi; budget contingency €5.000</w:t>
            </w:r>
          </w:p>
        </w:tc>
      </w:tr>
      <w:tr>
        <w:tc>
          <w:tcPr>
            <w:tcW w:type="dxa" w:w="2400"/>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Perdita di 1–2 clienti chiave durante transizione</w:t>
            </w:r>
          </w:p>
        </w:tc>
        <w:tc>
          <w:tcPr>
            <w:tcW w:type="dxa" w:w="900"/>
            <w:tcBorders>
              <w:top w:val="single" w:color="CCCCCC" w:sz="4"/>
              <w:left w:val="single" w:color="CCCCCC" w:sz="4"/>
              <w:bottom w:val="single" w:color="CCCCCC" w:sz="4"/>
              <w:right w:val="single" w:color="CCCCCC" w:sz="4"/>
            </w:tcBorders>
            <w:shd w:fill="E8F4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Bassa</w:t>
            </w:r>
          </w:p>
        </w:tc>
        <w:tc>
          <w:tcPr>
            <w:tcW w:type="dxa" w:w="900"/>
            <w:tcBorders>
              <w:top w:val="single" w:color="CCCCCC" w:sz="4"/>
              <w:left w:val="single" w:color="CCCCCC" w:sz="4"/>
              <w:bottom w:val="single" w:color="CCCCCC" w:sz="4"/>
              <w:right w:val="single" w:color="CCCCCC" w:sz="4"/>
            </w:tcBorders>
            <w:shd w:fill="FFE8E8"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Alto</w:t>
            </w:r>
          </w:p>
        </w:tc>
        <w:tc>
          <w:tcPr>
            <w:tcW w:type="dxa" w:w="2826"/>
            <w:tcBorders>
              <w:top w:val="single" w:color="CCCCCC" w:sz="4"/>
              <w:left w:val="single" w:color="CCCCCC" w:sz="4"/>
              <w:bottom w:val="single" w:color="CCCCCC" w:sz="4"/>
              <w:right w:val="single" w:color="CCCCCC" w:sz="4"/>
            </w:tcBorders>
            <w:shd w:fill="F9F9F9"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Account management proattivo con i top 5 clienti; contratti con clausole di prelazione su nuovi prodotti</w:t>
            </w:r>
          </w:p>
        </w:tc>
      </w:tr>
    </w:tbl>
    <w:p>
      <w:r>
        <w:br w:type="page"/>
      </w:r>
    </w:p>
    <w:p>
      <w:pPr>
        <w:spacing w:after="120" w:before="280"/>
      </w:pPr>
      <w:r>
        <w:rPr>
          <w:rFonts w:ascii="Arial" w:cs="Arial" w:eastAsia="Arial" w:hAnsi="Arial"/>
          <w:b/>
          <w:bCs/>
          <w:color w:val="8B1A1A"/>
          <w:sz w:val="28"/>
          <w:szCs w:val="28"/>
        </w:rPr>
        <w:t xml:space="preserve">11 · Roadmap Implementativa Sintetica</w:t>
      </w:r>
    </w:p>
    <w:p>
      <w:pPr>
        <w:spacing w:after="100" w:before="240"/>
      </w:pPr>
      <w:r>
        <w:rPr>
          <w:rFonts w:ascii="Arial" w:cs="Arial" w:eastAsia="Arial" w:hAnsi="Arial"/>
          <w:b/>
          <w:bCs/>
          <w:color w:val="8B1A1A"/>
          <w:sz w:val="24"/>
          <w:szCs w:val="24"/>
        </w:rPr>
        <w:t xml:space="preserve">Next Steps Immediati — Entro 30 Giorni</w:t>
      </w:r>
    </w:p>
    <w:p>
      <w:pPr>
        <w:pStyle w:val="ListParagraph"/>
        <w:numPr>
          <w:ilvl w:val="0"/>
          <w:numId w:val="3"/>
        </w:numPr>
        <w:spacing w:after="60" w:before="60"/>
      </w:pPr>
      <w:r>
        <w:rPr>
          <w:rFonts w:ascii="Arial" w:cs="Arial" w:eastAsia="Arial" w:hAnsi="Arial"/>
          <w:color w:val="333333"/>
          <w:sz w:val="20"/>
          <w:szCs w:val="20"/>
        </w:rPr>
        <w:t xml:space="preserve">Approvazione formale del Piano Strategico dal titolare e comunicazione ai 3 responsabili operativi</w:t>
      </w:r>
    </w:p>
    <w:p>
      <w:pPr>
        <w:pStyle w:val="ListParagraph"/>
        <w:numPr>
          <w:ilvl w:val="0"/>
          <w:numId w:val="3"/>
        </w:numPr>
        <w:spacing w:after="60" w:before="60"/>
      </w:pPr>
      <w:r>
        <w:rPr>
          <w:rFonts w:ascii="Arial" w:cs="Arial" w:eastAsia="Arial" w:hAnsi="Arial"/>
          <w:color w:val="333333"/>
          <w:sz w:val="20"/>
          <w:szCs w:val="20"/>
        </w:rPr>
        <w:t xml:space="preserve">Nomina interna del Responsabile Qualità (anche se già in azienda — deve essere ufficializzato)</w:t>
      </w:r>
    </w:p>
    <w:p>
      <w:pPr>
        <w:pStyle w:val="ListParagraph"/>
        <w:numPr>
          <w:ilvl w:val="0"/>
          <w:numId w:val="3"/>
        </w:numPr>
        <w:spacing w:after="60" w:before="60"/>
      </w:pPr>
      <w:r>
        <w:rPr>
          <w:rFonts w:ascii="Arial" w:cs="Arial" w:eastAsia="Arial" w:hAnsi="Arial"/>
          <w:color w:val="333333"/>
          <w:sz w:val="20"/>
          <w:szCs w:val="20"/>
        </w:rPr>
        <w:t xml:space="preserve">Apertura contatto con ente certificatore per ISO 9001 e richiesta offerta</w:t>
      </w:r>
    </w:p>
    <w:p>
      <w:pPr>
        <w:pStyle w:val="ListParagraph"/>
        <w:numPr>
          <w:ilvl w:val="0"/>
          <w:numId w:val="3"/>
        </w:numPr>
        <w:spacing w:after="60" w:before="60"/>
      </w:pPr>
      <w:r>
        <w:rPr>
          <w:rFonts w:ascii="Arial" w:cs="Arial" w:eastAsia="Arial" w:hAnsi="Arial"/>
          <w:color w:val="333333"/>
          <w:sz w:val="20"/>
          <w:szCs w:val="20"/>
        </w:rPr>
        <w:t xml:space="preserve">Kick-off sessione formativa 5S con capo reparto e 2 operatori lead</w:t>
      </w:r>
    </w:p>
    <w:p>
      <w:pPr>
        <w:pStyle w:val="ListParagraph"/>
        <w:numPr>
          <w:ilvl w:val="0"/>
          <w:numId w:val="3"/>
        </w:numPr>
        <w:spacing w:after="60" w:before="60"/>
      </w:pPr>
      <w:r>
        <w:rPr>
          <w:rFonts w:ascii="Arial" w:cs="Arial" w:eastAsia="Arial" w:hAnsi="Arial"/>
          <w:color w:val="333333"/>
          <w:sz w:val="20"/>
          <w:szCs w:val="20"/>
        </w:rPr>
        <w:t xml:space="preserve">Definizione del job description per Account Manager commerciale e avvio ricerca</w:t>
      </w:r>
    </w:p>
    <w:p>
      <w:pPr>
        <w:spacing w:after="0" w:before="80"/>
      </w:pPr>
    </w:p>
    <w:p>
      <w:pPr>
        <w:spacing w:after="100" w:before="240"/>
      </w:pPr>
      <w:r>
        <w:rPr>
          <w:rFonts w:ascii="Arial" w:cs="Arial" w:eastAsia="Arial" w:hAnsi="Arial"/>
          <w:b/>
          <w:bCs/>
          <w:color w:val="8B1A1A"/>
          <w:sz w:val="24"/>
          <w:szCs w:val="24"/>
        </w:rPr>
        <w:t xml:space="preserve">Sessioni di Follow-up Incluse nel Pacchetto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Follow-up 1 — Luglio 2026</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Verifica avanzamento Q2 · Revisione KPI · Aggiustamenti piano operativo se necessario</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Follow-up 2 — Ottobre 2026</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Check pre-audit ISO 9001 · Revisione piano commerciale · Validazione decisione acquisto CNC</w:t>
            </w:r>
          </w:p>
        </w:tc>
      </w:tr>
      <w:tr>
        <w:tc>
          <w:tcPr>
            <w:tcW w:type="dxa" w:w="3000"/>
            <w:tcBorders>
              <w:top w:val="single" w:color="CCCCCC" w:sz="4"/>
              <w:left w:val="single" w:color="CCCCCC" w:sz="4"/>
              <w:bottom w:val="single" w:color="CCCCCC" w:sz="4"/>
              <w:right w:val="single" w:color="CCCCCC" w:sz="4"/>
            </w:tcBorders>
            <w:shd w:fill="EBF2FA" w:color="auto" w:val="clear"/>
            <w:tcMar>
              <w:top w:type="dxa" w:w="80"/>
              <w:left w:type="dxa" w:w="160"/>
              <w:bottom w:type="dxa" w:w="80"/>
              <w:right w:type="dxa" w:w="160"/>
            </w:tcMar>
            <w:vAlign w:val="top"/>
          </w:tcPr>
          <w:p>
            <w:r>
              <w:rPr>
                <w:rFonts w:ascii="Arial" w:cs="Arial" w:eastAsia="Arial" w:hAnsi="Arial"/>
                <w:b/>
                <w:bCs/>
                <w:sz w:val="20"/>
                <w:szCs w:val="20"/>
              </w:rPr>
              <w:t xml:space="preserve">Follow-up 3 — Aprile 2027</w:t>
            </w:r>
          </w:p>
        </w:tc>
        <w:tc>
          <w:tcPr>
            <w:tcW w:type="dxa" w:w="6026"/>
            <w:tcBorders>
              <w:top w:val="single" w:color="CCCCCC" w:sz="4"/>
              <w:left w:val="single" w:color="CCCCCC" w:sz="4"/>
              <w:bottom w:val="single" w:color="CCCCCC" w:sz="4"/>
              <w:right w:val="single" w:color="CCCCCC" w:sz="4"/>
            </w:tcBorders>
            <w:shd w:fill="FFFFFF" w:color="auto" w:val="clear"/>
            <w:tcMar>
              <w:top w:type="dxa" w:w="80"/>
              <w:left w:type="dxa" w:w="160"/>
              <w:bottom w:type="dxa" w:w="80"/>
              <w:right w:type="dxa" w:w="160"/>
            </w:tcMar>
            <w:vAlign w:val="top"/>
          </w:tcPr>
          <w:p>
            <w:r>
              <w:rPr>
                <w:rFonts w:ascii="Arial" w:cs="Arial" w:eastAsia="Arial" w:hAnsi="Arial"/>
                <w:b w:val="false"/>
                <w:bCs w:val="false"/>
                <w:sz w:val="20"/>
                <w:szCs w:val="20"/>
              </w:rPr>
              <w:t xml:space="preserve">Revisione semestrale completa · Aggiornamento proiezioni finanziarie · Piano Q3 2027 – Q2 2028</w:t>
            </w:r>
          </w:p>
        </w:tc>
      </w:tr>
    </w:tbl>
    <w:p>
      <w:pPr>
        <w:spacing w:after="0" w:before="120"/>
      </w:pPr>
    </w:p>
    <w:p>
      <w:pPr>
        <w:pBdr>
          <w:bottom w:val="single" w:color="DDDDDD" w:sz="4"/>
        </w:pBdr>
        <w:spacing w:after="120" w:before="120"/>
      </w:pPr>
    </w:p>
    <w:p>
      <w:pPr>
        <w:spacing w:after="80" w:before="80"/>
      </w:pPr>
      <w:r>
        <w:rPr>
          <w:rFonts w:ascii="Arial" w:cs="Arial" w:eastAsia="Arial" w:hAnsi="Arial"/>
          <w:b w:val="false"/>
          <w:bCs w:val="false"/>
          <w:i/>
          <w:iCs/>
          <w:color w:val="999999"/>
          <w:sz w:val="20"/>
          <w:szCs w:val="20"/>
        </w:rPr>
        <w:t xml:space="preserve">K2-AI · Via della Competitività 24 · 20121 Milano MI · info@k2-ai.it · www.k2-ai.it</w:t>
      </w:r>
    </w:p>
    <w:p>
      <w:pPr>
        <w:spacing w:after="80" w:before="80"/>
      </w:pPr>
      <w:r>
        <w:rPr>
          <w:rFonts w:ascii="Arial" w:cs="Arial" w:eastAsia="Arial" w:hAnsi="Arial"/>
          <w:b w:val="false"/>
          <w:bCs w:val="false"/>
          <w:i/>
          <w:iCs/>
          <w:color w:val="AAAAAA"/>
          <w:sz w:val="20"/>
          <w:szCs w:val="20"/>
        </w:rPr>
        <w:t xml:space="preserve">Piano Strategico Riservato — Artigiana Italiana S.r.l. — Marco Ferretti. Non distribuire a terzi senza autorizzazione scritta.</w:t>
      </w:r>
    </w:p>
    <w:p>
      <w:pPr>
        <w:spacing w:after="80" w:before="80"/>
      </w:pPr>
      <w:r>
        <w:rPr>
          <w:rFonts w:ascii="Arial" w:cs="Arial" w:eastAsia="Arial" w:hAnsi="Arial"/>
          <w:b w:val="false"/>
          <w:bCs w:val="false"/>
          <w:i/>
          <w:iCs/>
          <w:color w:val="BBBBBB"/>
          <w:sz w:val="20"/>
          <w:szCs w:val="20"/>
        </w:rPr>
        <w:t xml:space="preserve">© 2026 K2-AI S.r.l. — Tutti i diritti riservati. I dati contenuti sono basati sulle informazioni fornite dal cliente e su fonti ritenute affidabili al momento dell'elaborazione.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jc w:val="center"/>
    </w:pPr>
    <w:r>
      <w:rPr>
        <w:rFonts w:ascii="Arial" w:cs="Arial" w:eastAsia="Arial" w:hAnsi="Arial"/>
        <w:color w:val="888888"/>
        <w:sz w:val="18"/>
        <w:szCs w:val="18"/>
      </w:rPr>
      <w:t xml:space="preserve">K2-AI · www.k2-ai.it · Documento riservato e confidenziale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jc w:val="right"/>
    </w:pPr>
    <w:r>
      <w:rPr>
        <w:rFonts w:ascii="Arial" w:cs="Arial" w:eastAsia="Arial" w:hAnsi="Arial"/>
        <w:color w:val="888888"/>
        <w:sz w:val="18"/>
        <w:szCs w:val="18"/>
      </w:rPr>
      <w:t xml:space="preserve">K2-AI — Report Aziendale · Artigiana Italiana S.r.l. · Aprile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2026-04-28T21:58:06.619Z</dcterms:created>
  <dcterms:modified xsi:type="dcterms:W3CDTF">2026-04-28T21:58:06.619Z</dcterms:modified>
</cp:coreProperties>
</file>

<file path=docProps/custom.xml><?xml version="1.0" encoding="utf-8"?>
<Properties xmlns="http://schemas.openxmlformats.org/officeDocument/2006/custom-properties" xmlns:vt="http://schemas.openxmlformats.org/officeDocument/2006/docPropsVTypes"/>
</file>