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4256F" w14:textId="62E1847F" w:rsidR="00042EDE" w:rsidRDefault="00042EDE" w:rsidP="00042EDE">
      <w:r>
        <w:t>2. Sustainability Analysis of the Food Supply Chain Industry</w:t>
      </w:r>
      <w:r>
        <w:t>.</w:t>
      </w:r>
    </w:p>
    <w:p w14:paraId="06CC85FF" w14:textId="77777777" w:rsidR="00E33D66" w:rsidRDefault="00E33D66" w:rsidP="00042EDE"/>
    <w:p w14:paraId="4F8C360C" w14:textId="3F59F06C" w:rsidR="00042EDE" w:rsidRDefault="00042EDE" w:rsidP="00042EDE">
      <w:r>
        <w:t>The sustainability analysis of the food supply chain industry reveals a pressing need for transformative measures to address environmental, economic, and social challenges. In recent years, the industry has faced heightened scrutiny due to concerns about excessive food wastage, overreliance on resource-intensive practices, and the environmental impact of long-distance transportation. Agricultural practices often involve the use of chemical inputs and large-scale monoculture, contributing to soil degradation and biodiversity loss.</w:t>
      </w:r>
    </w:p>
    <w:p w14:paraId="5F1EC8C6" w14:textId="78693553" w:rsidR="00042EDE" w:rsidRDefault="00042EDE" w:rsidP="00042EDE">
      <w:r>
        <w:t>Moreover, the carbon footprint associated with the transportation and distribution of food products across vast distances contributes significantly to greenhouse gas emissions. In terms of social equity, small-scale farmers often face economic challenges and lack access to fair markets.</w:t>
      </w:r>
    </w:p>
    <w:p w14:paraId="5D67C264" w14:textId="718653C7" w:rsidR="00042EDE" w:rsidRDefault="00042EDE" w:rsidP="00042EDE">
      <w:r>
        <w:t>However, amid these challenges, there is a growing awareness and momentum towards sustainability within the industry. Initiatives such as local sourcing, waste reduction, and community engagement are gaining prominence. Companies are increasingly adopting sustainable sourcing practices, supporting local producers, and implementing innovative strategies to minimize food waste.</w:t>
      </w:r>
      <w:r>
        <w:t xml:space="preserve"> W</w:t>
      </w:r>
      <w:r>
        <w:t>hile the food supply chain industry faces considerable sustainability challenges, there is a promising shift towards more responsible and environmentally conscious practices. Embracing these sustainable initiatives can not only mitigate negative environmental and social impacts but also foster a more resilient and equitable food supply chain for the future.</w:t>
      </w:r>
    </w:p>
    <w:p w14:paraId="527D3DC7" w14:textId="77777777" w:rsidR="00042EDE" w:rsidRDefault="00042EDE" w:rsidP="00042EDE"/>
    <w:p w14:paraId="663D0031" w14:textId="77777777" w:rsidR="00042EDE" w:rsidRDefault="00042EDE" w:rsidP="00042EDE">
      <w:r>
        <w:t>2.1 Economic Efficiency: Metrics and Indicators</w:t>
      </w:r>
    </w:p>
    <w:p w14:paraId="07A16719" w14:textId="77777777" w:rsidR="00042EDE" w:rsidRDefault="00042EDE" w:rsidP="00042EDE">
      <w:pPr>
        <w:pStyle w:val="ListParagraph"/>
        <w:numPr>
          <w:ilvl w:val="0"/>
          <w:numId w:val="1"/>
        </w:numPr>
      </w:pPr>
      <w:r>
        <w:t>Cost Savings: Measure the reduction in operational costs through sustainable practices and waste reduction.</w:t>
      </w:r>
    </w:p>
    <w:p w14:paraId="55FCE832" w14:textId="77777777" w:rsidR="00042EDE" w:rsidRDefault="00042EDE" w:rsidP="00042EDE">
      <w:pPr>
        <w:pStyle w:val="ListParagraph"/>
        <w:numPr>
          <w:ilvl w:val="0"/>
          <w:numId w:val="1"/>
        </w:numPr>
      </w:pPr>
      <w:r>
        <w:t>Local Economic Impact: Assess the economic contribution to the local community, including job creation and support for local businesses.</w:t>
      </w:r>
    </w:p>
    <w:p w14:paraId="13DF65FC" w14:textId="6264B641" w:rsidR="00042EDE" w:rsidRDefault="00042EDE" w:rsidP="00042EDE">
      <w:pPr>
        <w:pStyle w:val="ListParagraph"/>
        <w:numPr>
          <w:ilvl w:val="0"/>
          <w:numId w:val="1"/>
        </w:numPr>
      </w:pPr>
      <w:r>
        <w:t>Resource Utilization Efficiency: Evaluate how efficiently resources such as energy, water, and raw materials are utilized in the supply chain.</w:t>
      </w:r>
    </w:p>
    <w:p w14:paraId="4D3D5515" w14:textId="77777777" w:rsidR="00042EDE" w:rsidRDefault="00042EDE" w:rsidP="00042EDE">
      <w:r>
        <w:t>2.2 Social Equity: Metrics and Indicators</w:t>
      </w:r>
    </w:p>
    <w:p w14:paraId="2555D7E9" w14:textId="77777777" w:rsidR="00042EDE" w:rsidRDefault="00042EDE" w:rsidP="00042EDE">
      <w:pPr>
        <w:pStyle w:val="ListParagraph"/>
        <w:numPr>
          <w:ilvl w:val="0"/>
          <w:numId w:val="2"/>
        </w:numPr>
      </w:pPr>
      <w:r>
        <w:t>Community Engagement: Measure the level of community involvement and awareness through workshops, events, and educational programs.</w:t>
      </w:r>
    </w:p>
    <w:p w14:paraId="6948D212" w14:textId="77777777" w:rsidR="00042EDE" w:rsidRDefault="00042EDE" w:rsidP="00042EDE">
      <w:pPr>
        <w:pStyle w:val="ListParagraph"/>
        <w:numPr>
          <w:ilvl w:val="0"/>
          <w:numId w:val="2"/>
        </w:numPr>
      </w:pPr>
      <w:r>
        <w:t>Fair Trade Practices: Evaluate adherence to fair trade principles, ensuring equitable treatment of suppliers and local producers.</w:t>
      </w:r>
    </w:p>
    <w:p w14:paraId="6BCD207D" w14:textId="29AFE0DF" w:rsidR="00042EDE" w:rsidRDefault="00042EDE" w:rsidP="00042EDE">
      <w:pPr>
        <w:pStyle w:val="ListParagraph"/>
        <w:numPr>
          <w:ilvl w:val="0"/>
          <w:numId w:val="2"/>
        </w:numPr>
      </w:pPr>
      <w:r>
        <w:t>Employee Satisfaction: Assess employee satisfaction through surveys, turnover rates, and feedback mechanisms to gauge the social impact within the organization.</w:t>
      </w:r>
    </w:p>
    <w:p w14:paraId="44F5D514" w14:textId="77777777" w:rsidR="00042EDE" w:rsidRDefault="00042EDE" w:rsidP="00042EDE">
      <w:r>
        <w:t>2.3 Environmental Accountability: Metrics and Indicators</w:t>
      </w:r>
    </w:p>
    <w:p w14:paraId="746AB9FA" w14:textId="77777777" w:rsidR="00042EDE" w:rsidRDefault="00042EDE" w:rsidP="00042EDE">
      <w:pPr>
        <w:pStyle w:val="ListParagraph"/>
        <w:numPr>
          <w:ilvl w:val="0"/>
          <w:numId w:val="3"/>
        </w:numPr>
      </w:pPr>
      <w:r>
        <w:t>Carbon Footprint: Measure the greenhouse gas emissions associated with transportation, production, and distribution processes.</w:t>
      </w:r>
    </w:p>
    <w:p w14:paraId="3D6DA534" w14:textId="77777777" w:rsidR="00042EDE" w:rsidRDefault="00042EDE" w:rsidP="00042EDE">
      <w:pPr>
        <w:pStyle w:val="ListParagraph"/>
        <w:numPr>
          <w:ilvl w:val="0"/>
          <w:numId w:val="3"/>
        </w:numPr>
      </w:pPr>
      <w:r>
        <w:lastRenderedPageBreak/>
        <w:t>Waste Reduction: Track the percentage reduction in overall waste, including food waste and packaging materials.</w:t>
      </w:r>
    </w:p>
    <w:p w14:paraId="4AF16595" w14:textId="32679F9F" w:rsidR="00042EDE" w:rsidRDefault="00042EDE" w:rsidP="00042EDE">
      <w:pPr>
        <w:pStyle w:val="ListParagraph"/>
        <w:numPr>
          <w:ilvl w:val="0"/>
          <w:numId w:val="3"/>
        </w:numPr>
      </w:pPr>
      <w:r>
        <w:t>Biodiversity Impact: Assess the impact on local biodiversity, including measures to prevent habitat destruction and chemical pollution.</w:t>
      </w:r>
    </w:p>
    <w:p w14:paraId="4B23B46F" w14:textId="77777777" w:rsidR="00E33D66" w:rsidRDefault="00E33D66" w:rsidP="00E33D66"/>
    <w:p w14:paraId="5FB23CBF" w14:textId="1F9B8543" w:rsidR="00E33D66" w:rsidRDefault="00E33D66" w:rsidP="00E33D66">
      <w:r>
        <w:rPr>
          <w:noProof/>
        </w:rPr>
        <w:drawing>
          <wp:inline distT="0" distB="0" distL="0" distR="0" wp14:anchorId="2C540D2B" wp14:editId="6F3D2CF3">
            <wp:extent cx="6390675" cy="5741365"/>
            <wp:effectExtent l="0" t="0" r="0" b="0"/>
            <wp:docPr id="121264512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45129" name="Picture 1" descr="A screen 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1793" cy="5751354"/>
                    </a:xfrm>
                    <a:prstGeom prst="rect">
                      <a:avLst/>
                    </a:prstGeom>
                  </pic:spPr>
                </pic:pic>
              </a:graphicData>
            </a:graphic>
          </wp:inline>
        </w:drawing>
      </w:r>
    </w:p>
    <w:p w14:paraId="14E8CEC6" w14:textId="77777777" w:rsidR="00042EDE" w:rsidRDefault="00042EDE" w:rsidP="00042EDE">
      <w:pPr>
        <w:pStyle w:val="ListParagraph"/>
      </w:pPr>
    </w:p>
    <w:p w14:paraId="331BA217" w14:textId="77777777" w:rsidR="00E33D66" w:rsidRDefault="00E33D66" w:rsidP="00042EDE"/>
    <w:p w14:paraId="4043A175" w14:textId="77777777" w:rsidR="00E33D66" w:rsidRDefault="00E33D66" w:rsidP="00042EDE"/>
    <w:p w14:paraId="79A044E5" w14:textId="77777777" w:rsidR="00E33D66" w:rsidRDefault="00E33D66" w:rsidP="00042EDE"/>
    <w:p w14:paraId="38EC9314" w14:textId="3E4D3EAD" w:rsidR="00867679" w:rsidRDefault="00042EDE" w:rsidP="00042EDE">
      <w:r>
        <w:lastRenderedPageBreak/>
        <w:t>2.4 Industry Analysis: Strengths, Weaknesses, Opportunities, and Threats (SWOT)</w:t>
      </w:r>
    </w:p>
    <w:p w14:paraId="001DC330" w14:textId="77777777" w:rsidR="00042EDE" w:rsidRDefault="00042EDE" w:rsidP="00042EDE"/>
    <w:p w14:paraId="1BA92526" w14:textId="6310A9B8" w:rsidR="00E33D66" w:rsidRDefault="00E33D66" w:rsidP="00042EDE">
      <w:r>
        <w:rPr>
          <w:noProof/>
        </w:rPr>
        <w:drawing>
          <wp:inline distT="0" distB="0" distL="0" distR="0" wp14:anchorId="114BD2BC" wp14:editId="55E06457">
            <wp:extent cx="6448425" cy="4162425"/>
            <wp:effectExtent l="38100" t="0" r="47625" b="0"/>
            <wp:docPr id="114016183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363660D" w14:textId="31C72A1F" w:rsidR="00042EDE" w:rsidRDefault="00042EDE" w:rsidP="00042EDE">
      <w:r w:rsidRPr="00B729DF">
        <w:rPr>
          <w:b/>
          <w:bCs/>
        </w:rPr>
        <w:t>Strengths</w:t>
      </w:r>
      <w:r>
        <w:t>:</w:t>
      </w:r>
    </w:p>
    <w:p w14:paraId="54D16D74" w14:textId="33132F1F" w:rsidR="00042EDE" w:rsidRDefault="00B729DF" w:rsidP="00B729DF">
      <w:pPr>
        <w:pStyle w:val="ListParagraph"/>
        <w:numPr>
          <w:ilvl w:val="0"/>
          <w:numId w:val="4"/>
        </w:numPr>
        <w:jc w:val="both"/>
      </w:pPr>
      <w:r>
        <w:t>T</w:t>
      </w:r>
      <w:r w:rsidRPr="00B729DF">
        <w:t>he food supply chain industry exhibits notable strengths in response to evolving market dynamics and societal preferences. There is a discernible rise in consumer demand for sustainable and locally sourced products, indicating a shifting consciousness towards environmentally friendly choices. The industry's heightened awareness of environmental and social issues further strengthens its position by fostering a commitment to responsible practices. Moreover, the potential for cost savings through streamlined and efficient supply chain practices positions the industry as not only responsive to ethical concerns but also economically viable. These strengths collectively pave the way for a more sustainable, conscientious, and economically resilient food supply chain sector.</w:t>
      </w:r>
    </w:p>
    <w:p w14:paraId="7B6CEC21" w14:textId="71B8BA2D" w:rsidR="00042EDE" w:rsidRDefault="00042EDE" w:rsidP="00042EDE">
      <w:r w:rsidRPr="00B729DF">
        <w:rPr>
          <w:b/>
          <w:bCs/>
        </w:rPr>
        <w:t>Weaknesses</w:t>
      </w:r>
      <w:r>
        <w:t>:</w:t>
      </w:r>
    </w:p>
    <w:p w14:paraId="355C77C2" w14:textId="68180416" w:rsidR="00042EDE" w:rsidRDefault="00B729DF" w:rsidP="00B729DF">
      <w:pPr>
        <w:pStyle w:val="ListParagraph"/>
        <w:numPr>
          <w:ilvl w:val="0"/>
          <w:numId w:val="5"/>
        </w:numPr>
        <w:jc w:val="both"/>
      </w:pPr>
      <w:r w:rsidRPr="00B729DF">
        <w:t xml:space="preserve">The food supply chain industry grapples with inherent weaknesses that hinder the seamless integration of sustainable practices. Notably, there exists a resistance to change entrenched within established industry practices, posing a challenge to the adoption of innovative and sustainable approaches. The industry also faces financial hurdles, as the initial investment costs for implementing sustainable sourcing and waste reduction measures can be substantial. Additionally, </w:t>
      </w:r>
      <w:r w:rsidRPr="00B729DF">
        <w:lastRenderedPageBreak/>
        <w:t>a lack of standardized metrics and guidelines for sustainability creates a barrier to consistent evaluation and benchmarking across the industry, hindering efforts to measure and improve environmental and social impact. Addressing these weaknesses is crucial to unlocking the full potential of a sustainable and resilient food supply chain.</w:t>
      </w:r>
    </w:p>
    <w:p w14:paraId="252C1BF6" w14:textId="03ECCFF7" w:rsidR="00042EDE" w:rsidRDefault="00042EDE" w:rsidP="00042EDE">
      <w:r w:rsidRPr="00B729DF">
        <w:rPr>
          <w:b/>
          <w:bCs/>
        </w:rPr>
        <w:t>Opportunities</w:t>
      </w:r>
      <w:r>
        <w:t>:</w:t>
      </w:r>
    </w:p>
    <w:p w14:paraId="60C14F02" w14:textId="7F774559" w:rsidR="00B729DF" w:rsidRDefault="00B729DF" w:rsidP="00042EDE">
      <w:pPr>
        <w:pStyle w:val="ListParagraph"/>
        <w:numPr>
          <w:ilvl w:val="0"/>
          <w:numId w:val="5"/>
        </w:numPr>
        <w:jc w:val="both"/>
      </w:pPr>
      <w:r w:rsidRPr="00B729DF">
        <w:t xml:space="preserve">The food supply chain industry presents promising opportunities that align with evolving consumer preferences and global trends. One significant avenue for growth lies in the expansion of consumer markets for sustainably sourced products. As environmentally conscious consumers seek ethical and eco-friendly choices, there is an opportunity for </w:t>
      </w:r>
      <w:r w:rsidRPr="00B729DF">
        <w:t>industry</w:t>
      </w:r>
      <w:r w:rsidRPr="00B729DF">
        <w:t xml:space="preserve"> to cater to this demand and capture new markets. Collaborative initiatives with local communities and organizations present another opportunity, fostering stronger social ties and promoting shared values. Furthermore, embracing innovation in packaging and distribution methods offers the potential to significantly reduce the industry's environmental footprint, aligning with sustainability goals and enhancing overall efficiency. These opportunities position the food supply chain industry to thrive in a rapidly changing market landscape.</w:t>
      </w:r>
    </w:p>
    <w:p w14:paraId="00E8B441" w14:textId="4DFC3D1D" w:rsidR="00042EDE" w:rsidRDefault="00042EDE" w:rsidP="00042EDE">
      <w:r w:rsidRPr="00B729DF">
        <w:rPr>
          <w:b/>
          <w:bCs/>
        </w:rPr>
        <w:t>Threats</w:t>
      </w:r>
      <w:r>
        <w:t>:</w:t>
      </w:r>
    </w:p>
    <w:p w14:paraId="435A8759" w14:textId="252001E1" w:rsidR="00042EDE" w:rsidRDefault="00B729DF" w:rsidP="00B729DF">
      <w:pPr>
        <w:pStyle w:val="ListParagraph"/>
        <w:numPr>
          <w:ilvl w:val="0"/>
          <w:numId w:val="5"/>
        </w:numPr>
        <w:jc w:val="both"/>
      </w:pPr>
      <w:r w:rsidRPr="00B729DF">
        <w:t>The food supply chain industry faces notable threats that require strategic adaptation. External pressures, including shifting regulations and evolving consumer preferences, pose challenges to established practices. Supply chain disruptions stemming from climate change or geopolitical factors present operational vulnerabilities. Additionally, the industry contends with the threat of competition from conventional practices perceived as more cost-effective in the short term. Navigating these threats demands agility and a proactive approach to ensure resilience and sustained relevance in a dynamic marketplace.</w:t>
      </w:r>
    </w:p>
    <w:p w14:paraId="5D55CC41" w14:textId="77777777" w:rsidR="00B729DF" w:rsidRDefault="00B729DF" w:rsidP="00B729DF">
      <w:pPr>
        <w:jc w:val="both"/>
      </w:pPr>
    </w:p>
    <w:p w14:paraId="759C2BE5" w14:textId="77777777" w:rsidR="00B729DF" w:rsidRDefault="00B729DF" w:rsidP="00B729DF">
      <w:pPr>
        <w:jc w:val="both"/>
      </w:pPr>
    </w:p>
    <w:p w14:paraId="22BF20CA" w14:textId="7A7BC117" w:rsidR="00042EDE" w:rsidRDefault="00042EDE" w:rsidP="00042EDE">
      <w:r w:rsidRPr="00042EDE">
        <w:t>This comprehensive set of metrics and SWOT analysis provides a framework for evaluating and improving economic efficiency, social equity, and environmental accountability within the food supply chain industry. Monitoring these indicators and addressing the corresponding SWOT factors will contribute to the overall sustainability and resilience of the industry.</w:t>
      </w:r>
    </w:p>
    <w:p w14:paraId="20AED7A0" w14:textId="77777777" w:rsidR="00E33D66" w:rsidRDefault="00E33D66" w:rsidP="00042EDE"/>
    <w:p w14:paraId="11124304" w14:textId="77777777" w:rsidR="00E33D66" w:rsidRDefault="00E33D66" w:rsidP="00042EDE"/>
    <w:p w14:paraId="4923273C" w14:textId="491842A1" w:rsidR="00E33D66" w:rsidRDefault="00E33D66" w:rsidP="00042EDE">
      <w:r>
        <w:t>References</w:t>
      </w:r>
    </w:p>
    <w:p w14:paraId="7D50845E" w14:textId="77777777" w:rsidR="00E33D66" w:rsidRDefault="00E33D66" w:rsidP="00042EDE"/>
    <w:p w14:paraId="4B510B79" w14:textId="11EAF54E" w:rsidR="00E33D66" w:rsidRDefault="00E33D66" w:rsidP="00042EDE">
      <w:hyperlink r:id="rId11" w:history="1">
        <w:r>
          <w:rPr>
            <w:rStyle w:val="Hyperlink"/>
          </w:rPr>
          <w:t>You want to reduce the carbon footprint of your food? Focus on what you eat, not whether your food is local - Our World in Data</w:t>
        </w:r>
      </w:hyperlink>
    </w:p>
    <w:p w14:paraId="656049B8" w14:textId="77777777" w:rsidR="00E33D66" w:rsidRDefault="00E33D66" w:rsidP="00042EDE"/>
    <w:sectPr w:rsidR="00E3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7EB"/>
    <w:multiLevelType w:val="hybridMultilevel"/>
    <w:tmpl w:val="9D2C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17D03"/>
    <w:multiLevelType w:val="hybridMultilevel"/>
    <w:tmpl w:val="42BC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F18B4"/>
    <w:multiLevelType w:val="hybridMultilevel"/>
    <w:tmpl w:val="AF9C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97608"/>
    <w:multiLevelType w:val="hybridMultilevel"/>
    <w:tmpl w:val="BF5A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5413E"/>
    <w:multiLevelType w:val="hybridMultilevel"/>
    <w:tmpl w:val="7080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E5D57"/>
    <w:multiLevelType w:val="hybridMultilevel"/>
    <w:tmpl w:val="2AB4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E26FB"/>
    <w:multiLevelType w:val="hybridMultilevel"/>
    <w:tmpl w:val="5BA0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497172">
    <w:abstractNumId w:val="4"/>
  </w:num>
  <w:num w:numId="2" w16cid:durableId="298196152">
    <w:abstractNumId w:val="0"/>
  </w:num>
  <w:num w:numId="3" w16cid:durableId="772474482">
    <w:abstractNumId w:val="6"/>
  </w:num>
  <w:num w:numId="4" w16cid:durableId="1581795629">
    <w:abstractNumId w:val="1"/>
  </w:num>
  <w:num w:numId="5" w16cid:durableId="1134757916">
    <w:abstractNumId w:val="3"/>
  </w:num>
  <w:num w:numId="6" w16cid:durableId="694499430">
    <w:abstractNumId w:val="5"/>
  </w:num>
  <w:num w:numId="7" w16cid:durableId="300960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DE"/>
    <w:rsid w:val="00042EDE"/>
    <w:rsid w:val="002E1D76"/>
    <w:rsid w:val="00731B5A"/>
    <w:rsid w:val="00867679"/>
    <w:rsid w:val="00B729DF"/>
    <w:rsid w:val="00E33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9EFA"/>
  <w15:chartTrackingRefBased/>
  <w15:docId w15:val="{6D95CB43-E96B-47AA-AAB3-D755D430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EDE"/>
    <w:pPr>
      <w:ind w:left="720"/>
      <w:contextualSpacing/>
    </w:pPr>
  </w:style>
  <w:style w:type="character" w:styleId="Hyperlink">
    <w:name w:val="Hyperlink"/>
    <w:basedOn w:val="DefaultParagraphFont"/>
    <w:uiPriority w:val="99"/>
    <w:semiHidden/>
    <w:unhideWhenUsed/>
    <w:rsid w:val="00E33D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ourworldindata.org/food-choice-vs-eating-local" TargetMode="Externa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0CAEEF-134D-413D-A9C4-5A3DAB3857B1}" type="doc">
      <dgm:prSet loTypeId="urn:microsoft.com/office/officeart/2005/8/layout/default" loCatId="list" qsTypeId="urn:microsoft.com/office/officeart/2005/8/quickstyle/simple1" qsCatId="simple" csTypeId="urn:microsoft.com/office/officeart/2005/8/colors/colorful5" csCatId="colorful" phldr="1"/>
      <dgm:spPr/>
      <dgm:t>
        <a:bodyPr/>
        <a:lstStyle/>
        <a:p>
          <a:endParaRPr lang="en-US"/>
        </a:p>
      </dgm:t>
    </dgm:pt>
    <dgm:pt modelId="{90AAF067-CBD2-4613-AECC-87638CDBE172}">
      <dgm:prSet phldrT="[Text]"/>
      <dgm:spPr/>
      <dgm:t>
        <a:bodyPr/>
        <a:lstStyle/>
        <a:p>
          <a:r>
            <a:rPr lang="en-US"/>
            <a:t>Strengths</a:t>
          </a:r>
        </a:p>
      </dgm:t>
    </dgm:pt>
    <dgm:pt modelId="{01064606-B622-4421-A670-4E8E5E92AFD0}" type="parTrans" cxnId="{9F9926D5-B368-487C-BC9F-406FF6DC3556}">
      <dgm:prSet/>
      <dgm:spPr/>
      <dgm:t>
        <a:bodyPr/>
        <a:lstStyle/>
        <a:p>
          <a:endParaRPr lang="en-US"/>
        </a:p>
      </dgm:t>
    </dgm:pt>
    <dgm:pt modelId="{3826F5B7-CE70-4B1E-AD34-B9DFCB7046D4}" type="sibTrans" cxnId="{9F9926D5-B368-487C-BC9F-406FF6DC3556}">
      <dgm:prSet/>
      <dgm:spPr/>
      <dgm:t>
        <a:bodyPr/>
        <a:lstStyle/>
        <a:p>
          <a:endParaRPr lang="en-US"/>
        </a:p>
      </dgm:t>
    </dgm:pt>
    <dgm:pt modelId="{1E0B001F-C3F8-46AD-8103-E16852A96E47}">
      <dgm:prSet phldrT="[Text]"/>
      <dgm:spPr/>
      <dgm:t>
        <a:bodyPr/>
        <a:lstStyle/>
        <a:p>
          <a:pPr>
            <a:buFont typeface="Symbol" panose="05050102010706020507" pitchFamily="18" charset="2"/>
            <a:buChar char=""/>
          </a:pPr>
          <a:r>
            <a:rPr lang="en-US"/>
            <a:t>Increasing consumer demand for sustainable and locally sourced products.</a:t>
          </a:r>
        </a:p>
      </dgm:t>
    </dgm:pt>
    <dgm:pt modelId="{D5AC2D51-B74B-4777-91A8-309AE1BE3BA0}" type="parTrans" cxnId="{8BA35332-DA7E-48B1-B9F3-721DBAEABEF8}">
      <dgm:prSet/>
      <dgm:spPr/>
      <dgm:t>
        <a:bodyPr/>
        <a:lstStyle/>
        <a:p>
          <a:endParaRPr lang="en-US"/>
        </a:p>
      </dgm:t>
    </dgm:pt>
    <dgm:pt modelId="{FDC3A651-F8B0-4036-9B8D-E0C35E760377}" type="sibTrans" cxnId="{8BA35332-DA7E-48B1-B9F3-721DBAEABEF8}">
      <dgm:prSet/>
      <dgm:spPr/>
      <dgm:t>
        <a:bodyPr/>
        <a:lstStyle/>
        <a:p>
          <a:endParaRPr lang="en-US"/>
        </a:p>
      </dgm:t>
    </dgm:pt>
    <dgm:pt modelId="{B5594418-3A51-4201-9F10-D574307E6E5C}">
      <dgm:prSet phldrT="[Text]"/>
      <dgm:spPr/>
      <dgm:t>
        <a:bodyPr/>
        <a:lstStyle/>
        <a:p>
          <a:pPr>
            <a:buFont typeface="Symbol" panose="05050102010706020507" pitchFamily="18" charset="2"/>
            <a:buChar char=""/>
          </a:pPr>
          <a:r>
            <a:rPr lang="en-US"/>
            <a:t>Growing awareness of environmental and social issues within the industry.</a:t>
          </a:r>
        </a:p>
      </dgm:t>
    </dgm:pt>
    <dgm:pt modelId="{A1623DBC-07E3-4C16-B507-D64E493D4F8F}" type="parTrans" cxnId="{7D11F716-00E0-4BD8-B9EF-784CA7F581B1}">
      <dgm:prSet/>
      <dgm:spPr/>
      <dgm:t>
        <a:bodyPr/>
        <a:lstStyle/>
        <a:p>
          <a:endParaRPr lang="en-US"/>
        </a:p>
      </dgm:t>
    </dgm:pt>
    <dgm:pt modelId="{9F970970-D0A8-41B4-82DF-585F00362C81}" type="sibTrans" cxnId="{7D11F716-00E0-4BD8-B9EF-784CA7F581B1}">
      <dgm:prSet/>
      <dgm:spPr/>
      <dgm:t>
        <a:bodyPr/>
        <a:lstStyle/>
        <a:p>
          <a:endParaRPr lang="en-US"/>
        </a:p>
      </dgm:t>
    </dgm:pt>
    <dgm:pt modelId="{3ACED0B6-50BE-4080-8A47-23FF5D71BE50}">
      <dgm:prSet phldrT="[Text]"/>
      <dgm:spPr/>
      <dgm:t>
        <a:bodyPr/>
        <a:lstStyle/>
        <a:p>
          <a:r>
            <a:rPr lang="en-US"/>
            <a:t>Weaknesses</a:t>
          </a:r>
        </a:p>
      </dgm:t>
    </dgm:pt>
    <dgm:pt modelId="{7F117AC0-A7B2-483B-B6DF-1D3D3208F6C3}" type="parTrans" cxnId="{16E53BFE-E1B8-48C1-B681-36C9F8846492}">
      <dgm:prSet/>
      <dgm:spPr/>
      <dgm:t>
        <a:bodyPr/>
        <a:lstStyle/>
        <a:p>
          <a:endParaRPr lang="en-US"/>
        </a:p>
      </dgm:t>
    </dgm:pt>
    <dgm:pt modelId="{B9DB3854-9810-4947-8A9B-35EA2527373A}" type="sibTrans" cxnId="{16E53BFE-E1B8-48C1-B681-36C9F8846492}">
      <dgm:prSet/>
      <dgm:spPr/>
      <dgm:t>
        <a:bodyPr/>
        <a:lstStyle/>
        <a:p>
          <a:endParaRPr lang="en-US"/>
        </a:p>
      </dgm:t>
    </dgm:pt>
    <dgm:pt modelId="{2F844B9E-DF85-44A5-A234-405EE9060758}">
      <dgm:prSet phldrT="[Text]"/>
      <dgm:spPr/>
      <dgm:t>
        <a:bodyPr/>
        <a:lstStyle/>
        <a:p>
          <a:r>
            <a:rPr lang="en-US"/>
            <a:t>Resistance to change within established industry practices.</a:t>
          </a:r>
        </a:p>
      </dgm:t>
    </dgm:pt>
    <dgm:pt modelId="{5B8648C6-28C0-45C5-9DA5-062AF533E65A}" type="parTrans" cxnId="{D3E4C754-958B-45EF-994A-B65A80A33689}">
      <dgm:prSet/>
      <dgm:spPr/>
      <dgm:t>
        <a:bodyPr/>
        <a:lstStyle/>
        <a:p>
          <a:endParaRPr lang="en-US"/>
        </a:p>
      </dgm:t>
    </dgm:pt>
    <dgm:pt modelId="{D69AFADC-9633-4C67-BAD2-AD0F544AC529}" type="sibTrans" cxnId="{D3E4C754-958B-45EF-994A-B65A80A33689}">
      <dgm:prSet/>
      <dgm:spPr/>
      <dgm:t>
        <a:bodyPr/>
        <a:lstStyle/>
        <a:p>
          <a:endParaRPr lang="en-US"/>
        </a:p>
      </dgm:t>
    </dgm:pt>
    <dgm:pt modelId="{306B0589-77B6-43F8-9AC6-1FD1CED6BAE4}">
      <dgm:prSet phldrT="[Text]"/>
      <dgm:spPr/>
      <dgm:t>
        <a:bodyPr/>
        <a:lstStyle/>
        <a:p>
          <a:r>
            <a:rPr lang="en-US"/>
            <a:t>Opportunities</a:t>
          </a:r>
        </a:p>
      </dgm:t>
    </dgm:pt>
    <dgm:pt modelId="{2F5BA9C7-00D8-44E4-8CCF-BB7CF3643AC7}" type="parTrans" cxnId="{AD653858-719E-4FD5-A4DE-DD8619D02E09}">
      <dgm:prSet/>
      <dgm:spPr/>
      <dgm:t>
        <a:bodyPr/>
        <a:lstStyle/>
        <a:p>
          <a:endParaRPr lang="en-US"/>
        </a:p>
      </dgm:t>
    </dgm:pt>
    <dgm:pt modelId="{A0052812-3A82-4C86-84E9-8DE698150F70}" type="sibTrans" cxnId="{AD653858-719E-4FD5-A4DE-DD8619D02E09}">
      <dgm:prSet/>
      <dgm:spPr/>
      <dgm:t>
        <a:bodyPr/>
        <a:lstStyle/>
        <a:p>
          <a:endParaRPr lang="en-US"/>
        </a:p>
      </dgm:t>
    </dgm:pt>
    <dgm:pt modelId="{C2646B4C-A59D-4EDF-A598-4E55EAB10BA1}">
      <dgm:prSet phldrT="[Text]"/>
      <dgm:spPr/>
      <dgm:t>
        <a:bodyPr/>
        <a:lstStyle/>
        <a:p>
          <a:r>
            <a:rPr lang="en-US"/>
            <a:t>Expansion of consumer markets for sustainably sourced products.</a:t>
          </a:r>
        </a:p>
      </dgm:t>
    </dgm:pt>
    <dgm:pt modelId="{71CBAE0A-7C21-4AF1-AB81-24C4E657FF8F}" type="parTrans" cxnId="{71FE1374-7A46-49C7-BABF-E9ABBEB73833}">
      <dgm:prSet/>
      <dgm:spPr/>
      <dgm:t>
        <a:bodyPr/>
        <a:lstStyle/>
        <a:p>
          <a:endParaRPr lang="en-US"/>
        </a:p>
      </dgm:t>
    </dgm:pt>
    <dgm:pt modelId="{ABB5EE64-71C8-4BF8-91C4-F45E988CC70D}" type="sibTrans" cxnId="{71FE1374-7A46-49C7-BABF-E9ABBEB73833}">
      <dgm:prSet/>
      <dgm:spPr/>
      <dgm:t>
        <a:bodyPr/>
        <a:lstStyle/>
        <a:p>
          <a:endParaRPr lang="en-US"/>
        </a:p>
      </dgm:t>
    </dgm:pt>
    <dgm:pt modelId="{F35A7D91-4068-4EA5-8058-9AF273C036F8}">
      <dgm:prSet phldrT="[Text]"/>
      <dgm:spPr/>
      <dgm:t>
        <a:bodyPr/>
        <a:lstStyle/>
        <a:p>
          <a:pPr>
            <a:buFont typeface="Symbol" panose="05050102010706020507" pitchFamily="18" charset="2"/>
            <a:buChar char=""/>
          </a:pPr>
          <a:r>
            <a:rPr lang="en-US"/>
            <a:t>Collaborative initiatives with local communities and organizations to strengthen social ties.</a:t>
          </a:r>
        </a:p>
      </dgm:t>
    </dgm:pt>
    <dgm:pt modelId="{0E65DB80-847D-4E1C-AAA1-69C6A613D93A}" type="parTrans" cxnId="{901E62FB-BC81-4EB1-A7B3-F6600497E9F3}">
      <dgm:prSet/>
      <dgm:spPr/>
      <dgm:t>
        <a:bodyPr/>
        <a:lstStyle/>
        <a:p>
          <a:endParaRPr lang="en-US"/>
        </a:p>
      </dgm:t>
    </dgm:pt>
    <dgm:pt modelId="{B219B383-0E33-458E-9A21-F3A668C2E312}" type="sibTrans" cxnId="{901E62FB-BC81-4EB1-A7B3-F6600497E9F3}">
      <dgm:prSet/>
      <dgm:spPr/>
      <dgm:t>
        <a:bodyPr/>
        <a:lstStyle/>
        <a:p>
          <a:endParaRPr lang="en-US"/>
        </a:p>
      </dgm:t>
    </dgm:pt>
    <dgm:pt modelId="{FED679EF-126E-4DC6-A133-6C570691A7AA}">
      <dgm:prSet phldrT="[Text]"/>
      <dgm:spPr/>
      <dgm:t>
        <a:bodyPr/>
        <a:lstStyle/>
        <a:p>
          <a:pPr>
            <a:buFont typeface="Symbol" panose="05050102010706020507" pitchFamily="18" charset="2"/>
            <a:buChar char=""/>
          </a:pPr>
          <a:r>
            <a:rPr lang="en-US"/>
            <a:t>Potential for cost savings through streamlined and efficient supply chain practices.</a:t>
          </a:r>
        </a:p>
      </dgm:t>
    </dgm:pt>
    <dgm:pt modelId="{D0783434-BC5C-4218-82DD-EBC963BF0168}" type="parTrans" cxnId="{DE60DA85-FFF9-42A6-92B0-1B582AEB557E}">
      <dgm:prSet/>
      <dgm:spPr/>
      <dgm:t>
        <a:bodyPr/>
        <a:lstStyle/>
        <a:p>
          <a:endParaRPr lang="en-US"/>
        </a:p>
      </dgm:t>
    </dgm:pt>
    <dgm:pt modelId="{4F695430-5EDF-4F86-BD8D-0768BA05F3D7}" type="sibTrans" cxnId="{DE60DA85-FFF9-42A6-92B0-1B582AEB557E}">
      <dgm:prSet/>
      <dgm:spPr/>
      <dgm:t>
        <a:bodyPr/>
        <a:lstStyle/>
        <a:p>
          <a:endParaRPr lang="en-US"/>
        </a:p>
      </dgm:t>
    </dgm:pt>
    <dgm:pt modelId="{B58F7DAC-4AFA-4748-8E10-32847D24A0FC}">
      <dgm:prSet phldrT="[Text]"/>
      <dgm:spPr/>
      <dgm:t>
        <a:bodyPr/>
        <a:lstStyle/>
        <a:p>
          <a:pPr>
            <a:buFont typeface="Symbol" panose="05050102010706020507" pitchFamily="18" charset="2"/>
            <a:buChar char=""/>
          </a:pPr>
          <a:r>
            <a:rPr lang="en-US"/>
            <a:t>Initial investment costs for implementing sustainable sourcing and waste reduction measures.</a:t>
          </a:r>
        </a:p>
      </dgm:t>
    </dgm:pt>
    <dgm:pt modelId="{CB197FBC-C71B-4A86-96E9-5089074CDEA9}" type="parTrans" cxnId="{AD2F6356-E0C6-41C3-BAC0-AEE52010F8E2}">
      <dgm:prSet/>
      <dgm:spPr/>
      <dgm:t>
        <a:bodyPr/>
        <a:lstStyle/>
        <a:p>
          <a:endParaRPr lang="en-US"/>
        </a:p>
      </dgm:t>
    </dgm:pt>
    <dgm:pt modelId="{2528395B-5F85-4EDB-832D-6CBF2588ED32}" type="sibTrans" cxnId="{AD2F6356-E0C6-41C3-BAC0-AEE52010F8E2}">
      <dgm:prSet/>
      <dgm:spPr/>
      <dgm:t>
        <a:bodyPr/>
        <a:lstStyle/>
        <a:p>
          <a:endParaRPr lang="en-US"/>
        </a:p>
      </dgm:t>
    </dgm:pt>
    <dgm:pt modelId="{185D2649-5075-4B01-8CFE-8659E094F5B2}">
      <dgm:prSet phldrT="[Text]"/>
      <dgm:spPr/>
      <dgm:t>
        <a:bodyPr/>
        <a:lstStyle/>
        <a:p>
          <a:pPr>
            <a:buFont typeface="Symbol" panose="05050102010706020507" pitchFamily="18" charset="2"/>
            <a:buChar char=""/>
          </a:pPr>
          <a:r>
            <a:rPr lang="en-US"/>
            <a:t>Lack of standardized metrics and guidelines for sustainability in the industry.</a:t>
          </a:r>
        </a:p>
      </dgm:t>
    </dgm:pt>
    <dgm:pt modelId="{1F645685-7DDE-4DEB-8B3A-74DD48982C24}" type="parTrans" cxnId="{B3DED9BC-0459-43E8-AB04-D1746B3E1D9C}">
      <dgm:prSet/>
      <dgm:spPr/>
      <dgm:t>
        <a:bodyPr/>
        <a:lstStyle/>
        <a:p>
          <a:endParaRPr lang="en-US"/>
        </a:p>
      </dgm:t>
    </dgm:pt>
    <dgm:pt modelId="{A5137EC7-8EE1-4020-8E5B-92A5BF86009A}" type="sibTrans" cxnId="{B3DED9BC-0459-43E8-AB04-D1746B3E1D9C}">
      <dgm:prSet/>
      <dgm:spPr/>
      <dgm:t>
        <a:bodyPr/>
        <a:lstStyle/>
        <a:p>
          <a:endParaRPr lang="en-US"/>
        </a:p>
      </dgm:t>
    </dgm:pt>
    <dgm:pt modelId="{AC2A1423-D4BA-49B3-887E-ECACBDB8A5AA}">
      <dgm:prSet phldrT="[Text]"/>
      <dgm:spPr/>
      <dgm:t>
        <a:bodyPr/>
        <a:lstStyle/>
        <a:p>
          <a:r>
            <a:rPr lang="en-US"/>
            <a:t>Innovation in packaging and distribution methods to further reduce environmental impact</a:t>
          </a:r>
        </a:p>
      </dgm:t>
    </dgm:pt>
    <dgm:pt modelId="{38D46946-6C2B-464E-9D14-8C7F5EDAFEDC}" type="parTrans" cxnId="{29EDF2B3-429F-4551-961D-A214A0FF9666}">
      <dgm:prSet/>
      <dgm:spPr/>
      <dgm:t>
        <a:bodyPr/>
        <a:lstStyle/>
        <a:p>
          <a:endParaRPr lang="en-US"/>
        </a:p>
      </dgm:t>
    </dgm:pt>
    <dgm:pt modelId="{64519DFF-FCB3-4689-9D33-9463B5756E4B}" type="sibTrans" cxnId="{29EDF2B3-429F-4551-961D-A214A0FF9666}">
      <dgm:prSet/>
      <dgm:spPr/>
      <dgm:t>
        <a:bodyPr/>
        <a:lstStyle/>
        <a:p>
          <a:endParaRPr lang="en-US"/>
        </a:p>
      </dgm:t>
    </dgm:pt>
    <dgm:pt modelId="{39A5A853-E9BB-48D7-9F57-46179100FF46}">
      <dgm:prSet phldrT="[Text]"/>
      <dgm:spPr/>
      <dgm:t>
        <a:bodyPr/>
        <a:lstStyle/>
        <a:p>
          <a:r>
            <a:rPr lang="en-US"/>
            <a:t>Threats</a:t>
          </a:r>
        </a:p>
      </dgm:t>
    </dgm:pt>
    <dgm:pt modelId="{D3C7F649-062E-45C9-90D0-BB88B4A238C8}" type="parTrans" cxnId="{2C8AC550-FA0E-4271-82B6-EA2EB3ADD2DC}">
      <dgm:prSet/>
      <dgm:spPr/>
      <dgm:t>
        <a:bodyPr/>
        <a:lstStyle/>
        <a:p>
          <a:endParaRPr lang="en-US"/>
        </a:p>
      </dgm:t>
    </dgm:pt>
    <dgm:pt modelId="{741DB4D9-1FC0-4052-B05E-289ADEF0FFAD}" type="sibTrans" cxnId="{2C8AC550-FA0E-4271-82B6-EA2EB3ADD2DC}">
      <dgm:prSet/>
      <dgm:spPr/>
      <dgm:t>
        <a:bodyPr/>
        <a:lstStyle/>
        <a:p>
          <a:endParaRPr lang="en-US"/>
        </a:p>
      </dgm:t>
    </dgm:pt>
    <dgm:pt modelId="{09885891-A3F9-4AD6-9DBB-C53599AA26AA}">
      <dgm:prSet phldrT="[Text]"/>
      <dgm:spPr/>
      <dgm:t>
        <a:bodyPr/>
        <a:lstStyle/>
        <a:p>
          <a:pPr>
            <a:buFont typeface="Symbol" panose="05050102010706020507" pitchFamily="18" charset="2"/>
            <a:buChar char=""/>
          </a:pPr>
          <a:r>
            <a:rPr lang="en-US"/>
            <a:t>External pressures, such as changing regulations and consumer preferences.</a:t>
          </a:r>
        </a:p>
      </dgm:t>
    </dgm:pt>
    <dgm:pt modelId="{1513E749-7376-488B-91F0-90A7856FD7A8}" type="parTrans" cxnId="{DA41DD63-C3CE-43B7-8664-83B4209B6F31}">
      <dgm:prSet/>
      <dgm:spPr/>
      <dgm:t>
        <a:bodyPr/>
        <a:lstStyle/>
        <a:p>
          <a:endParaRPr lang="en-US"/>
        </a:p>
      </dgm:t>
    </dgm:pt>
    <dgm:pt modelId="{F5619160-83E9-4037-91B5-657EB8FA7E33}" type="sibTrans" cxnId="{DA41DD63-C3CE-43B7-8664-83B4209B6F31}">
      <dgm:prSet/>
      <dgm:spPr/>
      <dgm:t>
        <a:bodyPr/>
        <a:lstStyle/>
        <a:p>
          <a:endParaRPr lang="en-US"/>
        </a:p>
      </dgm:t>
    </dgm:pt>
    <dgm:pt modelId="{54C5EB16-4591-4070-ACFE-B7B082FE652F}">
      <dgm:prSet/>
      <dgm:spPr/>
      <dgm:t>
        <a:bodyPr/>
        <a:lstStyle/>
        <a:p>
          <a:pPr>
            <a:buFont typeface="Symbol" panose="05050102010706020507" pitchFamily="18" charset="2"/>
            <a:buChar char=""/>
          </a:pPr>
          <a:r>
            <a:rPr lang="en-US"/>
            <a:t>Supply chain disruptions due to climate change or geopolitical factors.</a:t>
          </a:r>
        </a:p>
      </dgm:t>
    </dgm:pt>
    <dgm:pt modelId="{968D438E-F4A0-44F4-9139-C0CA5C59CAB0}" type="parTrans" cxnId="{2957058B-B3F0-420A-88DA-B334A2480BD4}">
      <dgm:prSet/>
      <dgm:spPr/>
      <dgm:t>
        <a:bodyPr/>
        <a:lstStyle/>
        <a:p>
          <a:endParaRPr lang="en-US"/>
        </a:p>
      </dgm:t>
    </dgm:pt>
    <dgm:pt modelId="{9AA38A6F-619D-4959-BF3A-74A52272D596}" type="sibTrans" cxnId="{2957058B-B3F0-420A-88DA-B334A2480BD4}">
      <dgm:prSet/>
      <dgm:spPr/>
      <dgm:t>
        <a:bodyPr/>
        <a:lstStyle/>
        <a:p>
          <a:endParaRPr lang="en-US"/>
        </a:p>
      </dgm:t>
    </dgm:pt>
    <dgm:pt modelId="{B5E520E7-4FFF-4CAE-BA88-1ACDC6A79E2C}">
      <dgm:prSet/>
      <dgm:spPr/>
      <dgm:t>
        <a:bodyPr/>
        <a:lstStyle/>
        <a:p>
          <a:pPr>
            <a:buFont typeface="Symbol" panose="05050102010706020507" pitchFamily="18" charset="2"/>
            <a:buChar char=""/>
          </a:pPr>
          <a:r>
            <a:rPr lang="en-US"/>
            <a:t>Competition from conventional practices that may initially seem more cost-effective.</a:t>
          </a:r>
        </a:p>
      </dgm:t>
    </dgm:pt>
    <dgm:pt modelId="{40AFADFB-1349-45B5-8837-6556021A6BE0}" type="parTrans" cxnId="{2F05D3A6-C002-445F-B653-0258FFE3F167}">
      <dgm:prSet/>
      <dgm:spPr/>
      <dgm:t>
        <a:bodyPr/>
        <a:lstStyle/>
        <a:p>
          <a:endParaRPr lang="en-US"/>
        </a:p>
      </dgm:t>
    </dgm:pt>
    <dgm:pt modelId="{6AD2ECBC-0747-4E2A-9BE9-66373ECDC6FA}" type="sibTrans" cxnId="{2F05D3A6-C002-445F-B653-0258FFE3F167}">
      <dgm:prSet/>
      <dgm:spPr/>
      <dgm:t>
        <a:bodyPr/>
        <a:lstStyle/>
        <a:p>
          <a:endParaRPr lang="en-US"/>
        </a:p>
      </dgm:t>
    </dgm:pt>
    <dgm:pt modelId="{5C315D74-D684-4DA6-8DF6-B9AE845A0D7E}" type="pres">
      <dgm:prSet presAssocID="{140CAEEF-134D-413D-A9C4-5A3DAB3857B1}" presName="diagram" presStyleCnt="0">
        <dgm:presLayoutVars>
          <dgm:dir/>
          <dgm:resizeHandles val="exact"/>
        </dgm:presLayoutVars>
      </dgm:prSet>
      <dgm:spPr/>
    </dgm:pt>
    <dgm:pt modelId="{8EDC9CA4-1A34-4E1E-8861-A82612CE5CC9}" type="pres">
      <dgm:prSet presAssocID="{90AAF067-CBD2-4613-AECC-87638CDBE172}" presName="node" presStyleLbl="node1" presStyleIdx="0" presStyleCnt="4">
        <dgm:presLayoutVars>
          <dgm:bulletEnabled val="1"/>
        </dgm:presLayoutVars>
      </dgm:prSet>
      <dgm:spPr/>
    </dgm:pt>
    <dgm:pt modelId="{E0401ACB-596E-41B3-9865-8055DD655B16}" type="pres">
      <dgm:prSet presAssocID="{3826F5B7-CE70-4B1E-AD34-B9DFCB7046D4}" presName="sibTrans" presStyleCnt="0"/>
      <dgm:spPr/>
    </dgm:pt>
    <dgm:pt modelId="{9897F8B0-99BC-4952-B50B-D970927C7DB0}" type="pres">
      <dgm:prSet presAssocID="{3ACED0B6-50BE-4080-8A47-23FF5D71BE50}" presName="node" presStyleLbl="node1" presStyleIdx="1" presStyleCnt="4">
        <dgm:presLayoutVars>
          <dgm:bulletEnabled val="1"/>
        </dgm:presLayoutVars>
      </dgm:prSet>
      <dgm:spPr/>
    </dgm:pt>
    <dgm:pt modelId="{F7E6E738-E42C-4E27-A474-9732D33AF859}" type="pres">
      <dgm:prSet presAssocID="{B9DB3854-9810-4947-8A9B-35EA2527373A}" presName="sibTrans" presStyleCnt="0"/>
      <dgm:spPr/>
    </dgm:pt>
    <dgm:pt modelId="{CF518642-6A39-43EC-AA38-76E393D206E3}" type="pres">
      <dgm:prSet presAssocID="{306B0589-77B6-43F8-9AC6-1FD1CED6BAE4}" presName="node" presStyleLbl="node1" presStyleIdx="2" presStyleCnt="4">
        <dgm:presLayoutVars>
          <dgm:bulletEnabled val="1"/>
        </dgm:presLayoutVars>
      </dgm:prSet>
      <dgm:spPr/>
    </dgm:pt>
    <dgm:pt modelId="{C8FDC07B-1AEB-426A-8D12-934E63094F3D}" type="pres">
      <dgm:prSet presAssocID="{A0052812-3A82-4C86-84E9-8DE698150F70}" presName="sibTrans" presStyleCnt="0"/>
      <dgm:spPr/>
    </dgm:pt>
    <dgm:pt modelId="{9930F29A-5C3A-4759-BD0A-D040FA84B702}" type="pres">
      <dgm:prSet presAssocID="{39A5A853-E9BB-48D7-9F57-46179100FF46}" presName="node" presStyleLbl="node1" presStyleIdx="3" presStyleCnt="4">
        <dgm:presLayoutVars>
          <dgm:bulletEnabled val="1"/>
        </dgm:presLayoutVars>
      </dgm:prSet>
      <dgm:spPr/>
    </dgm:pt>
  </dgm:ptLst>
  <dgm:cxnLst>
    <dgm:cxn modelId="{0D7E3D04-34BD-44E4-A56E-8ABDD245EB11}" type="presOf" srcId="{1E0B001F-C3F8-46AD-8103-E16852A96E47}" destId="{8EDC9CA4-1A34-4E1E-8861-A82612CE5CC9}" srcOrd="0" destOrd="1" presId="urn:microsoft.com/office/officeart/2005/8/layout/default"/>
    <dgm:cxn modelId="{7D11F716-00E0-4BD8-B9EF-784CA7F581B1}" srcId="{90AAF067-CBD2-4613-AECC-87638CDBE172}" destId="{B5594418-3A51-4201-9F10-D574307E6E5C}" srcOrd="1" destOrd="0" parTransId="{A1623DBC-07E3-4C16-B507-D64E493D4F8F}" sibTransId="{9F970970-D0A8-41B4-82DF-585F00362C81}"/>
    <dgm:cxn modelId="{4AABE831-6759-4B12-989A-4E59163333F8}" type="presOf" srcId="{90AAF067-CBD2-4613-AECC-87638CDBE172}" destId="{8EDC9CA4-1A34-4E1E-8861-A82612CE5CC9}" srcOrd="0" destOrd="0" presId="urn:microsoft.com/office/officeart/2005/8/layout/default"/>
    <dgm:cxn modelId="{8BA35332-DA7E-48B1-B9F3-721DBAEABEF8}" srcId="{90AAF067-CBD2-4613-AECC-87638CDBE172}" destId="{1E0B001F-C3F8-46AD-8103-E16852A96E47}" srcOrd="0" destOrd="0" parTransId="{D5AC2D51-B74B-4777-91A8-309AE1BE3BA0}" sibTransId="{FDC3A651-F8B0-4036-9B8D-E0C35E760377}"/>
    <dgm:cxn modelId="{DA41DD63-C3CE-43B7-8664-83B4209B6F31}" srcId="{39A5A853-E9BB-48D7-9F57-46179100FF46}" destId="{09885891-A3F9-4AD6-9DBB-C53599AA26AA}" srcOrd="0" destOrd="0" parTransId="{1513E749-7376-488B-91F0-90A7856FD7A8}" sibTransId="{F5619160-83E9-4037-91B5-657EB8FA7E33}"/>
    <dgm:cxn modelId="{B503374A-ED40-486C-B1D2-A1E0A81C50E5}" type="presOf" srcId="{140CAEEF-134D-413D-A9C4-5A3DAB3857B1}" destId="{5C315D74-D684-4DA6-8DF6-B9AE845A0D7E}" srcOrd="0" destOrd="0" presId="urn:microsoft.com/office/officeart/2005/8/layout/default"/>
    <dgm:cxn modelId="{7727CB6A-B28B-4BF3-AB30-0A5805C24720}" type="presOf" srcId="{2F844B9E-DF85-44A5-A234-405EE9060758}" destId="{9897F8B0-99BC-4952-B50B-D970927C7DB0}" srcOrd="0" destOrd="1" presId="urn:microsoft.com/office/officeart/2005/8/layout/default"/>
    <dgm:cxn modelId="{2C8AC550-FA0E-4271-82B6-EA2EB3ADD2DC}" srcId="{140CAEEF-134D-413D-A9C4-5A3DAB3857B1}" destId="{39A5A853-E9BB-48D7-9F57-46179100FF46}" srcOrd="3" destOrd="0" parTransId="{D3C7F649-062E-45C9-90D0-BB88B4A238C8}" sibTransId="{741DB4D9-1FC0-4052-B05E-289ADEF0FFAD}"/>
    <dgm:cxn modelId="{1048C071-9F39-4ABF-8498-A0659DC898A2}" type="presOf" srcId="{09885891-A3F9-4AD6-9DBB-C53599AA26AA}" destId="{9930F29A-5C3A-4759-BD0A-D040FA84B702}" srcOrd="0" destOrd="1" presId="urn:microsoft.com/office/officeart/2005/8/layout/default"/>
    <dgm:cxn modelId="{71FE1374-7A46-49C7-BABF-E9ABBEB73833}" srcId="{306B0589-77B6-43F8-9AC6-1FD1CED6BAE4}" destId="{C2646B4C-A59D-4EDF-A598-4E55EAB10BA1}" srcOrd="0" destOrd="0" parTransId="{71CBAE0A-7C21-4AF1-AB81-24C4E657FF8F}" sibTransId="{ABB5EE64-71C8-4BF8-91C4-F45E988CC70D}"/>
    <dgm:cxn modelId="{D3E4C754-958B-45EF-994A-B65A80A33689}" srcId="{3ACED0B6-50BE-4080-8A47-23FF5D71BE50}" destId="{2F844B9E-DF85-44A5-A234-405EE9060758}" srcOrd="0" destOrd="0" parTransId="{5B8648C6-28C0-45C5-9DA5-062AF533E65A}" sibTransId="{D69AFADC-9633-4C67-BAD2-AD0F544AC529}"/>
    <dgm:cxn modelId="{AD2F6356-E0C6-41C3-BAC0-AEE52010F8E2}" srcId="{3ACED0B6-50BE-4080-8A47-23FF5D71BE50}" destId="{B58F7DAC-4AFA-4748-8E10-32847D24A0FC}" srcOrd="1" destOrd="0" parTransId="{CB197FBC-C71B-4A86-96E9-5089074CDEA9}" sibTransId="{2528395B-5F85-4EDB-832D-6CBF2588ED32}"/>
    <dgm:cxn modelId="{AD653858-719E-4FD5-A4DE-DD8619D02E09}" srcId="{140CAEEF-134D-413D-A9C4-5A3DAB3857B1}" destId="{306B0589-77B6-43F8-9AC6-1FD1CED6BAE4}" srcOrd="2" destOrd="0" parTransId="{2F5BA9C7-00D8-44E4-8CCF-BB7CF3643AC7}" sibTransId="{A0052812-3A82-4C86-84E9-8DE698150F70}"/>
    <dgm:cxn modelId="{DE60DA85-FFF9-42A6-92B0-1B582AEB557E}" srcId="{90AAF067-CBD2-4613-AECC-87638CDBE172}" destId="{FED679EF-126E-4DC6-A133-6C570691A7AA}" srcOrd="2" destOrd="0" parTransId="{D0783434-BC5C-4218-82DD-EBC963BF0168}" sibTransId="{4F695430-5EDF-4F86-BD8D-0768BA05F3D7}"/>
    <dgm:cxn modelId="{2957058B-B3F0-420A-88DA-B334A2480BD4}" srcId="{39A5A853-E9BB-48D7-9F57-46179100FF46}" destId="{54C5EB16-4591-4070-ACFE-B7B082FE652F}" srcOrd="1" destOrd="0" parTransId="{968D438E-F4A0-44F4-9139-C0CA5C59CAB0}" sibTransId="{9AA38A6F-619D-4959-BF3A-74A52272D596}"/>
    <dgm:cxn modelId="{4EA62D90-F383-4D88-835D-8C84D1AF1FEC}" type="presOf" srcId="{B5E520E7-4FFF-4CAE-BA88-1ACDC6A79E2C}" destId="{9930F29A-5C3A-4759-BD0A-D040FA84B702}" srcOrd="0" destOrd="3" presId="urn:microsoft.com/office/officeart/2005/8/layout/default"/>
    <dgm:cxn modelId="{3C5FED99-37F1-4E20-8CFC-214ECAD47B33}" type="presOf" srcId="{C2646B4C-A59D-4EDF-A598-4E55EAB10BA1}" destId="{CF518642-6A39-43EC-AA38-76E393D206E3}" srcOrd="0" destOrd="1" presId="urn:microsoft.com/office/officeart/2005/8/layout/default"/>
    <dgm:cxn modelId="{BE74CCA0-6EED-42F0-A987-AF1885F7923D}" type="presOf" srcId="{F35A7D91-4068-4EA5-8058-9AF273C036F8}" destId="{CF518642-6A39-43EC-AA38-76E393D206E3}" srcOrd="0" destOrd="2" presId="urn:microsoft.com/office/officeart/2005/8/layout/default"/>
    <dgm:cxn modelId="{E5EBC9A1-C4B9-4F2B-8771-515D1CAAC03F}" type="presOf" srcId="{FED679EF-126E-4DC6-A133-6C570691A7AA}" destId="{8EDC9CA4-1A34-4E1E-8861-A82612CE5CC9}" srcOrd="0" destOrd="3" presId="urn:microsoft.com/office/officeart/2005/8/layout/default"/>
    <dgm:cxn modelId="{A858F2A1-1445-46B7-B6C0-90E65AD69722}" type="presOf" srcId="{3ACED0B6-50BE-4080-8A47-23FF5D71BE50}" destId="{9897F8B0-99BC-4952-B50B-D970927C7DB0}" srcOrd="0" destOrd="0" presId="urn:microsoft.com/office/officeart/2005/8/layout/default"/>
    <dgm:cxn modelId="{2F05D3A6-C002-445F-B653-0258FFE3F167}" srcId="{39A5A853-E9BB-48D7-9F57-46179100FF46}" destId="{B5E520E7-4FFF-4CAE-BA88-1ACDC6A79E2C}" srcOrd="2" destOrd="0" parTransId="{40AFADFB-1349-45B5-8837-6556021A6BE0}" sibTransId="{6AD2ECBC-0747-4E2A-9BE9-66373ECDC6FA}"/>
    <dgm:cxn modelId="{AFF164AC-EB5D-4EC4-9113-53DA468409B8}" type="presOf" srcId="{306B0589-77B6-43F8-9AC6-1FD1CED6BAE4}" destId="{CF518642-6A39-43EC-AA38-76E393D206E3}" srcOrd="0" destOrd="0" presId="urn:microsoft.com/office/officeart/2005/8/layout/default"/>
    <dgm:cxn modelId="{FE9662B1-68AB-4C49-A0C1-590D7CF81D73}" type="presOf" srcId="{39A5A853-E9BB-48D7-9F57-46179100FF46}" destId="{9930F29A-5C3A-4759-BD0A-D040FA84B702}" srcOrd="0" destOrd="0" presId="urn:microsoft.com/office/officeart/2005/8/layout/default"/>
    <dgm:cxn modelId="{29EDF2B3-429F-4551-961D-A214A0FF9666}" srcId="{306B0589-77B6-43F8-9AC6-1FD1CED6BAE4}" destId="{AC2A1423-D4BA-49B3-887E-ECACBDB8A5AA}" srcOrd="2" destOrd="0" parTransId="{38D46946-6C2B-464E-9D14-8C7F5EDAFEDC}" sibTransId="{64519DFF-FCB3-4689-9D33-9463B5756E4B}"/>
    <dgm:cxn modelId="{532D6EB5-78CF-43DE-A8A4-D7D7B882313F}" type="presOf" srcId="{B5594418-3A51-4201-9F10-D574307E6E5C}" destId="{8EDC9CA4-1A34-4E1E-8861-A82612CE5CC9}" srcOrd="0" destOrd="2" presId="urn:microsoft.com/office/officeart/2005/8/layout/default"/>
    <dgm:cxn modelId="{732156BC-4A16-419C-8E5F-9C9FCF83F122}" type="presOf" srcId="{B58F7DAC-4AFA-4748-8E10-32847D24A0FC}" destId="{9897F8B0-99BC-4952-B50B-D970927C7DB0}" srcOrd="0" destOrd="2" presId="urn:microsoft.com/office/officeart/2005/8/layout/default"/>
    <dgm:cxn modelId="{B3DED9BC-0459-43E8-AB04-D1746B3E1D9C}" srcId="{3ACED0B6-50BE-4080-8A47-23FF5D71BE50}" destId="{185D2649-5075-4B01-8CFE-8659E094F5B2}" srcOrd="2" destOrd="0" parTransId="{1F645685-7DDE-4DEB-8B3A-74DD48982C24}" sibTransId="{A5137EC7-8EE1-4020-8E5B-92A5BF86009A}"/>
    <dgm:cxn modelId="{9F9926D5-B368-487C-BC9F-406FF6DC3556}" srcId="{140CAEEF-134D-413D-A9C4-5A3DAB3857B1}" destId="{90AAF067-CBD2-4613-AECC-87638CDBE172}" srcOrd="0" destOrd="0" parTransId="{01064606-B622-4421-A670-4E8E5E92AFD0}" sibTransId="{3826F5B7-CE70-4B1E-AD34-B9DFCB7046D4}"/>
    <dgm:cxn modelId="{9DD478D8-E5F3-4568-BA66-619E091F3250}" type="presOf" srcId="{AC2A1423-D4BA-49B3-887E-ECACBDB8A5AA}" destId="{CF518642-6A39-43EC-AA38-76E393D206E3}" srcOrd="0" destOrd="3" presId="urn:microsoft.com/office/officeart/2005/8/layout/default"/>
    <dgm:cxn modelId="{C001AEDA-C808-4663-90A0-85459E01DA01}" type="presOf" srcId="{54C5EB16-4591-4070-ACFE-B7B082FE652F}" destId="{9930F29A-5C3A-4759-BD0A-D040FA84B702}" srcOrd="0" destOrd="2" presId="urn:microsoft.com/office/officeart/2005/8/layout/default"/>
    <dgm:cxn modelId="{652D76DD-00EA-434B-92DB-D847DDB65D29}" type="presOf" srcId="{185D2649-5075-4B01-8CFE-8659E094F5B2}" destId="{9897F8B0-99BC-4952-B50B-D970927C7DB0}" srcOrd="0" destOrd="3" presId="urn:microsoft.com/office/officeart/2005/8/layout/default"/>
    <dgm:cxn modelId="{901E62FB-BC81-4EB1-A7B3-F6600497E9F3}" srcId="{306B0589-77B6-43F8-9AC6-1FD1CED6BAE4}" destId="{F35A7D91-4068-4EA5-8058-9AF273C036F8}" srcOrd="1" destOrd="0" parTransId="{0E65DB80-847D-4E1C-AAA1-69C6A613D93A}" sibTransId="{B219B383-0E33-458E-9A21-F3A668C2E312}"/>
    <dgm:cxn modelId="{16E53BFE-E1B8-48C1-B681-36C9F8846492}" srcId="{140CAEEF-134D-413D-A9C4-5A3DAB3857B1}" destId="{3ACED0B6-50BE-4080-8A47-23FF5D71BE50}" srcOrd="1" destOrd="0" parTransId="{7F117AC0-A7B2-483B-B6DF-1D3D3208F6C3}" sibTransId="{B9DB3854-9810-4947-8A9B-35EA2527373A}"/>
    <dgm:cxn modelId="{3AFBE8F7-9892-4BF6-ADF9-0B4119663C91}" type="presParOf" srcId="{5C315D74-D684-4DA6-8DF6-B9AE845A0D7E}" destId="{8EDC9CA4-1A34-4E1E-8861-A82612CE5CC9}" srcOrd="0" destOrd="0" presId="urn:microsoft.com/office/officeart/2005/8/layout/default"/>
    <dgm:cxn modelId="{EC0E38F9-7BD4-45D0-91D1-3D81C39FE38B}" type="presParOf" srcId="{5C315D74-D684-4DA6-8DF6-B9AE845A0D7E}" destId="{E0401ACB-596E-41B3-9865-8055DD655B16}" srcOrd="1" destOrd="0" presId="urn:microsoft.com/office/officeart/2005/8/layout/default"/>
    <dgm:cxn modelId="{9B13E95E-CF0E-4A3C-B652-30A9BBF1C02F}" type="presParOf" srcId="{5C315D74-D684-4DA6-8DF6-B9AE845A0D7E}" destId="{9897F8B0-99BC-4952-B50B-D970927C7DB0}" srcOrd="2" destOrd="0" presId="urn:microsoft.com/office/officeart/2005/8/layout/default"/>
    <dgm:cxn modelId="{53F76EFF-FD27-4C3F-AF43-BBAD2B137221}" type="presParOf" srcId="{5C315D74-D684-4DA6-8DF6-B9AE845A0D7E}" destId="{F7E6E738-E42C-4E27-A474-9732D33AF859}" srcOrd="3" destOrd="0" presId="urn:microsoft.com/office/officeart/2005/8/layout/default"/>
    <dgm:cxn modelId="{B2143B4B-6AB3-40A1-A630-64BFB1FFDBBD}" type="presParOf" srcId="{5C315D74-D684-4DA6-8DF6-B9AE845A0D7E}" destId="{CF518642-6A39-43EC-AA38-76E393D206E3}" srcOrd="4" destOrd="0" presId="urn:microsoft.com/office/officeart/2005/8/layout/default"/>
    <dgm:cxn modelId="{D2A9EF1C-4149-4E2E-8C54-0CF47A7F68FD}" type="presParOf" srcId="{5C315D74-D684-4DA6-8DF6-B9AE845A0D7E}" destId="{C8FDC07B-1AEB-426A-8D12-934E63094F3D}" srcOrd="5" destOrd="0" presId="urn:microsoft.com/office/officeart/2005/8/layout/default"/>
    <dgm:cxn modelId="{AD08BB11-44F1-496D-BFD2-E68218E0B5BF}" type="presParOf" srcId="{5C315D74-D684-4DA6-8DF6-B9AE845A0D7E}" destId="{9930F29A-5C3A-4759-BD0A-D040FA84B702}" srcOrd="6" destOrd="0" presId="urn:microsoft.com/office/officeart/2005/8/layout/defaul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DC9CA4-1A34-4E1E-8861-A82612CE5CC9}">
      <dsp:nvSpPr>
        <dsp:cNvPr id="0" name=""/>
        <dsp:cNvSpPr/>
      </dsp:nvSpPr>
      <dsp:spPr>
        <a:xfrm>
          <a:off x="787" y="85758"/>
          <a:ext cx="3069928" cy="184195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US" sz="1600" kern="1200"/>
            <a:t>Strengths</a:t>
          </a:r>
        </a:p>
        <a:p>
          <a:pPr marL="114300" lvl="1" indent="-114300" algn="l" defTabSz="533400">
            <a:lnSpc>
              <a:spcPct val="90000"/>
            </a:lnSpc>
            <a:spcBef>
              <a:spcPct val="0"/>
            </a:spcBef>
            <a:spcAft>
              <a:spcPct val="15000"/>
            </a:spcAft>
            <a:buFont typeface="Symbol" panose="05050102010706020507" pitchFamily="18" charset="2"/>
            <a:buChar char=""/>
          </a:pPr>
          <a:r>
            <a:rPr lang="en-US" sz="1200" kern="1200"/>
            <a:t>Increasing consumer demand for sustainable and locally sourced products.</a:t>
          </a:r>
        </a:p>
        <a:p>
          <a:pPr marL="114300" lvl="1" indent="-114300" algn="l" defTabSz="533400">
            <a:lnSpc>
              <a:spcPct val="90000"/>
            </a:lnSpc>
            <a:spcBef>
              <a:spcPct val="0"/>
            </a:spcBef>
            <a:spcAft>
              <a:spcPct val="15000"/>
            </a:spcAft>
            <a:buFont typeface="Symbol" panose="05050102010706020507" pitchFamily="18" charset="2"/>
            <a:buChar char=""/>
          </a:pPr>
          <a:r>
            <a:rPr lang="en-US" sz="1200" kern="1200"/>
            <a:t>Growing awareness of environmental and social issues within the industry.</a:t>
          </a:r>
        </a:p>
        <a:p>
          <a:pPr marL="114300" lvl="1" indent="-114300" algn="l" defTabSz="533400">
            <a:lnSpc>
              <a:spcPct val="90000"/>
            </a:lnSpc>
            <a:spcBef>
              <a:spcPct val="0"/>
            </a:spcBef>
            <a:spcAft>
              <a:spcPct val="15000"/>
            </a:spcAft>
            <a:buFont typeface="Symbol" panose="05050102010706020507" pitchFamily="18" charset="2"/>
            <a:buChar char=""/>
          </a:pPr>
          <a:r>
            <a:rPr lang="en-US" sz="1200" kern="1200"/>
            <a:t>Potential for cost savings through streamlined and efficient supply chain practices.</a:t>
          </a:r>
        </a:p>
      </dsp:txBody>
      <dsp:txXfrm>
        <a:off x="787" y="85758"/>
        <a:ext cx="3069928" cy="1841957"/>
      </dsp:txXfrm>
    </dsp:sp>
    <dsp:sp modelId="{9897F8B0-99BC-4952-B50B-D970927C7DB0}">
      <dsp:nvSpPr>
        <dsp:cNvPr id="0" name=""/>
        <dsp:cNvSpPr/>
      </dsp:nvSpPr>
      <dsp:spPr>
        <a:xfrm>
          <a:off x="3377708" y="85758"/>
          <a:ext cx="3069928" cy="1841957"/>
        </a:xfrm>
        <a:prstGeom prst="rect">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US" sz="1600" kern="1200"/>
            <a:t>Weaknesses</a:t>
          </a:r>
        </a:p>
        <a:p>
          <a:pPr marL="114300" lvl="1" indent="-114300" algn="l" defTabSz="533400">
            <a:lnSpc>
              <a:spcPct val="90000"/>
            </a:lnSpc>
            <a:spcBef>
              <a:spcPct val="0"/>
            </a:spcBef>
            <a:spcAft>
              <a:spcPct val="15000"/>
            </a:spcAft>
            <a:buChar char="•"/>
          </a:pPr>
          <a:r>
            <a:rPr lang="en-US" sz="1200" kern="1200"/>
            <a:t>Resistance to change within established industry practices.</a:t>
          </a:r>
        </a:p>
        <a:p>
          <a:pPr marL="114300" lvl="1" indent="-114300" algn="l" defTabSz="533400">
            <a:lnSpc>
              <a:spcPct val="90000"/>
            </a:lnSpc>
            <a:spcBef>
              <a:spcPct val="0"/>
            </a:spcBef>
            <a:spcAft>
              <a:spcPct val="15000"/>
            </a:spcAft>
            <a:buFont typeface="Symbol" panose="05050102010706020507" pitchFamily="18" charset="2"/>
            <a:buChar char=""/>
          </a:pPr>
          <a:r>
            <a:rPr lang="en-US" sz="1200" kern="1200"/>
            <a:t>Initial investment costs for implementing sustainable sourcing and waste reduction measures.</a:t>
          </a:r>
        </a:p>
        <a:p>
          <a:pPr marL="114300" lvl="1" indent="-114300" algn="l" defTabSz="533400">
            <a:lnSpc>
              <a:spcPct val="90000"/>
            </a:lnSpc>
            <a:spcBef>
              <a:spcPct val="0"/>
            </a:spcBef>
            <a:spcAft>
              <a:spcPct val="15000"/>
            </a:spcAft>
            <a:buFont typeface="Symbol" panose="05050102010706020507" pitchFamily="18" charset="2"/>
            <a:buChar char=""/>
          </a:pPr>
          <a:r>
            <a:rPr lang="en-US" sz="1200" kern="1200"/>
            <a:t>Lack of standardized metrics and guidelines for sustainability in the industry.</a:t>
          </a:r>
        </a:p>
      </dsp:txBody>
      <dsp:txXfrm>
        <a:off x="3377708" y="85758"/>
        <a:ext cx="3069928" cy="1841957"/>
      </dsp:txXfrm>
    </dsp:sp>
    <dsp:sp modelId="{CF518642-6A39-43EC-AA38-76E393D206E3}">
      <dsp:nvSpPr>
        <dsp:cNvPr id="0" name=""/>
        <dsp:cNvSpPr/>
      </dsp:nvSpPr>
      <dsp:spPr>
        <a:xfrm>
          <a:off x="787" y="2234708"/>
          <a:ext cx="3069928" cy="1841957"/>
        </a:xfrm>
        <a:prstGeom prst="rect">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US" sz="1600" kern="1200"/>
            <a:t>Opportunities</a:t>
          </a:r>
        </a:p>
        <a:p>
          <a:pPr marL="114300" lvl="1" indent="-114300" algn="l" defTabSz="533400">
            <a:lnSpc>
              <a:spcPct val="90000"/>
            </a:lnSpc>
            <a:spcBef>
              <a:spcPct val="0"/>
            </a:spcBef>
            <a:spcAft>
              <a:spcPct val="15000"/>
            </a:spcAft>
            <a:buChar char="•"/>
          </a:pPr>
          <a:r>
            <a:rPr lang="en-US" sz="1200" kern="1200"/>
            <a:t>Expansion of consumer markets for sustainably sourced products.</a:t>
          </a:r>
        </a:p>
        <a:p>
          <a:pPr marL="114300" lvl="1" indent="-114300" algn="l" defTabSz="533400">
            <a:lnSpc>
              <a:spcPct val="90000"/>
            </a:lnSpc>
            <a:spcBef>
              <a:spcPct val="0"/>
            </a:spcBef>
            <a:spcAft>
              <a:spcPct val="15000"/>
            </a:spcAft>
            <a:buFont typeface="Symbol" panose="05050102010706020507" pitchFamily="18" charset="2"/>
            <a:buChar char=""/>
          </a:pPr>
          <a:r>
            <a:rPr lang="en-US" sz="1200" kern="1200"/>
            <a:t>Collaborative initiatives with local communities and organizations to strengthen social ties.</a:t>
          </a:r>
        </a:p>
        <a:p>
          <a:pPr marL="114300" lvl="1" indent="-114300" algn="l" defTabSz="533400">
            <a:lnSpc>
              <a:spcPct val="90000"/>
            </a:lnSpc>
            <a:spcBef>
              <a:spcPct val="0"/>
            </a:spcBef>
            <a:spcAft>
              <a:spcPct val="15000"/>
            </a:spcAft>
            <a:buChar char="•"/>
          </a:pPr>
          <a:r>
            <a:rPr lang="en-US" sz="1200" kern="1200"/>
            <a:t>Innovation in packaging and distribution methods to further reduce environmental impact</a:t>
          </a:r>
        </a:p>
      </dsp:txBody>
      <dsp:txXfrm>
        <a:off x="787" y="2234708"/>
        <a:ext cx="3069928" cy="1841957"/>
      </dsp:txXfrm>
    </dsp:sp>
    <dsp:sp modelId="{9930F29A-5C3A-4759-BD0A-D040FA84B702}">
      <dsp:nvSpPr>
        <dsp:cNvPr id="0" name=""/>
        <dsp:cNvSpPr/>
      </dsp:nvSpPr>
      <dsp:spPr>
        <a:xfrm>
          <a:off x="3377708" y="2234708"/>
          <a:ext cx="3069928" cy="1841957"/>
        </a:xfrm>
        <a:prstGeom prst="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n-US" sz="1600" kern="1200"/>
            <a:t>Threats</a:t>
          </a:r>
        </a:p>
        <a:p>
          <a:pPr marL="114300" lvl="1" indent="-114300" algn="l" defTabSz="533400">
            <a:lnSpc>
              <a:spcPct val="90000"/>
            </a:lnSpc>
            <a:spcBef>
              <a:spcPct val="0"/>
            </a:spcBef>
            <a:spcAft>
              <a:spcPct val="15000"/>
            </a:spcAft>
            <a:buFont typeface="Symbol" panose="05050102010706020507" pitchFamily="18" charset="2"/>
            <a:buChar char=""/>
          </a:pPr>
          <a:r>
            <a:rPr lang="en-US" sz="1200" kern="1200"/>
            <a:t>External pressures, such as changing regulations and consumer preferences.</a:t>
          </a:r>
        </a:p>
        <a:p>
          <a:pPr marL="114300" lvl="1" indent="-114300" algn="l" defTabSz="533400">
            <a:lnSpc>
              <a:spcPct val="90000"/>
            </a:lnSpc>
            <a:spcBef>
              <a:spcPct val="0"/>
            </a:spcBef>
            <a:spcAft>
              <a:spcPct val="15000"/>
            </a:spcAft>
            <a:buFont typeface="Symbol" panose="05050102010706020507" pitchFamily="18" charset="2"/>
            <a:buChar char=""/>
          </a:pPr>
          <a:r>
            <a:rPr lang="en-US" sz="1200" kern="1200"/>
            <a:t>Supply chain disruptions due to climate change or geopolitical factors.</a:t>
          </a:r>
        </a:p>
        <a:p>
          <a:pPr marL="114300" lvl="1" indent="-114300" algn="l" defTabSz="533400">
            <a:lnSpc>
              <a:spcPct val="90000"/>
            </a:lnSpc>
            <a:spcBef>
              <a:spcPct val="0"/>
            </a:spcBef>
            <a:spcAft>
              <a:spcPct val="15000"/>
            </a:spcAft>
            <a:buFont typeface="Symbol" panose="05050102010706020507" pitchFamily="18" charset="2"/>
            <a:buChar char=""/>
          </a:pPr>
          <a:r>
            <a:rPr lang="en-US" sz="1200" kern="1200"/>
            <a:t>Competition from conventional practices that may initially seem more cost-effective.</a:t>
          </a:r>
        </a:p>
      </dsp:txBody>
      <dsp:txXfrm>
        <a:off x="3377708" y="2234708"/>
        <a:ext cx="3069928" cy="184195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4</cp:revision>
  <dcterms:created xsi:type="dcterms:W3CDTF">2023-11-10T16:56:00Z</dcterms:created>
  <dcterms:modified xsi:type="dcterms:W3CDTF">2023-11-10T17:23:00Z</dcterms:modified>
</cp:coreProperties>
</file>