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Broker review — written questionnaire</w:t>
      </w:r>
    </w:p>
    <w:p>
      <w:pPr>
        <w:spacing w:after="160"/>
      </w:pPr>
      <w:r>
        <w:t xml:space="preserve">Lunair World — accuracy review of our import-requirements reference library. Send this instead of booking a live session: a written questionnaire gets a more careful, referenceable answer, and gives us something to check off line by line.</w:t>
      </w:r>
    </w:p>
    <w:p>
      <w:pPr>
        <w:pStyle w:val="Heading1"/>
        <w:spacing w:after="160" w:before="320"/>
      </w:pPr>
      <w:r>
        <w:t xml:space="preserve">Email to send</w:t>
      </w:r>
    </w:p>
    <w:p>
      <w:pPr>
        <w:spacing w:after="160"/>
      </w:pPr>
      <w:r>
        <w:rPr>
          <w:i/>
          <w:iCs/>
          <w:color w:val="555555"/>
        </w:rPr>
        <w:t xml:space="preserve">Subject: Written accuracy review — import-requirements library (no attribution, capped fee)</w:t>
      </w:r>
    </w:p>
    <w:p>
      <w:pPr>
        <w:pBdr>
          <w:left w:val="single" w:color="AAAAAA" w:sz="12" w:space="8"/>
        </w:pBdr>
        <w:spacing w:after="80"/>
        <w:ind w:left="360"/>
      </w:pPr>
      <w:r>
        <w:rPr>
          <w:i/>
          <w:iCs/>
          <w:color w:val="444444"/>
        </w:rPr>
        <w:t xml:space="preserve">Hi [name],</w:t>
      </w:r>
    </w:p>
    <w:p>
      <w:pPr>
        <w:pBdr>
          <w:left w:val="single" w:color="AAAAAA" w:sz="12" w:space="8"/>
        </w:pBdr>
        <w:spacing w:after="80"/>
        <w:ind w:left="360"/>
      </w:pPr>
      <w:r>
        <w:rPr>
          <w:i/>
          <w:iCs/>
          <w:color w:val="444444"/>
        </w:rPr>
        <w:t xml:space="preserve"/>
      </w:r>
    </w:p>
    <w:p>
      <w:pPr>
        <w:pBdr>
          <w:left w:val="single" w:color="AAAAAA" w:sz="12" w:space="8"/>
        </w:pBdr>
        <w:spacing w:after="80"/>
        <w:ind w:left="360"/>
      </w:pPr>
      <w:r>
        <w:rPr>
          <w:i/>
          <w:iCs/>
          <w:color w:val="444444"/>
        </w:rPr>
        <w:t xml:space="preserve">We'd like a written review rather than a live session, since we want your comments captured against specific line items we can check off. Two parts, both attached:</w:t>
      </w:r>
    </w:p>
    <w:p>
      <w:pPr>
        <w:pBdr>
          <w:left w:val="single" w:color="AAAAAA" w:sz="12" w:space="8"/>
        </w:pBdr>
        <w:spacing w:after="80"/>
        <w:ind w:left="360"/>
      </w:pPr>
      <w:r>
        <w:rPr>
          <w:i/>
          <w:iCs/>
          <w:color w:val="444444"/>
        </w:rPr>
        <w:t xml:space="preserve"/>
      </w:r>
    </w:p>
    <w:p>
      <w:pPr>
        <w:pBdr>
          <w:left w:val="single" w:color="AAAAAA" w:sz="12" w:space="8"/>
        </w:pBdr>
        <w:spacing w:after="80"/>
        <w:ind w:left="360"/>
      </w:pPr>
      <w:r>
        <w:rPr>
          <w:i/>
          <w:iCs/>
          <w:color w:val="444444"/>
        </w:rPr>
        <w:t xml:space="preserve">Part A — 3 requirements we've already drafted, for you to confirm or correct.</w:t>
      </w:r>
    </w:p>
    <w:p>
      <w:pPr>
        <w:pBdr>
          <w:left w:val="single" w:color="AAAAAA" w:sz="12" w:space="8"/>
        </w:pBdr>
        <w:spacing w:after="80"/>
        <w:ind w:left="360"/>
      </w:pPr>
      <w:r>
        <w:rPr>
          <w:i/>
          <w:iCs/>
          <w:color w:val="444444"/>
        </w:rPr>
        <w:t xml:space="preserve">Part B — 6 product categories we haven't drafted yet; we'd like your read on what actually applies to each, so we can write it accurately the first time.</w:t>
      </w:r>
    </w:p>
    <w:p>
      <w:pPr>
        <w:pBdr>
          <w:left w:val="single" w:color="AAAAAA" w:sz="12" w:space="8"/>
        </w:pBdr>
        <w:spacing w:after="80"/>
        <w:ind w:left="360"/>
      </w:pPr>
      <w:r>
        <w:rPr>
          <w:i/>
          <w:iCs/>
          <w:color w:val="444444"/>
        </w:rPr>
        <w:t xml:space="preserve"/>
      </w:r>
    </w:p>
    <w:p>
      <w:pPr>
        <w:pBdr>
          <w:left w:val="single" w:color="AAAAAA" w:sz="12" w:space="8"/>
        </w:pBdr>
        <w:spacing w:after="80"/>
        <w:ind w:left="360"/>
      </w:pPr>
      <w:r>
        <w:rPr>
          <w:i/>
          <w:iCs/>
          <w:color w:val="444444"/>
        </w:rPr>
        <w:t xml:space="preserve">No need to check every CFR citation yourself if that's not billable at this fee — flag anything that looks wrong and we'll verify the exact part/section ourselves against the live eCFR. What we most need from you is domain judgment: what's missing, what's overstated, and what real importers get wrong.</w:t>
      </w:r>
    </w:p>
    <w:p>
      <w:pPr>
        <w:pBdr>
          <w:left w:val="single" w:color="AAAAAA" w:sz="12" w:space="8"/>
        </w:pBdr>
        <w:spacing w:after="80"/>
        <w:ind w:left="360"/>
      </w:pPr>
      <w:r>
        <w:rPr>
          <w:i/>
          <w:iCs/>
          <w:color w:val="444444"/>
        </w:rPr>
        <w:t xml:space="preserve"/>
      </w:r>
    </w:p>
    <w:p>
      <w:pPr>
        <w:pBdr>
          <w:left w:val="single" w:color="AAAAAA" w:sz="12" w:space="8"/>
        </w:pBdr>
        <w:spacing w:after="80"/>
        <w:ind w:left="360"/>
      </w:pPr>
      <w:r>
        <w:rPr>
          <w:i/>
          <w:iCs/>
          <w:color w:val="444444"/>
        </w:rPr>
        <w:t xml:space="preserve">Written comments back in whatever format is easiest — marked-up copy of this doc, a call to walk through your notes, whatever works. Capped fixed fee, as discussed.</w:t>
      </w:r>
    </w:p>
    <w:p>
      <w:pPr>
        <w:pStyle w:val="Heading1"/>
        <w:spacing w:after="160" w:before="320"/>
      </w:pPr>
      <w:r>
        <w:t xml:space="preserve">Part A — Verify what we already have</w:t>
      </w:r>
    </w:p>
    <w:p>
      <w:pPr>
        <w:spacing w:after="160"/>
      </w:pPr>
      <w:r>
        <w:t xml:space="preserve">For each line: correct as stated? Needs a correction (what)? Missing anything for this category?</w:t>
      </w:r>
    </w:p>
    <w:p>
      <w:pPr>
        <w:pStyle w:val="Heading2"/>
        <w:spacing w:after="120" w:before="280"/>
      </w:pPr>
      <w:r>
        <w:t xml:space="preserve">Toys &amp; children's products (HTS 9503, 9504, 9505)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16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Agency</w:t>
            </w:r>
          </w:p>
        </w:tc>
        <w:tc>
          <w:tcPr>
            <w:tcW w:type="dxa" w:w="536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Basis as we have it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Children's Product Certificate (CPC), backed by CPSC-lab testing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CPSC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 CFR 1110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Lead &amp; phthalates limits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CPSC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 CFR 1303 (lead paint), 16 CFR 1307 (phthalates), 15 U.S.C. 1278a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Tracking label on product &amp; packaging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CPSC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 U.S.C. 2063(a)(5) (statutory, no CFR part)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Specific questions: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there a CPSC General Conformity Certificate (GCC) requirement we're missing for any non-children's-but-still-CPSC-regulated items in this HTS range?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state-level requirement (e.g. California Prop 65) common enough to belong here?</w:t>
      </w:r>
    </w:p>
    <w:p>
      <w:pPr>
        <w:pStyle w:val="Heading2"/>
        <w:spacing w:after="120" w:before="280"/>
      </w:pPr>
      <w:r>
        <w:t xml:space="preserve">Consumer electronics &amp; accessories (HTS 8471, 8504, 8517, 8518, 8543, 9405)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16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Agency</w:t>
            </w:r>
          </w:p>
        </w:tc>
        <w:tc>
          <w:tcPr>
            <w:tcW w:type="dxa" w:w="536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Basis as we have it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FCC equipment authorization (SDoC or full certification) for anything that transmits, powered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FCC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47 CFR Part 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Lithium battery shipping rules (UN38.3)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DOT/PHMSA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49 CFR 173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Specific questions: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we need an FCC Part 15 (unintentional radiator) callout distinct from the Part 2 authorization line, for devices with no transmitter but a clock/microprocessor?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Anything from CPSC here too (e.g. a powered nightlight, HTS 9405, is both electronics and potentially a children's product) — is our cross-category logic the right way to think about that overlap?</w:t>
      </w:r>
    </w:p>
    <w:p>
      <w:pPr>
        <w:pStyle w:val="Heading1"/>
        <w:spacing w:after="160" w:before="320"/>
      </w:pPr>
      <w:r>
        <w:t xml:space="preserve">Part B — Help us draft categories we haven't built yet</w:t>
      </w:r>
    </w:p>
    <w:p>
      <w:pPr>
        <w:spacing w:after="160"/>
      </w:pPr>
      <w:r>
        <w:t xml:space="preserve">We're picking the next 5–6 categories to launch with, chosen for volume among US e-commerce importers sourcing from China/Vietnam/India. For each, we need: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requirements that actually apply — agency, plain-English description, and (if you know it) the CFR title/part or US Code section that creates the obligation.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triggers it — e.g. "only if it touches food," "only if battery-powered," "only for children's sizing."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sellers most commonly get wrong — this is the part software can't source from a regulation text; it's the reason we're paying for a human review at 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Severity — would getting this wrong actually stop a shipment at the port, or is it a paperwork gap that surfaces later (recall, audit, fine)?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Candidate categories (open to your input if a different 6 would be higher-value):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Apparel &amp; footwear (textiles, care labeling, flammability for children's sleepwear)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Cosmetics &amp; personal care (FDA — ingredient labeling, banned substances, MoCRA facility registration if applicable)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Kitchenware &amp; food-contact items (FDA food-contact substance rules, lead/cadmium in ceramics/glassware)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Furniture &amp; home furnishings (flammability standards, formaldehyde/CARB for composite wood, TSCA Title VI)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Jewelry &amp; fashion accessories (CPSC lead/cadmium limits, especially children's jewelry; FTC precious-metal marking rules)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Pet products (APHIS/USDA for certain materials, CPSC where a product could reach a child, FDA if it's a consumable)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If any of these is clearly out of your expertise, say so rather than guessing — we'd rather drop a category than launch it wrong.</w:t>
      </w:r>
    </w:p>
    <w:p>
      <w:pPr>
        <w:pStyle w:val="Heading1"/>
        <w:spacing w:after="160" w:before="320"/>
      </w:pPr>
      <w:r>
        <w:t xml:space="preserve">What we'll do with the answers</w:t>
      </w:r>
    </w:p>
    <w:p>
      <w:pPr>
        <w:spacing w:after="160"/>
      </w:pPr>
      <w:r>
        <w:t xml:space="preserve">Your Part A corrections go straight into our requirement library. Your Part B answers become new category entries in the same format — before anything ships, every CFR/USC citation you or we identify gets checked against the live eCFR API so a plausible but wrong part number never reaches a user. We already caught one of these ourselves (16 CFR 1130 miscited for a statutory requirement), so we know this step matters.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2026-08-25T12:44:20.592Z</dcterms:created>
  <dcterms:modified xsi:type="dcterms:W3CDTF">2026-08-25T12:44:20.596Z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