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274E" w:rsidRDefault="00000000">
      <w:pPr>
        <w:bidi/>
        <w:rPr>
          <w:b/>
          <w:i/>
          <w:sz w:val="36"/>
          <w:szCs w:val="36"/>
          <w:u w:val="single"/>
        </w:rPr>
      </w:pPr>
      <w:r>
        <w:rPr>
          <w:b/>
          <w:i/>
          <w:sz w:val="36"/>
          <w:szCs w:val="36"/>
          <w:u w:val="single"/>
          <w:rtl/>
        </w:rPr>
        <w:t>קובץ תיעוד הדאטה</w:t>
      </w:r>
    </w:p>
    <w:p w14:paraId="00000002" w14:textId="77777777" w:rsidR="00CC274E" w:rsidRDefault="00CC274E">
      <w:pPr>
        <w:bidi/>
        <w:rPr>
          <w:b/>
          <w:i/>
          <w:sz w:val="36"/>
          <w:szCs w:val="36"/>
          <w:u w:val="single"/>
        </w:rPr>
      </w:pPr>
    </w:p>
    <w:p w14:paraId="00000003" w14:textId="77777777" w:rsidR="00CC274E" w:rsidRDefault="00000000">
      <w:pPr>
        <w:bidi/>
        <w:rPr>
          <w:b/>
          <w:i/>
          <w:sz w:val="28"/>
          <w:szCs w:val="28"/>
          <w:u w:val="single"/>
        </w:rPr>
      </w:pPr>
      <w:r>
        <w:rPr>
          <w:b/>
          <w:i/>
          <w:sz w:val="28"/>
          <w:szCs w:val="28"/>
          <w:u w:val="single"/>
          <w:rtl/>
        </w:rPr>
        <w:t>דאטה יומי:</w:t>
      </w:r>
    </w:p>
    <w:p w14:paraId="00000004" w14:textId="77777777" w:rsidR="00CC274E" w:rsidRDefault="00CC274E">
      <w:pPr>
        <w:bidi/>
        <w:rPr>
          <w:sz w:val="24"/>
          <w:szCs w:val="24"/>
        </w:rPr>
      </w:pPr>
    </w:p>
    <w:p w14:paraId="00000005" w14:textId="77777777" w:rsidR="00CC274E" w:rsidRDefault="00000000">
      <w:pPr>
        <w:numPr>
          <w:ilvl w:val="0"/>
          <w:numId w:val="2"/>
        </w:numPr>
        <w:bidi/>
        <w:rPr>
          <w:sz w:val="24"/>
          <w:szCs w:val="24"/>
        </w:rPr>
      </w:pPr>
      <w:r>
        <w:rPr>
          <w:sz w:val="24"/>
          <w:szCs w:val="24"/>
          <w:rtl/>
        </w:rPr>
        <w:t xml:space="preserve">הדאטה היומי מתעדכן </w:t>
      </w:r>
      <w:r>
        <w:rPr>
          <w:sz w:val="24"/>
          <w:szCs w:val="24"/>
        </w:rPr>
        <w:t>real-time</w:t>
      </w:r>
      <w:r>
        <w:rPr>
          <w:sz w:val="24"/>
          <w:szCs w:val="24"/>
          <w:rtl/>
        </w:rPr>
        <w:t>, כלומר, בכל יום מסחר אנו מקבלים מדידה עדכנית המתארת מספר מדדים (פיצ'רים שונים) הקשורים לביצועי המנייה באותו היום.</w:t>
      </w:r>
    </w:p>
    <w:p w14:paraId="00000006" w14:textId="37BA209B" w:rsidR="00CC274E" w:rsidRDefault="00000000">
      <w:pPr>
        <w:numPr>
          <w:ilvl w:val="0"/>
          <w:numId w:val="2"/>
        </w:numPr>
        <w:bidi/>
        <w:rPr>
          <w:sz w:val="24"/>
          <w:szCs w:val="24"/>
        </w:rPr>
      </w:pPr>
      <w:r>
        <w:rPr>
          <w:sz w:val="24"/>
          <w:szCs w:val="24"/>
          <w:rtl/>
        </w:rPr>
        <w:t>בחרנו להתמקד תחילה במניות מסקטור האנרגיה של מדד ה-</w:t>
      </w:r>
      <w:r>
        <w:rPr>
          <w:sz w:val="24"/>
          <w:szCs w:val="24"/>
        </w:rPr>
        <w:t>s&amp;</w:t>
      </w:r>
      <w:r w:rsidR="009A16A2">
        <w:rPr>
          <w:sz w:val="24"/>
          <w:szCs w:val="24"/>
          <w:lang w:val="en-US"/>
        </w:rPr>
        <w:t>p 500</w:t>
      </w:r>
      <w:r>
        <w:rPr>
          <w:sz w:val="24"/>
          <w:szCs w:val="24"/>
          <w:rtl/>
        </w:rPr>
        <w:t>, המהווה כ- 2.5% מכלל המדד נכון לשנת 2021.</w:t>
      </w:r>
    </w:p>
    <w:p w14:paraId="00000007" w14:textId="77777777" w:rsidR="00CC274E" w:rsidRDefault="00000000">
      <w:pPr>
        <w:numPr>
          <w:ilvl w:val="0"/>
          <w:numId w:val="2"/>
        </w:numPr>
        <w:bidi/>
        <w:rPr>
          <w:sz w:val="24"/>
          <w:szCs w:val="24"/>
        </w:rPr>
      </w:pPr>
      <w:r>
        <w:rPr>
          <w:sz w:val="24"/>
          <w:szCs w:val="24"/>
          <w:rtl/>
        </w:rPr>
        <w:t xml:space="preserve">רשימת המניות בסקטור היא: </w:t>
      </w:r>
    </w:p>
    <w:p w14:paraId="00000008" w14:textId="7AEAA30F" w:rsidR="00CC274E" w:rsidRDefault="00000000">
      <w:pPr>
        <w:bidi/>
        <w:ind w:left="3600"/>
        <w:jc w:val="right"/>
        <w:rPr>
          <w:sz w:val="24"/>
          <w:szCs w:val="24"/>
        </w:rPr>
      </w:pPr>
      <w:r>
        <w:rPr>
          <w:sz w:val="24"/>
          <w:szCs w:val="24"/>
        </w:rPr>
        <w:t xml:space="preserve"> APA - Apache Corporation</w:t>
      </w:r>
    </w:p>
    <w:p w14:paraId="00000009" w14:textId="77777777" w:rsidR="00CC274E" w:rsidRDefault="00000000">
      <w:pPr>
        <w:bidi/>
        <w:ind w:left="5040"/>
        <w:jc w:val="right"/>
        <w:rPr>
          <w:sz w:val="24"/>
          <w:szCs w:val="24"/>
        </w:rPr>
      </w:pPr>
      <w:r>
        <w:rPr>
          <w:sz w:val="24"/>
          <w:szCs w:val="24"/>
        </w:rPr>
        <w:t>BKR - Baker Hughes Company</w:t>
      </w:r>
    </w:p>
    <w:p w14:paraId="0000000A" w14:textId="77777777" w:rsidR="00CC274E" w:rsidRDefault="00000000">
      <w:pPr>
        <w:bidi/>
        <w:ind w:left="5040"/>
        <w:jc w:val="right"/>
        <w:rPr>
          <w:sz w:val="24"/>
          <w:szCs w:val="24"/>
        </w:rPr>
      </w:pPr>
      <w:r>
        <w:rPr>
          <w:sz w:val="24"/>
          <w:szCs w:val="24"/>
        </w:rPr>
        <w:t>CVX - Chevron Corporation</w:t>
      </w:r>
    </w:p>
    <w:p w14:paraId="0000000B" w14:textId="7E8060BF" w:rsidR="00CC274E" w:rsidRPr="009A16A2" w:rsidRDefault="00000000">
      <w:pPr>
        <w:bidi/>
        <w:ind w:left="5040"/>
        <w:jc w:val="right"/>
        <w:rPr>
          <w:sz w:val="24"/>
          <w:szCs w:val="24"/>
          <w:lang w:val="en-US"/>
        </w:rPr>
      </w:pPr>
      <w:r w:rsidRPr="009A16A2">
        <w:rPr>
          <w:sz w:val="24"/>
          <w:szCs w:val="24"/>
          <w:lang w:val="en-US"/>
        </w:rPr>
        <w:t xml:space="preserve">COP </w:t>
      </w:r>
      <w:r w:rsidR="009A16A2" w:rsidRPr="009A16A2">
        <w:rPr>
          <w:sz w:val="24"/>
          <w:szCs w:val="24"/>
          <w:lang w:val="en-US"/>
        </w:rPr>
        <w:t>–</w:t>
      </w:r>
      <w:r w:rsidRPr="009A16A2">
        <w:rPr>
          <w:sz w:val="24"/>
          <w:szCs w:val="24"/>
          <w:lang w:val="en-US"/>
        </w:rPr>
        <w:t xml:space="preserve"> Conoco</w:t>
      </w:r>
      <w:r w:rsidR="009A16A2">
        <w:rPr>
          <w:sz w:val="24"/>
          <w:szCs w:val="24"/>
          <w:lang w:val="en-US"/>
        </w:rPr>
        <w:t xml:space="preserve"> </w:t>
      </w:r>
      <w:r w:rsidRPr="009A16A2">
        <w:rPr>
          <w:sz w:val="24"/>
          <w:szCs w:val="24"/>
          <w:lang w:val="en-US"/>
        </w:rPr>
        <w:t>Phillips</w:t>
      </w:r>
    </w:p>
    <w:p w14:paraId="0000000C" w14:textId="77777777" w:rsidR="00CC274E" w:rsidRPr="009A16A2" w:rsidRDefault="00000000">
      <w:pPr>
        <w:bidi/>
        <w:ind w:left="5040"/>
        <w:jc w:val="right"/>
        <w:rPr>
          <w:sz w:val="24"/>
          <w:szCs w:val="24"/>
          <w:lang w:val="en-US"/>
        </w:rPr>
      </w:pPr>
      <w:r w:rsidRPr="009A16A2">
        <w:rPr>
          <w:sz w:val="24"/>
          <w:szCs w:val="24"/>
          <w:lang w:val="en-US"/>
        </w:rPr>
        <w:t>CTRA - Contura Energy, Inc.</w:t>
      </w:r>
    </w:p>
    <w:p w14:paraId="0000000D" w14:textId="77777777" w:rsidR="00CC274E" w:rsidRPr="009A16A2" w:rsidRDefault="00000000">
      <w:pPr>
        <w:bidi/>
        <w:ind w:left="5040"/>
        <w:jc w:val="right"/>
        <w:rPr>
          <w:sz w:val="24"/>
          <w:szCs w:val="24"/>
          <w:lang w:val="en-US"/>
        </w:rPr>
      </w:pPr>
      <w:r w:rsidRPr="009A16A2">
        <w:rPr>
          <w:sz w:val="24"/>
          <w:szCs w:val="24"/>
          <w:lang w:val="en-US"/>
        </w:rPr>
        <w:t>DVN - Devon Energy Corporation</w:t>
      </w:r>
    </w:p>
    <w:p w14:paraId="0000000E" w14:textId="77777777" w:rsidR="00CC274E" w:rsidRPr="009A16A2" w:rsidRDefault="00000000">
      <w:pPr>
        <w:bidi/>
        <w:ind w:left="5040"/>
        <w:jc w:val="right"/>
        <w:rPr>
          <w:sz w:val="24"/>
          <w:szCs w:val="24"/>
          <w:lang w:val="en-US"/>
        </w:rPr>
      </w:pPr>
      <w:r w:rsidRPr="009A16A2">
        <w:rPr>
          <w:sz w:val="24"/>
          <w:szCs w:val="24"/>
          <w:lang w:val="en-US"/>
        </w:rPr>
        <w:t>FANG - Diamondback Energy, Inc.</w:t>
      </w:r>
    </w:p>
    <w:p w14:paraId="0000000F" w14:textId="77777777" w:rsidR="00CC274E" w:rsidRPr="009A16A2" w:rsidRDefault="00000000">
      <w:pPr>
        <w:bidi/>
        <w:ind w:left="5040"/>
        <w:jc w:val="right"/>
        <w:rPr>
          <w:sz w:val="24"/>
          <w:szCs w:val="24"/>
          <w:lang w:val="en-US"/>
        </w:rPr>
      </w:pPr>
      <w:r w:rsidRPr="009A16A2">
        <w:rPr>
          <w:sz w:val="24"/>
          <w:szCs w:val="24"/>
          <w:lang w:val="en-US"/>
        </w:rPr>
        <w:t>EOG - EOG Resources, Inc.</w:t>
      </w:r>
    </w:p>
    <w:p w14:paraId="00000010" w14:textId="77777777" w:rsidR="00CC274E" w:rsidRPr="009A16A2" w:rsidRDefault="00000000">
      <w:pPr>
        <w:bidi/>
        <w:ind w:left="5040"/>
        <w:jc w:val="right"/>
        <w:rPr>
          <w:sz w:val="24"/>
          <w:szCs w:val="24"/>
          <w:lang w:val="en-US"/>
        </w:rPr>
      </w:pPr>
      <w:r w:rsidRPr="009A16A2">
        <w:rPr>
          <w:sz w:val="24"/>
          <w:szCs w:val="24"/>
          <w:lang w:val="en-US"/>
        </w:rPr>
        <w:t>EQT - EQT Corporation</w:t>
      </w:r>
    </w:p>
    <w:p w14:paraId="00000011" w14:textId="77777777" w:rsidR="00CC274E" w:rsidRPr="009A16A2" w:rsidRDefault="00000000">
      <w:pPr>
        <w:bidi/>
        <w:ind w:left="5040"/>
        <w:jc w:val="right"/>
        <w:rPr>
          <w:sz w:val="24"/>
          <w:szCs w:val="24"/>
          <w:lang w:val="en-US"/>
        </w:rPr>
      </w:pPr>
      <w:r w:rsidRPr="009A16A2">
        <w:rPr>
          <w:sz w:val="24"/>
          <w:szCs w:val="24"/>
          <w:lang w:val="en-US"/>
        </w:rPr>
        <w:t>XOM - Exxon Mobil Corporation</w:t>
      </w:r>
    </w:p>
    <w:p w14:paraId="00000012" w14:textId="77777777" w:rsidR="00CC274E" w:rsidRPr="009A16A2" w:rsidRDefault="00000000">
      <w:pPr>
        <w:bidi/>
        <w:ind w:left="5040"/>
        <w:jc w:val="right"/>
        <w:rPr>
          <w:sz w:val="24"/>
          <w:szCs w:val="24"/>
          <w:lang w:val="en-US"/>
        </w:rPr>
      </w:pPr>
      <w:r w:rsidRPr="009A16A2">
        <w:rPr>
          <w:sz w:val="24"/>
          <w:szCs w:val="24"/>
          <w:lang w:val="en-US"/>
        </w:rPr>
        <w:t>HAL - Halliburton Company</w:t>
      </w:r>
    </w:p>
    <w:p w14:paraId="00000013" w14:textId="77777777" w:rsidR="00CC274E" w:rsidRPr="009A16A2" w:rsidRDefault="00000000">
      <w:pPr>
        <w:bidi/>
        <w:ind w:left="5040"/>
        <w:jc w:val="right"/>
        <w:rPr>
          <w:sz w:val="24"/>
          <w:szCs w:val="24"/>
          <w:lang w:val="en-US"/>
        </w:rPr>
      </w:pPr>
      <w:r w:rsidRPr="009A16A2">
        <w:rPr>
          <w:sz w:val="24"/>
          <w:szCs w:val="24"/>
          <w:lang w:val="en-US"/>
        </w:rPr>
        <w:t>HES - Hess Corporation</w:t>
      </w:r>
    </w:p>
    <w:p w14:paraId="00000014" w14:textId="77777777" w:rsidR="00CC274E" w:rsidRPr="009A16A2" w:rsidRDefault="00000000">
      <w:pPr>
        <w:bidi/>
        <w:ind w:left="5040"/>
        <w:jc w:val="right"/>
        <w:rPr>
          <w:sz w:val="24"/>
          <w:szCs w:val="24"/>
          <w:lang w:val="en-US"/>
        </w:rPr>
      </w:pPr>
      <w:r w:rsidRPr="009A16A2">
        <w:rPr>
          <w:sz w:val="24"/>
          <w:szCs w:val="24"/>
          <w:lang w:val="en-US"/>
        </w:rPr>
        <w:t>KMI - Kinder Morgan, Inc.</w:t>
      </w:r>
    </w:p>
    <w:p w14:paraId="00000015" w14:textId="77777777" w:rsidR="00CC274E" w:rsidRPr="009A16A2" w:rsidRDefault="00000000">
      <w:pPr>
        <w:bidi/>
        <w:ind w:left="5040"/>
        <w:jc w:val="right"/>
        <w:rPr>
          <w:sz w:val="24"/>
          <w:szCs w:val="24"/>
          <w:lang w:val="en-US"/>
        </w:rPr>
      </w:pPr>
      <w:r w:rsidRPr="009A16A2">
        <w:rPr>
          <w:sz w:val="24"/>
          <w:szCs w:val="24"/>
          <w:lang w:val="en-US"/>
        </w:rPr>
        <w:t>MRO - Marathon Oil Corporation</w:t>
      </w:r>
    </w:p>
    <w:p w14:paraId="00000016" w14:textId="19C91367" w:rsidR="00CC274E" w:rsidRPr="009A16A2" w:rsidRDefault="00000000">
      <w:pPr>
        <w:bidi/>
        <w:ind w:left="5040"/>
        <w:jc w:val="right"/>
        <w:rPr>
          <w:rFonts w:hint="cs"/>
          <w:sz w:val="24"/>
          <w:szCs w:val="24"/>
          <w:rtl/>
          <w:lang w:val="en-US"/>
        </w:rPr>
      </w:pPr>
      <w:r w:rsidRPr="009A16A2">
        <w:rPr>
          <w:sz w:val="24"/>
          <w:szCs w:val="24"/>
          <w:lang w:val="en-US"/>
        </w:rPr>
        <w:t>MPC - Marathon Petroleum</w:t>
      </w:r>
      <w:r w:rsidR="009A16A2">
        <w:rPr>
          <w:sz w:val="24"/>
          <w:szCs w:val="24"/>
          <w:lang w:val="en-US"/>
        </w:rPr>
        <w:t xml:space="preserve">  Corporation</w:t>
      </w:r>
    </w:p>
    <w:p w14:paraId="00000017" w14:textId="5E787580" w:rsidR="00CC274E" w:rsidRPr="009A16A2" w:rsidRDefault="00000000">
      <w:pPr>
        <w:bidi/>
        <w:ind w:left="5040"/>
        <w:jc w:val="right"/>
        <w:rPr>
          <w:sz w:val="24"/>
          <w:szCs w:val="24"/>
          <w:lang w:val="en-US"/>
        </w:rPr>
      </w:pPr>
      <w:r w:rsidRPr="009A16A2">
        <w:rPr>
          <w:sz w:val="24"/>
          <w:szCs w:val="24"/>
          <w:lang w:val="en-US"/>
        </w:rPr>
        <w:t>OXY - Occidental Petroleum Corporation</w:t>
      </w:r>
    </w:p>
    <w:p w14:paraId="00000018" w14:textId="77777777" w:rsidR="00CC274E" w:rsidRPr="009A16A2" w:rsidRDefault="00000000">
      <w:pPr>
        <w:bidi/>
        <w:ind w:left="5040"/>
        <w:jc w:val="right"/>
        <w:rPr>
          <w:sz w:val="24"/>
          <w:szCs w:val="24"/>
          <w:lang w:val="en-US"/>
        </w:rPr>
      </w:pPr>
      <w:r w:rsidRPr="009A16A2">
        <w:rPr>
          <w:sz w:val="24"/>
          <w:szCs w:val="24"/>
          <w:lang w:val="en-US"/>
        </w:rPr>
        <w:t>OKE - ONEOK, Inc.</w:t>
      </w:r>
    </w:p>
    <w:p w14:paraId="00000019" w14:textId="77777777" w:rsidR="00CC274E" w:rsidRPr="009A16A2" w:rsidRDefault="00000000">
      <w:pPr>
        <w:bidi/>
        <w:ind w:left="5040"/>
        <w:jc w:val="right"/>
        <w:rPr>
          <w:sz w:val="24"/>
          <w:szCs w:val="24"/>
          <w:lang w:val="en-US"/>
        </w:rPr>
      </w:pPr>
      <w:r w:rsidRPr="009A16A2">
        <w:rPr>
          <w:sz w:val="24"/>
          <w:szCs w:val="24"/>
          <w:lang w:val="en-US"/>
        </w:rPr>
        <w:t>PSX - Phillips 66</w:t>
      </w:r>
    </w:p>
    <w:p w14:paraId="0000001A" w14:textId="77777777" w:rsidR="00CC274E" w:rsidRPr="009A16A2" w:rsidRDefault="00000000">
      <w:pPr>
        <w:bidi/>
        <w:ind w:left="5040"/>
        <w:jc w:val="right"/>
        <w:rPr>
          <w:sz w:val="24"/>
          <w:szCs w:val="24"/>
          <w:lang w:val="en-US"/>
        </w:rPr>
      </w:pPr>
      <w:r w:rsidRPr="009A16A2">
        <w:rPr>
          <w:sz w:val="24"/>
          <w:szCs w:val="24"/>
          <w:lang w:val="en-US"/>
        </w:rPr>
        <w:t>PXD - Pioneer Natural Resources Company</w:t>
      </w:r>
    </w:p>
    <w:p w14:paraId="0000001B" w14:textId="77777777" w:rsidR="00CC274E" w:rsidRPr="009A16A2" w:rsidRDefault="00000000">
      <w:pPr>
        <w:bidi/>
        <w:ind w:left="5040"/>
        <w:jc w:val="right"/>
        <w:rPr>
          <w:sz w:val="24"/>
          <w:szCs w:val="24"/>
          <w:lang w:val="en-US"/>
        </w:rPr>
      </w:pPr>
      <w:r w:rsidRPr="009A16A2">
        <w:rPr>
          <w:sz w:val="24"/>
          <w:szCs w:val="24"/>
          <w:lang w:val="en-US"/>
        </w:rPr>
        <w:t>SLB - Schlumberger Limited</w:t>
      </w:r>
    </w:p>
    <w:p w14:paraId="0000001C" w14:textId="77777777" w:rsidR="00CC274E" w:rsidRPr="009A16A2" w:rsidRDefault="00000000">
      <w:pPr>
        <w:bidi/>
        <w:ind w:left="5040"/>
        <w:jc w:val="right"/>
        <w:rPr>
          <w:sz w:val="24"/>
          <w:szCs w:val="24"/>
          <w:lang w:val="en-US"/>
        </w:rPr>
      </w:pPr>
      <w:r w:rsidRPr="009A16A2">
        <w:rPr>
          <w:sz w:val="24"/>
          <w:szCs w:val="24"/>
          <w:lang w:val="en-US"/>
        </w:rPr>
        <w:t>TRGP - Targa Resources Corp.</w:t>
      </w:r>
    </w:p>
    <w:p w14:paraId="0000001D" w14:textId="77777777" w:rsidR="00CC274E" w:rsidRPr="009A16A2" w:rsidRDefault="00000000">
      <w:pPr>
        <w:bidi/>
        <w:ind w:left="5040"/>
        <w:jc w:val="right"/>
        <w:rPr>
          <w:sz w:val="24"/>
          <w:szCs w:val="24"/>
          <w:lang w:val="en-US"/>
        </w:rPr>
      </w:pPr>
      <w:r w:rsidRPr="009A16A2">
        <w:rPr>
          <w:sz w:val="24"/>
          <w:szCs w:val="24"/>
          <w:lang w:val="en-US"/>
        </w:rPr>
        <w:t>VLO - Valero Energy Corporation</w:t>
      </w:r>
    </w:p>
    <w:p w14:paraId="0000001E" w14:textId="77777777" w:rsidR="00CC274E" w:rsidRPr="009A16A2" w:rsidRDefault="00000000">
      <w:pPr>
        <w:bidi/>
        <w:ind w:left="5040"/>
        <w:jc w:val="right"/>
        <w:rPr>
          <w:sz w:val="24"/>
          <w:szCs w:val="24"/>
          <w:lang w:val="en-US"/>
        </w:rPr>
      </w:pPr>
      <w:r w:rsidRPr="009A16A2">
        <w:rPr>
          <w:sz w:val="24"/>
          <w:szCs w:val="24"/>
          <w:lang w:val="en-US"/>
        </w:rPr>
        <w:t>WMB - The Williams Companies, Inc.</w:t>
      </w:r>
    </w:p>
    <w:p w14:paraId="0000001F" w14:textId="77777777" w:rsidR="00CC274E" w:rsidRPr="009A16A2" w:rsidRDefault="00CC274E">
      <w:pPr>
        <w:bidi/>
        <w:ind w:left="1440"/>
        <w:jc w:val="both"/>
        <w:rPr>
          <w:sz w:val="24"/>
          <w:szCs w:val="24"/>
          <w:lang w:val="en-US"/>
        </w:rPr>
      </w:pPr>
    </w:p>
    <w:p w14:paraId="00000020" w14:textId="77777777" w:rsidR="00CC274E" w:rsidRDefault="00000000">
      <w:pPr>
        <w:numPr>
          <w:ilvl w:val="0"/>
          <w:numId w:val="3"/>
        </w:numPr>
        <w:bidi/>
        <w:jc w:val="both"/>
        <w:rPr>
          <w:sz w:val="24"/>
          <w:szCs w:val="24"/>
        </w:rPr>
      </w:pPr>
      <w:r>
        <w:rPr>
          <w:sz w:val="24"/>
          <w:szCs w:val="24"/>
          <w:rtl/>
        </w:rPr>
        <w:t>בדאטה היומי יש לנו כ-1257 תצפיות שונות עבור כל מנייה, כאשר הדאטה מתחיל בתאריך 21/5/2018.</w:t>
      </w:r>
    </w:p>
    <w:p w14:paraId="00000021" w14:textId="77777777" w:rsidR="00CC274E" w:rsidRDefault="00000000">
      <w:pPr>
        <w:numPr>
          <w:ilvl w:val="0"/>
          <w:numId w:val="3"/>
        </w:numPr>
        <w:bidi/>
        <w:jc w:val="both"/>
        <w:rPr>
          <w:sz w:val="24"/>
          <w:szCs w:val="24"/>
        </w:rPr>
      </w:pPr>
      <w:r>
        <w:rPr>
          <w:sz w:val="24"/>
          <w:szCs w:val="24"/>
          <w:rtl/>
        </w:rPr>
        <w:t>רשימת הפיצ'רים שקיבלנו בדאטה שלנו כוללת:</w:t>
      </w:r>
    </w:p>
    <w:p w14:paraId="00000022" w14:textId="77777777" w:rsidR="00CC274E" w:rsidRPr="009A16A2" w:rsidRDefault="00000000">
      <w:pPr>
        <w:ind w:left="720"/>
        <w:rPr>
          <w:sz w:val="24"/>
          <w:szCs w:val="24"/>
          <w:lang w:val="en-US"/>
        </w:rPr>
      </w:pPr>
      <w:r>
        <w:rPr>
          <w:sz w:val="24"/>
          <w:szCs w:val="24"/>
        </w:rPr>
        <w:tab/>
      </w:r>
      <w:r w:rsidRPr="009A16A2">
        <w:rPr>
          <w:sz w:val="24"/>
          <w:szCs w:val="24"/>
          <w:lang w:val="en-US"/>
        </w:rPr>
        <w:t>Symbol</w:t>
      </w:r>
    </w:p>
    <w:p w14:paraId="00000023" w14:textId="77777777" w:rsidR="00CC274E" w:rsidRPr="009A16A2" w:rsidRDefault="00000000">
      <w:pPr>
        <w:ind w:left="720"/>
        <w:rPr>
          <w:sz w:val="24"/>
          <w:szCs w:val="24"/>
          <w:lang w:val="en-US"/>
        </w:rPr>
      </w:pPr>
      <w:r w:rsidRPr="009A16A2">
        <w:rPr>
          <w:sz w:val="24"/>
          <w:szCs w:val="24"/>
          <w:lang w:val="en-US"/>
        </w:rPr>
        <w:tab/>
        <w:t>Historical</w:t>
      </w:r>
    </w:p>
    <w:p w14:paraId="00000024" w14:textId="77777777" w:rsidR="00CC274E" w:rsidRPr="009A16A2" w:rsidRDefault="00000000">
      <w:pPr>
        <w:ind w:left="720"/>
        <w:rPr>
          <w:sz w:val="24"/>
          <w:szCs w:val="24"/>
          <w:lang w:val="en-US"/>
        </w:rPr>
      </w:pPr>
      <w:r w:rsidRPr="009A16A2">
        <w:rPr>
          <w:sz w:val="24"/>
          <w:szCs w:val="24"/>
          <w:lang w:val="en-US"/>
        </w:rPr>
        <w:tab/>
        <w:t>Date</w:t>
      </w:r>
    </w:p>
    <w:p w14:paraId="00000025" w14:textId="77777777" w:rsidR="00CC274E" w:rsidRPr="009A16A2" w:rsidRDefault="00000000">
      <w:pPr>
        <w:ind w:left="720"/>
        <w:rPr>
          <w:sz w:val="24"/>
          <w:szCs w:val="24"/>
          <w:lang w:val="en-US"/>
        </w:rPr>
      </w:pPr>
      <w:r w:rsidRPr="009A16A2">
        <w:rPr>
          <w:sz w:val="24"/>
          <w:szCs w:val="24"/>
          <w:lang w:val="en-US"/>
        </w:rPr>
        <w:lastRenderedPageBreak/>
        <w:tab/>
        <w:t>Open</w:t>
      </w:r>
    </w:p>
    <w:p w14:paraId="00000026" w14:textId="77777777" w:rsidR="00CC274E" w:rsidRPr="009A16A2" w:rsidRDefault="00000000">
      <w:pPr>
        <w:ind w:left="720"/>
        <w:rPr>
          <w:sz w:val="24"/>
          <w:szCs w:val="24"/>
          <w:lang w:val="en-US"/>
        </w:rPr>
      </w:pPr>
      <w:r w:rsidRPr="009A16A2">
        <w:rPr>
          <w:sz w:val="24"/>
          <w:szCs w:val="24"/>
          <w:lang w:val="en-US"/>
        </w:rPr>
        <w:tab/>
        <w:t>High</w:t>
      </w:r>
    </w:p>
    <w:p w14:paraId="00000027" w14:textId="77777777" w:rsidR="00CC274E" w:rsidRPr="009A16A2" w:rsidRDefault="00000000">
      <w:pPr>
        <w:ind w:left="720"/>
        <w:rPr>
          <w:sz w:val="24"/>
          <w:szCs w:val="24"/>
          <w:lang w:val="en-US"/>
        </w:rPr>
      </w:pPr>
      <w:r w:rsidRPr="009A16A2">
        <w:rPr>
          <w:sz w:val="24"/>
          <w:szCs w:val="24"/>
          <w:lang w:val="en-US"/>
        </w:rPr>
        <w:tab/>
        <w:t>Low</w:t>
      </w:r>
    </w:p>
    <w:p w14:paraId="00000028" w14:textId="77777777" w:rsidR="00CC274E" w:rsidRPr="009A16A2" w:rsidRDefault="00000000">
      <w:pPr>
        <w:ind w:left="720"/>
        <w:rPr>
          <w:sz w:val="24"/>
          <w:szCs w:val="24"/>
          <w:lang w:val="en-US"/>
        </w:rPr>
      </w:pPr>
      <w:r w:rsidRPr="009A16A2">
        <w:rPr>
          <w:sz w:val="24"/>
          <w:szCs w:val="24"/>
          <w:lang w:val="en-US"/>
        </w:rPr>
        <w:tab/>
        <w:t>Close</w:t>
      </w:r>
    </w:p>
    <w:p w14:paraId="00000029" w14:textId="77777777" w:rsidR="00CC274E" w:rsidRPr="009A16A2" w:rsidRDefault="00000000">
      <w:pPr>
        <w:ind w:left="720"/>
        <w:rPr>
          <w:sz w:val="24"/>
          <w:szCs w:val="24"/>
          <w:lang w:val="en-US"/>
        </w:rPr>
      </w:pPr>
      <w:r w:rsidRPr="009A16A2">
        <w:rPr>
          <w:sz w:val="24"/>
          <w:szCs w:val="24"/>
          <w:lang w:val="en-US"/>
        </w:rPr>
        <w:tab/>
        <w:t>AdjClose</w:t>
      </w:r>
    </w:p>
    <w:p w14:paraId="0000002A" w14:textId="77777777" w:rsidR="00CC274E" w:rsidRPr="009A16A2" w:rsidRDefault="00000000">
      <w:pPr>
        <w:ind w:left="720"/>
        <w:rPr>
          <w:sz w:val="24"/>
          <w:szCs w:val="24"/>
          <w:lang w:val="en-US"/>
        </w:rPr>
      </w:pPr>
      <w:r w:rsidRPr="009A16A2">
        <w:rPr>
          <w:sz w:val="24"/>
          <w:szCs w:val="24"/>
          <w:lang w:val="en-US"/>
        </w:rPr>
        <w:tab/>
        <w:t>Volume</w:t>
      </w:r>
    </w:p>
    <w:p w14:paraId="0000002B" w14:textId="77777777" w:rsidR="00CC274E" w:rsidRPr="009A16A2" w:rsidRDefault="00000000">
      <w:pPr>
        <w:ind w:left="720"/>
        <w:rPr>
          <w:sz w:val="24"/>
          <w:szCs w:val="24"/>
          <w:lang w:val="en-US"/>
        </w:rPr>
      </w:pPr>
      <w:r w:rsidRPr="009A16A2">
        <w:rPr>
          <w:sz w:val="24"/>
          <w:szCs w:val="24"/>
          <w:lang w:val="en-US"/>
        </w:rPr>
        <w:tab/>
        <w:t>UnAdjustedVolume</w:t>
      </w:r>
    </w:p>
    <w:p w14:paraId="0000002C" w14:textId="77777777" w:rsidR="00CC274E" w:rsidRPr="009A16A2" w:rsidRDefault="00000000">
      <w:pPr>
        <w:ind w:left="720"/>
        <w:rPr>
          <w:sz w:val="24"/>
          <w:szCs w:val="24"/>
          <w:lang w:val="en-US"/>
        </w:rPr>
      </w:pPr>
      <w:r w:rsidRPr="009A16A2">
        <w:rPr>
          <w:sz w:val="24"/>
          <w:szCs w:val="24"/>
          <w:lang w:val="en-US"/>
        </w:rPr>
        <w:tab/>
        <w:t>Change</w:t>
      </w:r>
    </w:p>
    <w:p w14:paraId="0000002D" w14:textId="77777777" w:rsidR="00CC274E" w:rsidRPr="009A16A2" w:rsidRDefault="00000000">
      <w:pPr>
        <w:ind w:left="720"/>
        <w:rPr>
          <w:sz w:val="24"/>
          <w:szCs w:val="24"/>
          <w:lang w:val="en-US"/>
        </w:rPr>
      </w:pPr>
      <w:r w:rsidRPr="009A16A2">
        <w:rPr>
          <w:sz w:val="24"/>
          <w:szCs w:val="24"/>
          <w:lang w:val="en-US"/>
        </w:rPr>
        <w:tab/>
        <w:t>ChangePercent</w:t>
      </w:r>
    </w:p>
    <w:p w14:paraId="0000002E" w14:textId="77777777" w:rsidR="00CC274E" w:rsidRDefault="00000000">
      <w:pPr>
        <w:ind w:left="720"/>
        <w:rPr>
          <w:sz w:val="24"/>
          <w:szCs w:val="24"/>
        </w:rPr>
      </w:pPr>
      <w:r w:rsidRPr="009A16A2">
        <w:rPr>
          <w:sz w:val="24"/>
          <w:szCs w:val="24"/>
          <w:lang w:val="en-US"/>
        </w:rPr>
        <w:tab/>
      </w:r>
      <w:r>
        <w:rPr>
          <w:sz w:val="24"/>
          <w:szCs w:val="24"/>
        </w:rPr>
        <w:t>Vwap</w:t>
      </w:r>
    </w:p>
    <w:p w14:paraId="0000002F" w14:textId="77777777" w:rsidR="00CC274E" w:rsidRDefault="00000000">
      <w:pPr>
        <w:ind w:left="720"/>
        <w:rPr>
          <w:sz w:val="24"/>
          <w:szCs w:val="24"/>
        </w:rPr>
      </w:pPr>
      <w:r>
        <w:rPr>
          <w:sz w:val="24"/>
          <w:szCs w:val="24"/>
        </w:rPr>
        <w:tab/>
        <w:t>Label</w:t>
      </w:r>
    </w:p>
    <w:p w14:paraId="00000030" w14:textId="77777777" w:rsidR="00CC274E" w:rsidRDefault="00000000">
      <w:pPr>
        <w:ind w:left="720"/>
        <w:rPr>
          <w:sz w:val="24"/>
          <w:szCs w:val="24"/>
        </w:rPr>
      </w:pPr>
      <w:r>
        <w:rPr>
          <w:sz w:val="24"/>
          <w:szCs w:val="24"/>
        </w:rPr>
        <w:tab/>
        <w:t>ChangeOverTime</w:t>
      </w:r>
    </w:p>
    <w:p w14:paraId="00000031" w14:textId="77777777" w:rsidR="00CC274E" w:rsidRDefault="00CC274E">
      <w:pPr>
        <w:bidi/>
        <w:ind w:left="720"/>
        <w:jc w:val="both"/>
        <w:rPr>
          <w:sz w:val="24"/>
          <w:szCs w:val="24"/>
        </w:rPr>
      </w:pPr>
    </w:p>
    <w:p w14:paraId="00000032" w14:textId="77777777" w:rsidR="00CC274E" w:rsidRDefault="00000000">
      <w:pPr>
        <w:bidi/>
        <w:ind w:left="720"/>
        <w:jc w:val="both"/>
        <w:rPr>
          <w:sz w:val="24"/>
          <w:szCs w:val="24"/>
        </w:rPr>
      </w:pPr>
      <w:r>
        <w:rPr>
          <w:sz w:val="24"/>
          <w:szCs w:val="24"/>
          <w:rtl/>
        </w:rPr>
        <w:t>ניתן לגזור מן הנתונים או מהאינטרנט פיצ'רים נוספים הקשורים למנייה כמו למשל המשקל המשוקלל שלה מתוך המדד או דו"חות רבעוניים.</w:t>
      </w:r>
    </w:p>
    <w:p w14:paraId="00000033" w14:textId="77777777" w:rsidR="00CC274E" w:rsidRDefault="00CC274E">
      <w:pPr>
        <w:bidi/>
        <w:jc w:val="both"/>
        <w:rPr>
          <w:sz w:val="24"/>
          <w:szCs w:val="24"/>
        </w:rPr>
      </w:pPr>
    </w:p>
    <w:p w14:paraId="00000034" w14:textId="77777777" w:rsidR="00CC274E" w:rsidRDefault="00000000">
      <w:pPr>
        <w:numPr>
          <w:ilvl w:val="0"/>
          <w:numId w:val="1"/>
        </w:numPr>
        <w:bidi/>
        <w:jc w:val="both"/>
        <w:rPr>
          <w:sz w:val="24"/>
          <w:szCs w:val="24"/>
        </w:rPr>
      </w:pPr>
      <w:r>
        <w:rPr>
          <w:sz w:val="24"/>
          <w:szCs w:val="24"/>
          <w:rtl/>
        </w:rPr>
        <w:t>בהמשך נתעסק גם בדאטה שעתי, המספק אינפורמציה שרלוונטית לסוג אחר של משקיעים, אלו הפעילים במסחר על בסיס יומיומי ומבצעים מספר גבוה יותר של טרנזאקציות בהיקף נמוך יותר מאשר המשקיעים לטווח ארוך.</w:t>
      </w:r>
    </w:p>
    <w:p w14:paraId="00000035" w14:textId="77777777" w:rsidR="00CC274E" w:rsidRDefault="00CC274E">
      <w:pPr>
        <w:bidi/>
        <w:ind w:left="720"/>
        <w:jc w:val="both"/>
        <w:rPr>
          <w:sz w:val="24"/>
          <w:szCs w:val="24"/>
        </w:rPr>
      </w:pPr>
    </w:p>
    <w:p w14:paraId="00000036" w14:textId="77777777" w:rsidR="00CC274E" w:rsidRDefault="00CC274E">
      <w:pPr>
        <w:bidi/>
        <w:jc w:val="both"/>
        <w:rPr>
          <w:sz w:val="24"/>
          <w:szCs w:val="24"/>
        </w:rPr>
      </w:pPr>
    </w:p>
    <w:p w14:paraId="00000037" w14:textId="77777777" w:rsidR="00CC274E" w:rsidRDefault="00000000">
      <w:pPr>
        <w:bidi/>
        <w:ind w:left="720"/>
        <w:jc w:val="both"/>
        <w:rPr>
          <w:sz w:val="24"/>
          <w:szCs w:val="24"/>
        </w:rPr>
      </w:pPr>
      <w:r>
        <w:rPr>
          <w:sz w:val="24"/>
          <w:szCs w:val="24"/>
        </w:rPr>
        <w:tab/>
      </w:r>
    </w:p>
    <w:p w14:paraId="00000038" w14:textId="77777777" w:rsidR="00CC274E" w:rsidRDefault="00CC274E">
      <w:pPr>
        <w:bidi/>
        <w:rPr>
          <w:sz w:val="24"/>
          <w:szCs w:val="24"/>
        </w:rPr>
      </w:pPr>
    </w:p>
    <w:sectPr w:rsidR="00CC27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1AEB"/>
    <w:multiLevelType w:val="multilevel"/>
    <w:tmpl w:val="B0E00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912AC"/>
    <w:multiLevelType w:val="multilevel"/>
    <w:tmpl w:val="296E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E3544A"/>
    <w:multiLevelType w:val="multilevel"/>
    <w:tmpl w:val="C56C6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218529">
    <w:abstractNumId w:val="2"/>
  </w:num>
  <w:num w:numId="2" w16cid:durableId="1126192127">
    <w:abstractNumId w:val="0"/>
  </w:num>
  <w:num w:numId="3" w16cid:durableId="136786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4E"/>
    <w:rsid w:val="009A16A2"/>
    <w:rsid w:val="00CC27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BAD"/>
  <w15:docId w15:val="{6B33A89A-EA91-4FF5-A4C1-A9E9D00E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256</Words>
  <Characters>1281</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shapp</dc:creator>
  <cp:lastModifiedBy>Gilad Shappir</cp:lastModifiedBy>
  <cp:revision>2</cp:revision>
  <dcterms:created xsi:type="dcterms:W3CDTF">2023-05-18T08:36:00Z</dcterms:created>
  <dcterms:modified xsi:type="dcterms:W3CDTF">2023-05-18T08:36:00Z</dcterms:modified>
</cp:coreProperties>
</file>