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42EFC" w14:textId="77777777" w:rsidR="00C70EA6" w:rsidRPr="00C70EA6" w:rsidRDefault="00C70EA6" w:rsidP="00C70EA6">
      <w:pPr>
        <w:autoSpaceDE w:val="0"/>
        <w:autoSpaceDN w:val="0"/>
        <w:adjustRightInd w:val="0"/>
        <w:spacing w:after="0" w:line="360" w:lineRule="auto"/>
        <w:ind w:right="-720"/>
        <w:outlineLvl w:val="0"/>
        <w:rPr>
          <w:rFonts w:ascii="Keren" w:eastAsia="Times New Roman" w:hAnsi="Keren" w:cs="Keren"/>
          <w:sz w:val="26"/>
          <w:szCs w:val="24"/>
          <w:lang w:eastAsia="he-IL"/>
          <w14:ligatures w14:val="none"/>
        </w:rPr>
      </w:pPr>
      <w:bookmarkStart w:id="0" w:name="_Toc88310591"/>
      <w:bookmarkStart w:id="1" w:name="_Toc88310592"/>
      <w:bookmarkStart w:id="2" w:name="_Toc88356465"/>
      <w:bookmarkStart w:id="3" w:name="_Toc88529929"/>
      <w:r w:rsidRPr="00C70EA6">
        <w:rPr>
          <w:rFonts w:ascii="Keren" w:eastAsia="Times New Roman" w:hAnsi="Keren" w:cs="Keren"/>
          <w:sz w:val="26"/>
          <w:szCs w:val="24"/>
          <w:rtl/>
          <w:lang w:eastAsia="he-IL"/>
          <w14:ligatures w14:val="none"/>
        </w:rPr>
        <w:t>חלק שני – הלכות ומנהגים</w:t>
      </w:r>
      <w:bookmarkEnd w:id="0"/>
      <w:bookmarkEnd w:id="1"/>
      <w:bookmarkEnd w:id="2"/>
      <w:bookmarkEnd w:id="3"/>
    </w:p>
    <w:p w14:paraId="221B7388" w14:textId="77777777" w:rsidR="00C70EA6" w:rsidRPr="00C70EA6" w:rsidRDefault="00C70EA6" w:rsidP="00C70EA6">
      <w:pPr>
        <w:spacing w:after="0" w:line="360" w:lineRule="auto"/>
        <w:ind w:left="26" w:right="720"/>
        <w:jc w:val="both"/>
        <w:rPr>
          <w:rFonts w:ascii="Keren" w:eastAsia="Times New Roman" w:hAnsi="Keren" w:cs="David"/>
          <w:sz w:val="28"/>
          <w:szCs w:val="24"/>
          <w:rtl/>
          <w:lang w:eastAsia="he-IL"/>
          <w14:ligatures w14:val="none"/>
        </w:rPr>
      </w:pPr>
    </w:p>
    <w:p w14:paraId="122BF729" w14:textId="77777777" w:rsidR="00C70EA6" w:rsidRPr="00C70EA6" w:rsidRDefault="00C70EA6" w:rsidP="00C70EA6">
      <w:pPr>
        <w:keepNext/>
        <w:spacing w:after="0" w:line="360" w:lineRule="auto"/>
        <w:ind w:left="28"/>
        <w:jc w:val="both"/>
        <w:outlineLvl w:val="4"/>
        <w:rPr>
          <w:rFonts w:ascii="Keren" w:eastAsia="Times New Roman" w:hAnsi="Keren" w:cs="David"/>
          <w:sz w:val="26"/>
          <w:szCs w:val="24"/>
          <w:rtl/>
          <w:lang w:eastAsia="he-IL"/>
          <w14:ligatures w14:val="none"/>
        </w:rPr>
      </w:pPr>
      <w:bookmarkStart w:id="4" w:name="_Toc88529930"/>
      <w:r w:rsidRPr="00C70EA6">
        <w:rPr>
          <w:rFonts w:ascii="Keren" w:eastAsia="Times New Roman" w:hAnsi="Keren" w:cs="David"/>
          <w:sz w:val="26"/>
          <w:szCs w:val="24"/>
          <w:rtl/>
          <w:lang w:eastAsia="he-IL"/>
          <w14:ligatures w14:val="none"/>
        </w:rPr>
        <w:t>מבוא</w:t>
      </w:r>
      <w:bookmarkEnd w:id="4"/>
    </w:p>
    <w:p w14:paraId="3BB58FB3" w14:textId="77777777" w:rsidR="00C70EA6" w:rsidRPr="00C70EA6" w:rsidRDefault="00C70EA6" w:rsidP="00C70EA6">
      <w:pPr>
        <w:spacing w:after="0" w:line="360" w:lineRule="auto"/>
        <w:jc w:val="both"/>
        <w:rPr>
          <w:rFonts w:ascii="Keren" w:eastAsia="Times New Roman" w:hAnsi="Keren" w:cs="David" w:hint="cs"/>
          <w:sz w:val="26"/>
          <w:szCs w:val="24"/>
          <w:lang w:eastAsia="he-IL"/>
          <w14:ligatures w14:val="none"/>
        </w:rPr>
      </w:pPr>
      <w:r w:rsidRPr="00C70EA6">
        <w:rPr>
          <w:rFonts w:ascii="Keren" w:eastAsia="Times New Roman" w:hAnsi="Keren" w:cs="David"/>
          <w:sz w:val="26"/>
          <w:szCs w:val="24"/>
          <w:rtl/>
          <w:lang w:eastAsia="he-IL"/>
          <w14:ligatures w14:val="none"/>
        </w:rPr>
        <w:t>בהקדמה לספר צוין כבר כי ההלכה היהודית מדריכה את האדם בכל צעד ושעל בחייו. בהלכות אבלות מקבלת הדרכה פרטנית כזאת משמעות וצורך נוספים. דווקא הוראות פרטניות ומובנות כאלה עשויות בדרך כלל להקל מאוד על משפחת הנפטר, המתקשה בשעות אלה ליזום ולתכנן פעולות שיביעו ויתארו את הצער והאבל. המפגש של האבלים עם כללי הטקס הקבועים והמוכרים, עשוי לתת הרגשת ביטחון לאבלים שנחשפו לתחושות קשות של תהיות, חוסר ביטחון וחוסר ודאות. המפגש עם טקס מוכר עשוי להרגיע ולשחרר במידה מסוימת.</w:t>
      </w:r>
    </w:p>
    <w:p w14:paraId="3F569B85" w14:textId="77777777" w:rsidR="00C70EA6" w:rsidRPr="00C70EA6" w:rsidRDefault="00C70EA6" w:rsidP="00C70EA6">
      <w:pPr>
        <w:spacing w:after="0" w:line="360" w:lineRule="auto"/>
        <w:jc w:val="both"/>
        <w:rPr>
          <w:rFonts w:ascii="Keren" w:eastAsia="Times New Roman" w:hAnsi="Keren" w:cs="David"/>
          <w:sz w:val="26"/>
          <w:szCs w:val="24"/>
          <w:rtl/>
          <w:lang w:eastAsia="he-IL"/>
          <w14:ligatures w14:val="none"/>
        </w:rPr>
      </w:pPr>
      <w:r w:rsidRPr="00C70EA6">
        <w:rPr>
          <w:rFonts w:ascii="Keren" w:eastAsia="Times New Roman" w:hAnsi="Keren" w:cs="David"/>
          <w:sz w:val="26"/>
          <w:szCs w:val="24"/>
          <w:rtl/>
          <w:lang w:eastAsia="he-IL"/>
          <w14:ligatures w14:val="none"/>
        </w:rPr>
        <w:t>גם מבחינת ההשתייכות החברתית, החיונית כל כך לתמיכה ולחיזוק בזמן האבלות, הכללים הנורמטיביים מקילים הן על האבלים השרויים בתחושת האובדן, והן על החברה שסביבם שיכולה להזדהות עם האבלים ולתמוך בהם. ההשתייכות למסגרת התנהגותית מוכרת ומקובלת, מעניקה תמיכה וביטחון.</w:t>
      </w:r>
    </w:p>
    <w:p w14:paraId="789920D1" w14:textId="77777777" w:rsidR="00C70EA6" w:rsidRPr="00C70EA6" w:rsidRDefault="00C70EA6" w:rsidP="00C70EA6">
      <w:pPr>
        <w:spacing w:after="0" w:line="360" w:lineRule="auto"/>
        <w:jc w:val="both"/>
        <w:rPr>
          <w:rFonts w:ascii="Keren" w:eastAsia="Times New Roman" w:hAnsi="Keren" w:cs="David"/>
          <w:sz w:val="26"/>
          <w:szCs w:val="24"/>
          <w:rtl/>
          <w:lang w:eastAsia="he-IL"/>
          <w14:ligatures w14:val="none"/>
        </w:rPr>
      </w:pPr>
      <w:r w:rsidRPr="00C70EA6">
        <w:rPr>
          <w:rFonts w:ascii="Keren" w:eastAsia="Times New Roman" w:hAnsi="Keren" w:cs="David"/>
          <w:sz w:val="26"/>
          <w:szCs w:val="24"/>
          <w:rtl/>
          <w:lang w:eastAsia="he-IL"/>
          <w14:ligatures w14:val="none"/>
        </w:rPr>
        <w:t xml:space="preserve">הסתכלות כזאת עשויה לתת משמעות שונה לגמרי להלכות אבלות. דווקא ההוראות המדוקדקות, הטקסטים הקבועים והסדרים המוכרים עשויים לשחרר את האבלים מהצורך להפנות אנרגיות לתכנון אבלותם, ומאפשרים להם להתרכז באבלם. </w:t>
      </w:r>
    </w:p>
    <w:p w14:paraId="258CFA86" w14:textId="77777777" w:rsidR="00C70EA6" w:rsidRPr="00C70EA6" w:rsidRDefault="00C70EA6" w:rsidP="00C70EA6">
      <w:pPr>
        <w:spacing w:after="0" w:line="360" w:lineRule="auto"/>
        <w:jc w:val="both"/>
        <w:rPr>
          <w:rFonts w:ascii="Keren" w:eastAsia="Times New Roman" w:hAnsi="Keren" w:cs="David"/>
          <w:sz w:val="26"/>
          <w:szCs w:val="24"/>
          <w:rtl/>
          <w:lang w:eastAsia="he-IL"/>
          <w14:ligatures w14:val="none"/>
        </w:rPr>
      </w:pPr>
      <w:r w:rsidRPr="00C70EA6">
        <w:rPr>
          <w:rFonts w:ascii="Keren" w:eastAsia="Times New Roman" w:hAnsi="Keren" w:cs="David"/>
          <w:sz w:val="26"/>
          <w:szCs w:val="24"/>
          <w:rtl/>
          <w:lang w:eastAsia="he-IL"/>
          <w14:ligatures w14:val="none"/>
        </w:rPr>
        <w:t xml:space="preserve">לאור הסתכלות זו יש לבחון את ההוראות דלקמן, שגם בהן יתכנו רמות שונות של דקדוק והקפדה, לפי תחושותיהם ומנהגיהם של האבלים. </w:t>
      </w:r>
    </w:p>
    <w:p w14:paraId="2C739F41" w14:textId="77777777" w:rsidR="00C70EA6" w:rsidRPr="00C70EA6" w:rsidRDefault="00C70EA6" w:rsidP="00C70EA6">
      <w:pPr>
        <w:spacing w:after="0" w:line="360" w:lineRule="auto"/>
        <w:jc w:val="both"/>
        <w:rPr>
          <w:rFonts w:ascii="Keren" w:eastAsia="Times New Roman" w:hAnsi="Keren" w:cs="David"/>
          <w:sz w:val="26"/>
          <w:szCs w:val="24"/>
          <w:rtl/>
          <w:lang w:eastAsia="he-IL"/>
          <w14:ligatures w14:val="none"/>
        </w:rPr>
      </w:pPr>
      <w:r w:rsidRPr="00C70EA6">
        <w:rPr>
          <w:rFonts w:ascii="Keren" w:eastAsia="Times New Roman" w:hAnsi="Keren" w:cs="David"/>
          <w:sz w:val="26"/>
          <w:szCs w:val="24"/>
          <w:rtl/>
          <w:lang w:eastAsia="he-IL"/>
          <w14:ligatures w14:val="none"/>
        </w:rPr>
        <w:t xml:space="preserve">יש להבדיל בין הלכות קבועות לבין מנהגים. בהדרכה דלקמן ננסה להתייחס להבדלים אלו ולהגדיר גם אותם. </w:t>
      </w:r>
    </w:p>
    <w:p w14:paraId="6AB13968" w14:textId="77777777" w:rsidR="00C70EA6" w:rsidRPr="00C70EA6" w:rsidRDefault="00C70EA6" w:rsidP="00C70EA6">
      <w:pPr>
        <w:spacing w:after="0" w:line="360" w:lineRule="auto"/>
        <w:jc w:val="both"/>
        <w:rPr>
          <w:rFonts w:ascii="Keren" w:eastAsia="Times New Roman" w:hAnsi="Keren" w:cs="David"/>
          <w:sz w:val="26"/>
          <w:szCs w:val="24"/>
          <w:u w:val="single"/>
          <w:rtl/>
          <w:lang w:eastAsia="he-IL"/>
          <w14:ligatures w14:val="none"/>
        </w:rPr>
      </w:pPr>
    </w:p>
    <w:p w14:paraId="2BF43ED9" w14:textId="77777777" w:rsidR="00C70EA6" w:rsidRPr="00C70EA6" w:rsidRDefault="00C70EA6" w:rsidP="00C70EA6">
      <w:pPr>
        <w:spacing w:after="0" w:line="360" w:lineRule="auto"/>
        <w:jc w:val="both"/>
        <w:rPr>
          <w:rFonts w:ascii="Keren" w:eastAsia="Times New Roman" w:hAnsi="Keren" w:cs="David"/>
          <w:sz w:val="26"/>
          <w:szCs w:val="24"/>
          <w:u w:val="single"/>
          <w:rtl/>
          <w:lang w:eastAsia="he-IL"/>
          <w14:ligatures w14:val="none"/>
        </w:rPr>
      </w:pPr>
    </w:p>
    <w:p w14:paraId="3F2C59D7" w14:textId="4F7DA56D" w:rsidR="00D5072B" w:rsidRPr="00C70EA6" w:rsidRDefault="00D5072B" w:rsidP="00C70EA6"/>
    <w:sectPr w:rsidR="00D5072B" w:rsidRPr="00C70EA6"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76BC" w14:textId="77777777" w:rsidR="00282340" w:rsidRDefault="00282340" w:rsidP="00A00C1F">
      <w:pPr>
        <w:spacing w:after="0" w:line="240" w:lineRule="auto"/>
      </w:pPr>
      <w:r>
        <w:separator/>
      </w:r>
    </w:p>
  </w:endnote>
  <w:endnote w:type="continuationSeparator" w:id="0">
    <w:p w14:paraId="6A6F5562" w14:textId="77777777" w:rsidR="00282340" w:rsidRDefault="00282340"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Keren">
    <w:altName w:val="Times New Roman"/>
    <w:charset w:val="B1"/>
    <w:family w:val="auto"/>
    <w:pitch w:val="variable"/>
    <w:sig w:usb0="00001801" w:usb1="00000000" w:usb2="00000000" w:usb3="00000000" w:csb0="0000002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BF5F5" w14:textId="77777777" w:rsidR="00282340" w:rsidRDefault="00282340" w:rsidP="00A00C1F">
      <w:pPr>
        <w:spacing w:after="0" w:line="240" w:lineRule="auto"/>
      </w:pPr>
      <w:r>
        <w:separator/>
      </w:r>
    </w:p>
  </w:footnote>
  <w:footnote w:type="continuationSeparator" w:id="0">
    <w:p w14:paraId="57BD1926" w14:textId="77777777" w:rsidR="00282340" w:rsidRDefault="00282340" w:rsidP="00A00C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1"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2"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3"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num w:numId="1" w16cid:durableId="1673337132">
    <w:abstractNumId w:val="2"/>
    <w:lvlOverride w:ilvl="0"/>
    <w:lvlOverride w:ilvl="1"/>
    <w:lvlOverride w:ilvl="2"/>
    <w:lvlOverride w:ilvl="3"/>
    <w:lvlOverride w:ilvl="4"/>
    <w:lvlOverride w:ilvl="5"/>
    <w:lvlOverride w:ilvl="6"/>
    <w:lvlOverride w:ilvl="7"/>
    <w:lvlOverride w:ilvl="8"/>
  </w:num>
  <w:num w:numId="2" w16cid:durableId="8025835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1"/>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94760"/>
    <w:rsid w:val="000D0A23"/>
    <w:rsid w:val="00282340"/>
    <w:rsid w:val="002C1211"/>
    <w:rsid w:val="005C4B14"/>
    <w:rsid w:val="00660B16"/>
    <w:rsid w:val="007637FF"/>
    <w:rsid w:val="00A00C1F"/>
    <w:rsid w:val="00AA7185"/>
    <w:rsid w:val="00B22A00"/>
    <w:rsid w:val="00C70EA6"/>
    <w:rsid w:val="00D5072B"/>
    <w:rsid w:val="00E870A3"/>
    <w:rsid w:val="00F213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213C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213C5"/>
    <w:rPr>
      <w:rFonts w:eastAsiaTheme="majorEastAsia" w:cstheme="majorBidi"/>
      <w:i/>
      <w:iCs/>
      <w:color w:val="0F4761" w:themeColor="accent1" w:themeShade="BF"/>
    </w:rPr>
  </w:style>
  <w:style w:type="character" w:customStyle="1" w:styleId="50">
    <w:name w:val="כותרת 5 תו"/>
    <w:basedOn w:val="a0"/>
    <w:link w:val="5"/>
    <w:uiPriority w:val="9"/>
    <w:semiHidden/>
    <w:rsid w:val="00F213C5"/>
    <w:rPr>
      <w:rFonts w:eastAsiaTheme="majorEastAsia" w:cstheme="majorBidi"/>
      <w:color w:val="0F4761" w:themeColor="accent1" w:themeShade="BF"/>
    </w:rPr>
  </w:style>
  <w:style w:type="character" w:customStyle="1" w:styleId="60">
    <w:name w:val="כותרת 6 תו"/>
    <w:basedOn w:val="a0"/>
    <w:link w:val="6"/>
    <w:uiPriority w:val="9"/>
    <w:semiHidden/>
    <w:rsid w:val="00F213C5"/>
    <w:rPr>
      <w:rFonts w:eastAsiaTheme="majorEastAsia" w:cstheme="majorBidi"/>
      <w:i/>
      <w:iCs/>
      <w:color w:val="595959" w:themeColor="text1" w:themeTint="A6"/>
    </w:rPr>
  </w:style>
  <w:style w:type="character" w:customStyle="1" w:styleId="70">
    <w:name w:val="כותרת 7 תו"/>
    <w:basedOn w:val="a0"/>
    <w:link w:val="7"/>
    <w:uiPriority w:val="9"/>
    <w:semiHidden/>
    <w:rsid w:val="00F213C5"/>
    <w:rPr>
      <w:rFonts w:eastAsiaTheme="majorEastAsia" w:cstheme="majorBidi"/>
      <w:color w:val="595959" w:themeColor="text1" w:themeTint="A6"/>
    </w:rPr>
  </w:style>
  <w:style w:type="character" w:customStyle="1" w:styleId="80">
    <w:name w:val="כותרת 8 תו"/>
    <w:basedOn w:val="a0"/>
    <w:link w:val="8"/>
    <w:uiPriority w:val="9"/>
    <w:semiHidden/>
    <w:rsid w:val="00F213C5"/>
    <w:rPr>
      <w:rFonts w:eastAsiaTheme="majorEastAsia" w:cstheme="majorBidi"/>
      <w:i/>
      <w:iCs/>
      <w:color w:val="272727" w:themeColor="text1" w:themeTint="D8"/>
    </w:rPr>
  </w:style>
  <w:style w:type="character" w:customStyle="1" w:styleId="90">
    <w:name w:val="כותרת 9 תו"/>
    <w:basedOn w:val="a0"/>
    <w:link w:val="9"/>
    <w:uiPriority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uiPriority w:val="99"/>
    <w:semiHidden/>
    <w:unhideWhenUsed/>
    <w:rsid w:val="00A00C1F"/>
    <w:pPr>
      <w:spacing w:after="0" w:line="240" w:lineRule="auto"/>
    </w:pPr>
    <w:rPr>
      <w:sz w:val="20"/>
      <w:szCs w:val="20"/>
    </w:rPr>
  </w:style>
  <w:style w:type="character" w:customStyle="1" w:styleId="af">
    <w:name w:val="טקסט הערת שוליים תו"/>
    <w:basedOn w:val="a0"/>
    <w:link w:val="ae"/>
    <w:uiPriority w:val="99"/>
    <w:semiHidden/>
    <w:rsid w:val="00A00C1F"/>
    <w:rPr>
      <w:sz w:val="20"/>
      <w:szCs w:val="20"/>
    </w:rPr>
  </w:style>
  <w:style w:type="character" w:styleId="af0">
    <w:name w:val="footnote reference"/>
    <w:basedOn w:val="a0"/>
    <w:semiHidden/>
    <w:unhideWhenUsed/>
    <w:rsid w:val="00A00C1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193</Words>
  <Characters>965</Characters>
  <Application>Microsoft Office Word</Application>
  <DocSecurity>0</DocSecurity>
  <Lines>8</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2025-12-04T21:08:00Z</dcterms:created>
  <dcterms:modified xsi:type="dcterms:W3CDTF">2025-12-04T21:08:00Z</dcterms:modified>
</cp:coreProperties>
</file>