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5C2A" w:rsidRPr="00863CCE" w:rsidRDefault="006D5C2A"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55"/>
      <w:bookmarkStart w:id="1" w:name="_Toc88310598"/>
      <w:r w:rsidRPr="00863CCE">
        <w:rPr>
          <w:rFonts w:ascii="Keren" w:eastAsia="Times New Roman" w:hAnsi="Keren" w:cs="David"/>
          <w:b/>
          <w:bCs/>
          <w:sz w:val="26"/>
          <w:szCs w:val="24"/>
          <w:rtl/>
          <w:lang w:eastAsia="he-IL"/>
          <w14:ligatures w14:val="none"/>
        </w:rPr>
        <w:t>אבלות מהתורה או מדרבנן</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מהתורה או מדרבנן:ערך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D5C2A" w:rsidRPr="00863CCE" w:rsidRDefault="006D5C2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דעות שונות אם אבלות עיקרה מהתורה או מדרבנן:</w:t>
      </w:r>
    </w:p>
    <w:p w:rsidR="006D5C2A" w:rsidRPr="00863CCE" w:rsidRDefault="006D5C2A"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לפי חלק מהדעות עיקר מצות אבלות מן התורה (ירושלמי מועד קטן פרק ג, ה). ולמדו זאת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מיוסף שנאמר עליו "</w:t>
      </w:r>
      <w:r w:rsidRPr="00863CCE">
        <w:rPr>
          <w:rFonts w:ascii="Keren" w:eastAsia="Times New Roman" w:hAnsi="Keren" w:cs="David"/>
          <w:sz w:val="20"/>
          <w:szCs w:val="20"/>
          <w:rtl/>
          <w:lang w:eastAsia="he-IL"/>
          <w14:ligatures w14:val="none"/>
        </w:rPr>
        <w:t>וַיַּעַשׂ לְאָבִיו אֵבֶל שִׁבְעַת יָמִים</w:t>
      </w:r>
      <w:r w:rsidRPr="00863CCE">
        <w:rPr>
          <w:rFonts w:ascii="Keren" w:eastAsia="Times New Roman" w:hAnsi="Keren" w:cs="David"/>
          <w:szCs w:val="20"/>
          <w:rtl/>
          <w:lang w:eastAsia="he-IL"/>
          <w14:ligatures w14:val="none"/>
        </w:rPr>
        <w:t>" (בראשית נ, י), וכן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ממשה רבנו שציוה לאהרן ולבניו "</w:t>
      </w:r>
      <w:r w:rsidRPr="00863CCE">
        <w:rPr>
          <w:rFonts w:ascii="Keren" w:eastAsia="Times New Roman" w:hAnsi="Keren" w:cs="David"/>
          <w:sz w:val="20"/>
          <w:szCs w:val="20"/>
          <w:rtl/>
          <w:lang w:eastAsia="he-IL"/>
          <w14:ligatures w14:val="none"/>
        </w:rPr>
        <w:t xml:space="preserve">וּפֶתַח אֹהֶל מוֹעֵד תֵּשְׁבוּ יוֹמָם וָלַיְלָה שִׁבְעַת יָמִים וּשְׁמַרְתֶּם אֶת מִשְׁמֶרֶת ה' </w:t>
      </w:r>
      <w:r w:rsidRPr="00863CCE">
        <w:rPr>
          <w:rFonts w:ascii="Keren" w:eastAsia="Times New Roman" w:hAnsi="Keren" w:cs="David"/>
          <w:szCs w:val="20"/>
          <w:rtl/>
          <w:lang w:eastAsia="he-IL"/>
          <w14:ligatures w14:val="none"/>
        </w:rPr>
        <w:t xml:space="preserve">" (ויקרא ח, לה). כשם ששימר הקדוש ברוך הוא את עולמו שבעה, כך אתם שמרו על אחיכם שבעה. שידע הקדוש ברוך הוא שעתידים למות ביום השמיני. ויש מי שלמד שם בירושלמי ממה שכתוב קודם המבול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"אישים:מתושלח"</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וַיְהִי לְשִׁבְעַת הַיָּמִים</w:t>
      </w:r>
      <w:r w:rsidRPr="00863CCE">
        <w:rPr>
          <w:rFonts w:ascii="Keren" w:eastAsia="Times New Roman" w:hAnsi="Keren" w:cs="David"/>
          <w:szCs w:val="20"/>
          <w:rtl/>
          <w:lang w:eastAsia="he-IL"/>
          <w14:ligatures w14:val="none"/>
        </w:rPr>
        <w:t>" (בראשית ז, י) שדרשו שהיו אלו שבעת ימי אבלו של מתושלח שבגללם נדחה המבול. (דרשה זו נזכרה גם בבבלי סנהדרין קח, ב; ובאבות דרבי נתן פרק לב).</w:t>
      </w:r>
    </w:p>
    <w:p w:rsidR="006D5C2A" w:rsidRPr="00863CCE" w:rsidRDefault="006D5C2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לפי רוב הדעות אבלות מן התורה רק ביום הראשון שהוא יום המיתה ויום הקבורה ולא בשאר הימים,</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ומשה רבנו התקין להם לישראל שבעת ימי אבלות ושבעת ימי המשתה. (גאונים, רמב"ם, רי"ף, רמב"ן וראב"ד). הדברים אמורים לגבי הקרובים המפורשים בתורה בתחילת פרשת אמר (ויקרא פרק כא), אבל שאר הקרובים שהוסיפו חכמים, אפילו ביום הראשון, האבלות מדרבנן (שלחן ערוך יורה דעה סימן שצח), ע"ע </w:t>
      </w:r>
      <w:r w:rsidRPr="00863CCE">
        <w:rPr>
          <w:rFonts w:ascii="Keren" w:eastAsia="Times New Roman" w:hAnsi="Keren" w:cs="David"/>
          <w:b/>
          <w:bCs/>
          <w:szCs w:val="20"/>
          <w:rtl/>
          <w:lang w:eastAsia="he-IL"/>
          <w14:ligatures w14:val="none"/>
        </w:rPr>
        <w:t>שבעת הקרובים</w:t>
      </w:r>
      <w:r w:rsidRPr="00863CCE">
        <w:rPr>
          <w:rFonts w:ascii="Keren" w:eastAsia="Times New Roman" w:hAnsi="Keren" w:cs="David"/>
          <w:szCs w:val="20"/>
          <w:rtl/>
          <w:lang w:eastAsia="he-IL"/>
          <w14:ligatures w14:val="none"/>
        </w:rPr>
        <w:t xml:space="preserve"> וכן בעמוד 125@.</w:t>
      </w:r>
    </w:p>
    <w:p w:rsidR="006D5C2A" w:rsidRPr="00863CCE" w:rsidRDefault="006D5C2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דעות שאין אבלות מן התורה אפילו ביום הראשון, אלא אנינות בלבד מהתורה ומצות אבלות מדרבנן (רבנו תם והרא"ש). נפקא מינה במחלוקת זו היא האם יש לנהוג אבלות ביום טוב שני של גלויות שהוא מדרבנן. אם אבלות היא מהתורה, הרי היא דוחה את שמחת יום טוב שני שהיא מדרבנן. אך אם אבלות מדרבנן, אינה דוחה את יום טוב שני ואין להתאבל אז. </w:t>
      </w:r>
    </w:p>
    <w:p w:rsidR="006D5C2A" w:rsidRPr="00863CCE" w:rsidRDefault="006D5C2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השלחן ערוך (יורה דעה שצט, יג) פסק שעיקר אבלות מהתורה ולכן יש להתאבל ביום טוב שני (וכך פסק גם בחלק אורח חיים תקמח, ג), אך בהמשך דבריו כתב שהעולם נוהגים שלא להתאבל ביום טוב שני של גלויות על שום מת, אפילו הוא יום מיתה וקבורה; וכן פסק הרמ"א שכן המנהג פשוט ואין לשנות. (הרמ"א לשיטתו גם באורח חיים וגם ביורה דעה).</w:t>
      </w:r>
    </w:p>
    <w:p w:rsidR="00D5072B" w:rsidRDefault="006D5C2A">
      <w:r w:rsidRPr="00863CCE">
        <w:rPr>
          <w:rFonts w:ascii="Keren" w:eastAsia="Times New Roman" w:hAnsi="Keren" w:cs="David"/>
          <w:szCs w:val="20"/>
          <w:rtl/>
          <w:lang w:eastAsia="he-IL"/>
          <w14:ligatures w14:val="none"/>
        </w:rPr>
        <w:t>(הרחבה וביאור מובא בגשר החיים חלק שני פרק טו).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2A"/>
    <w:rsid w:val="000D0A23"/>
    <w:rsid w:val="002C1211"/>
    <w:rsid w:val="005C4B14"/>
    <w:rsid w:val="006D5C2A"/>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4A6CDD-248B-4F1A-AAAE-5B8E0C03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D5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D5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D5C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5C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5C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5C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5C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5C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5C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D5C2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D5C2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D5C2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D5C2A"/>
    <w:rPr>
      <w:rFonts w:eastAsiaTheme="majorEastAsia" w:cstheme="majorBidi"/>
      <w:i/>
      <w:iCs/>
      <w:color w:val="0F4761" w:themeColor="accent1" w:themeShade="BF"/>
    </w:rPr>
  </w:style>
  <w:style w:type="character" w:customStyle="1" w:styleId="50">
    <w:name w:val="כותרת 5 תו"/>
    <w:basedOn w:val="a0"/>
    <w:link w:val="5"/>
    <w:uiPriority w:val="9"/>
    <w:semiHidden/>
    <w:rsid w:val="006D5C2A"/>
    <w:rPr>
      <w:rFonts w:eastAsiaTheme="majorEastAsia" w:cstheme="majorBidi"/>
      <w:color w:val="0F4761" w:themeColor="accent1" w:themeShade="BF"/>
    </w:rPr>
  </w:style>
  <w:style w:type="character" w:customStyle="1" w:styleId="60">
    <w:name w:val="כותרת 6 תו"/>
    <w:basedOn w:val="a0"/>
    <w:link w:val="6"/>
    <w:uiPriority w:val="9"/>
    <w:semiHidden/>
    <w:rsid w:val="006D5C2A"/>
    <w:rPr>
      <w:rFonts w:eastAsiaTheme="majorEastAsia" w:cstheme="majorBidi"/>
      <w:i/>
      <w:iCs/>
      <w:color w:val="595959" w:themeColor="text1" w:themeTint="A6"/>
    </w:rPr>
  </w:style>
  <w:style w:type="character" w:customStyle="1" w:styleId="70">
    <w:name w:val="כותרת 7 תו"/>
    <w:basedOn w:val="a0"/>
    <w:link w:val="7"/>
    <w:uiPriority w:val="9"/>
    <w:semiHidden/>
    <w:rsid w:val="006D5C2A"/>
    <w:rPr>
      <w:rFonts w:eastAsiaTheme="majorEastAsia" w:cstheme="majorBidi"/>
      <w:color w:val="595959" w:themeColor="text1" w:themeTint="A6"/>
    </w:rPr>
  </w:style>
  <w:style w:type="character" w:customStyle="1" w:styleId="80">
    <w:name w:val="כותרת 8 תו"/>
    <w:basedOn w:val="a0"/>
    <w:link w:val="8"/>
    <w:uiPriority w:val="9"/>
    <w:semiHidden/>
    <w:rsid w:val="006D5C2A"/>
    <w:rPr>
      <w:rFonts w:eastAsiaTheme="majorEastAsia" w:cstheme="majorBidi"/>
      <w:i/>
      <w:iCs/>
      <w:color w:val="272727" w:themeColor="text1" w:themeTint="D8"/>
    </w:rPr>
  </w:style>
  <w:style w:type="character" w:customStyle="1" w:styleId="90">
    <w:name w:val="כותרת 9 תו"/>
    <w:basedOn w:val="a0"/>
    <w:link w:val="9"/>
    <w:uiPriority w:val="9"/>
    <w:semiHidden/>
    <w:rsid w:val="006D5C2A"/>
    <w:rPr>
      <w:rFonts w:eastAsiaTheme="majorEastAsia" w:cstheme="majorBidi"/>
      <w:color w:val="272727" w:themeColor="text1" w:themeTint="D8"/>
    </w:rPr>
  </w:style>
  <w:style w:type="paragraph" w:styleId="a3">
    <w:name w:val="Title"/>
    <w:basedOn w:val="a"/>
    <w:next w:val="a"/>
    <w:link w:val="a4"/>
    <w:uiPriority w:val="10"/>
    <w:qFormat/>
    <w:rsid w:val="006D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D5C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5C2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D5C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D5C2A"/>
    <w:pPr>
      <w:spacing w:before="160"/>
      <w:jc w:val="center"/>
    </w:pPr>
    <w:rPr>
      <w:i/>
      <w:iCs/>
      <w:color w:val="404040" w:themeColor="text1" w:themeTint="BF"/>
    </w:rPr>
  </w:style>
  <w:style w:type="character" w:customStyle="1" w:styleId="a8">
    <w:name w:val="ציטוט תו"/>
    <w:basedOn w:val="a0"/>
    <w:link w:val="a7"/>
    <w:uiPriority w:val="29"/>
    <w:rsid w:val="006D5C2A"/>
    <w:rPr>
      <w:i/>
      <w:iCs/>
      <w:color w:val="404040" w:themeColor="text1" w:themeTint="BF"/>
    </w:rPr>
  </w:style>
  <w:style w:type="paragraph" w:styleId="a9">
    <w:name w:val="List Paragraph"/>
    <w:basedOn w:val="a"/>
    <w:uiPriority w:val="34"/>
    <w:qFormat/>
    <w:rsid w:val="006D5C2A"/>
    <w:pPr>
      <w:ind w:left="720"/>
      <w:contextualSpacing/>
    </w:pPr>
  </w:style>
  <w:style w:type="character" w:styleId="aa">
    <w:name w:val="Intense Emphasis"/>
    <w:basedOn w:val="a0"/>
    <w:uiPriority w:val="21"/>
    <w:qFormat/>
    <w:rsid w:val="006D5C2A"/>
    <w:rPr>
      <w:i/>
      <w:iCs/>
      <w:color w:val="0F4761" w:themeColor="accent1" w:themeShade="BF"/>
    </w:rPr>
  </w:style>
  <w:style w:type="paragraph" w:styleId="ab">
    <w:name w:val="Intense Quote"/>
    <w:basedOn w:val="a"/>
    <w:next w:val="a"/>
    <w:link w:val="ac"/>
    <w:uiPriority w:val="30"/>
    <w:qFormat/>
    <w:rsid w:val="006D5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D5C2A"/>
    <w:rPr>
      <w:i/>
      <w:iCs/>
      <w:color w:val="0F4761" w:themeColor="accent1" w:themeShade="BF"/>
    </w:rPr>
  </w:style>
  <w:style w:type="character" w:styleId="ad">
    <w:name w:val="Intense Reference"/>
    <w:basedOn w:val="a0"/>
    <w:uiPriority w:val="32"/>
    <w:qFormat/>
    <w:rsid w:val="006D5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1580</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