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3AC0" w:rsidRPr="00863CCE" w:rsidRDefault="00363AC0"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53"/>
      <w:bookmarkStart w:id="1" w:name="_Toc88310596"/>
      <w:r w:rsidRPr="00863CCE">
        <w:rPr>
          <w:rFonts w:ascii="Keren" w:eastAsia="Times New Roman" w:hAnsi="Keren" w:cs="David"/>
          <w:b/>
          <w:bCs/>
          <w:sz w:val="26"/>
          <w:szCs w:val="24"/>
          <w:rtl/>
          <w:lang w:eastAsia="he-IL"/>
          <w14:ligatures w14:val="none"/>
        </w:rPr>
        <w:t>אבלות</w:t>
      </w:r>
      <w:bookmarkEnd w:id="0"/>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w:instrText>
      </w:r>
      <w:r w:rsidRPr="00863CCE">
        <w:rPr>
          <w:rFonts w:ascii="Keren" w:eastAsia="Times New Roman" w:hAnsi="Keren" w:cs="David" w:hint="cs"/>
          <w:b/>
          <w:bCs/>
          <w:sz w:val="26"/>
          <w:szCs w:val="24"/>
          <w:lang w:eastAsia="he-IL"/>
          <w14:ligatures w14:val="none"/>
        </w:rPr>
        <w:instrText>t "</w:instrText>
      </w:r>
      <w:r w:rsidRPr="00863CCE">
        <w:rPr>
          <w:rFonts w:ascii="Times New Roman" w:eastAsia="Times New Roman" w:hAnsi="Times New Roman" w:cs="Times New Roman"/>
          <w:b/>
          <w:bCs/>
          <w:i/>
          <w:sz w:val="26"/>
          <w:szCs w:val="24"/>
          <w:rtl/>
          <w:lang w:eastAsia="he-IL"/>
          <w14:ligatures w14:val="none"/>
        </w:rPr>
        <w:instrText>ראה</w:instrText>
      </w:r>
      <w:r w:rsidRPr="00863CCE">
        <w:rPr>
          <w:rFonts w:ascii="Times New Roman" w:eastAsia="Times New Roman" w:hAnsi="Times New Roman" w:cs="Times New Roman"/>
          <w:b/>
          <w:bCs/>
          <w:sz w:val="26"/>
          <w:szCs w:val="24"/>
          <w:rtl/>
          <w:lang w:eastAsia="he-IL"/>
          <w14:ligatures w14:val="none"/>
        </w:rPr>
        <w:instrText xml:space="preserve"> גם פירוט ערכי אבלות לקמן</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XE </w:instrText>
      </w:r>
      <w:r w:rsidRPr="00863CCE">
        <w:rPr>
          <w:rFonts w:ascii="Keren" w:eastAsia="Times New Roman" w:hAnsi="Keren" w:cs="David"/>
          <w:b/>
          <w:bCs/>
          <w:sz w:val="26"/>
          <w:szCs w:val="24"/>
          <w:rtl/>
          <w:lang w:eastAsia="he-IL"/>
          <w14:ligatures w14:val="none"/>
        </w:rPr>
        <w:instrText>"אבלות:טעמה"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rtl/>
          <w:lang w:eastAsia="he-IL"/>
          <w14:ligatures w14:val="none"/>
        </w:rPr>
        <w:t>, טעמה</w:t>
      </w:r>
    </w:p>
    <w:p w:rsidR="00363AC0" w:rsidRPr="00863CCE" w:rsidRDefault="00363AC0"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מכלול הרגשות, המעשים הדינים והמנהגים הנוהגים בעקבות מות אחד מ</w:t>
      </w:r>
      <w:r w:rsidRPr="00863CCE">
        <w:rPr>
          <w:rFonts w:ascii="Keren" w:eastAsia="Times New Roman" w:hAnsi="Keren" w:cs="David"/>
          <w:b/>
          <w:bCs/>
          <w:szCs w:val="20"/>
          <w:rtl/>
          <w:lang w:eastAsia="he-IL"/>
          <w14:ligatures w14:val="none"/>
        </w:rPr>
        <w:t xml:space="preserve">שבעת הקרובים. </w:t>
      </w:r>
      <w:r w:rsidRPr="00863CCE">
        <w:rPr>
          <w:rFonts w:ascii="Keren" w:eastAsia="Times New Roman" w:hAnsi="Keren" w:cs="David"/>
          <w:szCs w:val="20"/>
          <w:rtl/>
          <w:lang w:eastAsia="he-IL"/>
          <w14:ligatures w14:val="none"/>
        </w:rPr>
        <w:t xml:space="preserve">טעם מרכזי לאבלות הוא עניין התשובה. כך כתב הרמב"ם (הלכות אבל פרק יג, יב) שהאבל ידאג ויפשפש במעשיו ויחזור בתשובה. כך הם דברי הרמב"ן (בהקדמה לספר תורת האדם). וכך כתב גם בעל ספר החינוך (מצוה רסד): "כי ה' לא יענה מלבו ויגה בני איש (על פי הפסוק באיכה ג, לג) כי אם מצד חטאים..., ובתת האדם אל לבו עניין זה במעשה האבלות, ישית דעתו לעשות תשובה ויכשיר מעשיו כפי כוחו". </w:t>
      </w:r>
    </w:p>
    <w:p w:rsidR="00D5072B" w:rsidRDefault="00363AC0">
      <w:r w:rsidRPr="00863CCE">
        <w:rPr>
          <w:rFonts w:ascii="Keren" w:eastAsia="Times New Roman" w:hAnsi="Keren" w:cs="David"/>
          <w:szCs w:val="20"/>
          <w:rtl/>
          <w:lang w:eastAsia="he-IL"/>
          <w14:ligatures w14:val="none"/>
        </w:rPr>
        <w:t>טעם נוסף</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לאבלות הוא כדי להשריש את חשיבות חיי האדם ומשמעותם, חיי רצון ובחירה, שאפשר לרכוש על ידם חיים עצמיים, ולהבדיל בין חיי האדם הרוחניים לבין החיים הבהמיים. בפשטות עיקר הטעם לנוח מעסקיו שבוע אחד כדי לתת כבוד למת ולזכור אותו, והחי יתן אל לבו כי זה סוף כל האדם ויפשפש במעשיו. שאם היה הולך לעסקיו ולמלאכתו היה שוכח את מתו ויום המר, ולכן התירה התורה טומאה לכהנים, כדי שיתעסקו בקרוביהם שמתו ויתאבלו עליהם (אוצר דינים ומנהגים בשם ספר ילקוט יצחק מצוה רסד).</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AC0"/>
    <w:rsid w:val="000D0A23"/>
    <w:rsid w:val="002C1211"/>
    <w:rsid w:val="00363AC0"/>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5D5C24-3738-4544-93AF-A673EF693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3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63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63AC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63AC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63A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63A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3A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3A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3A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63AC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63AC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63AC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63AC0"/>
    <w:rPr>
      <w:rFonts w:eastAsiaTheme="majorEastAsia" w:cstheme="majorBidi"/>
      <w:i/>
      <w:iCs/>
      <w:color w:val="0F4761" w:themeColor="accent1" w:themeShade="BF"/>
    </w:rPr>
  </w:style>
  <w:style w:type="character" w:customStyle="1" w:styleId="50">
    <w:name w:val="כותרת 5 תו"/>
    <w:basedOn w:val="a0"/>
    <w:link w:val="5"/>
    <w:uiPriority w:val="9"/>
    <w:semiHidden/>
    <w:rsid w:val="00363AC0"/>
    <w:rPr>
      <w:rFonts w:eastAsiaTheme="majorEastAsia" w:cstheme="majorBidi"/>
      <w:color w:val="0F4761" w:themeColor="accent1" w:themeShade="BF"/>
    </w:rPr>
  </w:style>
  <w:style w:type="character" w:customStyle="1" w:styleId="60">
    <w:name w:val="כותרת 6 תו"/>
    <w:basedOn w:val="a0"/>
    <w:link w:val="6"/>
    <w:uiPriority w:val="9"/>
    <w:semiHidden/>
    <w:rsid w:val="00363AC0"/>
    <w:rPr>
      <w:rFonts w:eastAsiaTheme="majorEastAsia" w:cstheme="majorBidi"/>
      <w:i/>
      <w:iCs/>
      <w:color w:val="595959" w:themeColor="text1" w:themeTint="A6"/>
    </w:rPr>
  </w:style>
  <w:style w:type="character" w:customStyle="1" w:styleId="70">
    <w:name w:val="כותרת 7 תו"/>
    <w:basedOn w:val="a0"/>
    <w:link w:val="7"/>
    <w:uiPriority w:val="9"/>
    <w:semiHidden/>
    <w:rsid w:val="00363AC0"/>
    <w:rPr>
      <w:rFonts w:eastAsiaTheme="majorEastAsia" w:cstheme="majorBidi"/>
      <w:color w:val="595959" w:themeColor="text1" w:themeTint="A6"/>
    </w:rPr>
  </w:style>
  <w:style w:type="character" w:customStyle="1" w:styleId="80">
    <w:name w:val="כותרת 8 תו"/>
    <w:basedOn w:val="a0"/>
    <w:link w:val="8"/>
    <w:uiPriority w:val="9"/>
    <w:semiHidden/>
    <w:rsid w:val="00363AC0"/>
    <w:rPr>
      <w:rFonts w:eastAsiaTheme="majorEastAsia" w:cstheme="majorBidi"/>
      <w:i/>
      <w:iCs/>
      <w:color w:val="272727" w:themeColor="text1" w:themeTint="D8"/>
    </w:rPr>
  </w:style>
  <w:style w:type="character" w:customStyle="1" w:styleId="90">
    <w:name w:val="כותרת 9 תו"/>
    <w:basedOn w:val="a0"/>
    <w:link w:val="9"/>
    <w:uiPriority w:val="9"/>
    <w:semiHidden/>
    <w:rsid w:val="00363AC0"/>
    <w:rPr>
      <w:rFonts w:eastAsiaTheme="majorEastAsia" w:cstheme="majorBidi"/>
      <w:color w:val="272727" w:themeColor="text1" w:themeTint="D8"/>
    </w:rPr>
  </w:style>
  <w:style w:type="paragraph" w:styleId="a3">
    <w:name w:val="Title"/>
    <w:basedOn w:val="a"/>
    <w:next w:val="a"/>
    <w:link w:val="a4"/>
    <w:uiPriority w:val="10"/>
    <w:qFormat/>
    <w:rsid w:val="00363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63A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3AC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63AC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63AC0"/>
    <w:pPr>
      <w:spacing w:before="160"/>
      <w:jc w:val="center"/>
    </w:pPr>
    <w:rPr>
      <w:i/>
      <w:iCs/>
      <w:color w:val="404040" w:themeColor="text1" w:themeTint="BF"/>
    </w:rPr>
  </w:style>
  <w:style w:type="character" w:customStyle="1" w:styleId="a8">
    <w:name w:val="ציטוט תו"/>
    <w:basedOn w:val="a0"/>
    <w:link w:val="a7"/>
    <w:uiPriority w:val="29"/>
    <w:rsid w:val="00363AC0"/>
    <w:rPr>
      <w:i/>
      <w:iCs/>
      <w:color w:val="404040" w:themeColor="text1" w:themeTint="BF"/>
    </w:rPr>
  </w:style>
  <w:style w:type="paragraph" w:styleId="a9">
    <w:name w:val="List Paragraph"/>
    <w:basedOn w:val="a"/>
    <w:uiPriority w:val="34"/>
    <w:qFormat/>
    <w:rsid w:val="00363AC0"/>
    <w:pPr>
      <w:ind w:left="720"/>
      <w:contextualSpacing/>
    </w:pPr>
  </w:style>
  <w:style w:type="character" w:styleId="aa">
    <w:name w:val="Intense Emphasis"/>
    <w:basedOn w:val="a0"/>
    <w:uiPriority w:val="21"/>
    <w:qFormat/>
    <w:rsid w:val="00363AC0"/>
    <w:rPr>
      <w:i/>
      <w:iCs/>
      <w:color w:val="0F4761" w:themeColor="accent1" w:themeShade="BF"/>
    </w:rPr>
  </w:style>
  <w:style w:type="paragraph" w:styleId="ab">
    <w:name w:val="Intense Quote"/>
    <w:basedOn w:val="a"/>
    <w:next w:val="a"/>
    <w:link w:val="ac"/>
    <w:uiPriority w:val="30"/>
    <w:qFormat/>
    <w:rsid w:val="00363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63AC0"/>
    <w:rPr>
      <w:i/>
      <w:iCs/>
      <w:color w:val="0F4761" w:themeColor="accent1" w:themeShade="BF"/>
    </w:rPr>
  </w:style>
  <w:style w:type="character" w:styleId="ad">
    <w:name w:val="Intense Reference"/>
    <w:basedOn w:val="a0"/>
    <w:uiPriority w:val="32"/>
    <w:qFormat/>
    <w:rsid w:val="00363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161</Words>
  <Characters>806</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