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FCC" w:rsidRPr="00863CCE" w:rsidRDefault="00A24FCC" w:rsidP="00863CCE">
      <w:pPr>
        <w:spacing w:after="0" w:line="360" w:lineRule="auto"/>
        <w:jc w:val="both"/>
        <w:outlineLvl w:val="6"/>
        <w:rPr>
          <w:rFonts w:ascii="Keren" w:eastAsia="Times New Roman" w:hAnsi="Keren" w:cs="David"/>
          <w:b/>
          <w:bCs/>
          <w:szCs w:val="20"/>
          <w:rtl/>
          <w:lang w:eastAsia="he-IL"/>
          <w14:ligatures w14:val="none"/>
        </w:rPr>
      </w:pPr>
      <w:bookmarkStart w:id="0" w:name="_Toc88530259"/>
      <w:bookmarkStart w:id="1" w:name="_Toc88310602"/>
      <w:r w:rsidRPr="00863CCE">
        <w:rPr>
          <w:rFonts w:ascii="Keren" w:eastAsia="Times New Roman" w:hAnsi="Keren" w:cs="David"/>
          <w:b/>
          <w:bCs/>
          <w:sz w:val="26"/>
          <w:szCs w:val="24"/>
          <w:rtl/>
          <w:lang w:eastAsia="he-IL"/>
          <w14:ligatures w14:val="none"/>
        </w:rPr>
        <w:t>אין חינוך לאבלות</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"אין חינוך לאבלות:ערך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24FCC" w:rsidRPr="00863CCE" w:rsidRDefault="00A24FC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חינוך הוא "הכנסת אדם או כלי לאומנות שהוא עתיד לעמוד בה", כך מגדיר זאת רש"י בפירושו לפסוק "</w:t>
      </w:r>
      <w:r w:rsidRPr="00863CCE">
        <w:rPr>
          <w:rFonts w:ascii="Keren" w:eastAsia="Times New Roman" w:hAnsi="Keren" w:cs="David"/>
          <w:sz w:val="20"/>
          <w:szCs w:val="20"/>
          <w:rtl/>
          <w:lang w:eastAsia="he-IL"/>
          <w14:ligatures w14:val="none"/>
        </w:rPr>
        <w:t>וַיָּרֶק אֶת חֲנִיכָיו</w:t>
      </w:r>
      <w:r w:rsidRPr="00863CCE">
        <w:rPr>
          <w:rFonts w:ascii="Keren" w:eastAsia="Times New Roman" w:hAnsi="Keren" w:cs="David"/>
          <w:szCs w:val="20"/>
          <w:rtl/>
          <w:lang w:eastAsia="he-IL"/>
          <w14:ligatures w14:val="none"/>
        </w:rPr>
        <w:t>" (בראשית יד, יד). לכן "</w:t>
      </w:r>
      <w:r w:rsidRPr="00863CCE">
        <w:rPr>
          <w:rFonts w:ascii="Keren" w:eastAsia="Times New Roman" w:hAnsi="Keren" w:cs="David"/>
          <w:sz w:val="20"/>
          <w:szCs w:val="20"/>
          <w:rtl/>
          <w:lang w:eastAsia="he-IL"/>
          <w14:ligatures w14:val="none"/>
        </w:rPr>
        <w:t>חֲנֹךְ לַנַּעַר עַל פִּי דַרְכּוֹ גַּם כִּי יַזְקִין לֹא יָסוּר מִמֶּנָּה</w:t>
      </w:r>
      <w:r w:rsidRPr="00863CCE">
        <w:rPr>
          <w:rFonts w:ascii="Keren" w:eastAsia="Times New Roman" w:hAnsi="Keren" w:cs="David"/>
          <w:szCs w:val="20"/>
          <w:rtl/>
          <w:lang w:eastAsia="he-IL"/>
          <w14:ligatures w14:val="none"/>
        </w:rPr>
        <w:t>" (משלי כב, ו). הכוונה היא להכניס מראש את הנער הצעיר למסלול חיובי ונכון, כדי שימשיך בדרך זו עד זקנותו. לפי זה "חנכת המזבח" (במדבר פרק ז) ו"חנכת הבית" (תהלים מזמור ל) הן הכנסת המזבח והבית לתפקידם, השימוש והתפקוד הראשון של המזבח והבית.</w:t>
      </w:r>
    </w:p>
    <w:p w:rsidR="00A24FCC" w:rsidRPr="00863CCE" w:rsidRDefault="00A24FC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בחינוך בני אדם בכלל, וצעירים בפרט, המגמה היא להכניס מראש תבניות התנהגות ראויות ונכונות, מתוך מטרה שהחניך ימשיך בדרך הנכונה והראויה שהותוותה לו בחינוכו. חכמים קבעו כלל ש</w:t>
      </w:r>
      <w:r w:rsidRPr="00863CCE">
        <w:rPr>
          <w:rFonts w:ascii="Keren" w:eastAsia="Times New Roman" w:hAnsi="Keren" w:cs="David"/>
          <w:b/>
          <w:bCs/>
          <w:szCs w:val="20"/>
          <w:rtl/>
          <w:lang w:eastAsia="he-IL"/>
          <w14:ligatures w14:val="none"/>
        </w:rPr>
        <w:t>אין חינוך לאבלות</w:t>
      </w:r>
      <w:r w:rsidRPr="00863CCE">
        <w:rPr>
          <w:rFonts w:ascii="Keren" w:eastAsia="Times New Roman" w:hAnsi="Keren" w:cs="David"/>
          <w:szCs w:val="20"/>
          <w:rtl/>
          <w:lang w:eastAsia="he-IL"/>
          <w14:ligatures w14:val="none"/>
        </w:rPr>
        <w:t xml:space="preserve">, כלומר אין אנו חפצים להכניס את הצעירים שאינם חייבים עדיין במצוות, למסלול של לימוד ורכישת ההתנהגות הראויה בזמן של אבלות. </w:t>
      </w:r>
    </w:p>
    <w:p w:rsidR="00A24FCC" w:rsidRPr="00863CCE" w:rsidRDefault="00A24FC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התפיסה בבסיס קביעה זו היא שהמות והאבלות אינם חלק קבוע מהחיים בעולם. הם תוצאה של חטא האדם ולא של הבריאה האלוהית. למרות שבמציאות העכשווית אין אדם שיכול להמלט מהמות, בכל זאת הקביעה העקרונית היא שהאדם מתחילה, כשנברא והיה בגן עדן, לא היה מחויב למציאות של מוות וחדלון. גם במצב הסופי של תיקון העולם, העולם והאדם ישתחררו מהמות. </w:t>
      </w:r>
    </w:p>
    <w:p w:rsidR="00A24FCC" w:rsidRPr="00863CCE" w:rsidRDefault="00A24FC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הכלל </w:t>
      </w:r>
      <w:r w:rsidRPr="00863CCE">
        <w:rPr>
          <w:rFonts w:ascii="Keren" w:eastAsia="Times New Roman" w:hAnsi="Keren" w:cs="David"/>
          <w:b/>
          <w:bCs/>
          <w:szCs w:val="20"/>
          <w:rtl/>
          <w:lang w:eastAsia="he-IL"/>
          <w14:ligatures w14:val="none"/>
        </w:rPr>
        <w:t>אין חינוך לאבלות</w:t>
      </w:r>
      <w:r w:rsidRPr="00863CCE">
        <w:rPr>
          <w:rFonts w:ascii="Keren" w:eastAsia="Times New Roman" w:hAnsi="Keren" w:cs="David"/>
          <w:szCs w:val="20"/>
          <w:rtl/>
          <w:lang w:eastAsia="he-IL"/>
          <w14:ligatures w14:val="none"/>
        </w:rPr>
        <w:t xml:space="preserve"> בא לידי ביטוי באופן זה גם לגבי אבלות ישנה, דהיינו צומות וצער על חורבן המקדש וירושלים. גם כאן באה לידי ביטוי התפיסה שהמקדש לא היה אמור להחרב כלל. רק חטאי עם ישראל הם שגרמו לחורבנו. על פי תפיסה זו החטא נתפס כדבר זמני ומקרי, ולא כחלק מהותי ועקרוני. החטא הוא תופעה זמנית ומצערת, בעולם שאמור לשאוף לתיקון לעלייה ולהשלמה. במצב של עולם מתוקן, אין מקום לחטא. ממש כמו שמחלה אינה חלק מהותי מהאדם, ולמרות שמחלות הן תופעה נפוצה שאין אדם נמלט מהן, בכל זאת המצב הנורמלי הוא של אדם בריא בגופו ובנפשו. כך המות והאבלות הם מצב לא נורמלי, שהעולם אמור לשאוף להתעלות ולהשתחרר מהם. על פי תפיסה זו, יש ברפואה השואפת להתגבר על המחלות ולהאריך את חיי האדם, ממד של תחיית המתים.</w:t>
      </w:r>
    </w:p>
    <w:p w:rsidR="00D5072B" w:rsidRDefault="00A24FCC">
      <w:r w:rsidRPr="00863CCE">
        <w:rPr>
          <w:rFonts w:ascii="Keren" w:eastAsia="Times New Roman" w:hAnsi="Keren" w:cs="David"/>
          <w:szCs w:val="20"/>
          <w:rtl/>
          <w:lang w:eastAsia="he-IL"/>
          <w14:ligatures w14:val="none"/>
        </w:rPr>
        <w:t xml:space="preserve">תפיסה נוספת המבוטאת בכלל זה, היא שעקרונית יתכן שעד שהקטן יגדיל, יש תקוה שהעולם יבוא לידי תיקונו, המקדש וירושלים יבנו, תהיה תחיית המתים, וממילא לא תהיה משמעות לחינוך לאבלות שכל מהותה זמנית ומקרית. הדבר הקבוע והאמיתי הם החיים, חיי הנצח שיבואו בעקבות תיקון העולם והתעלותו. ע"ע </w:t>
      </w:r>
      <w:r w:rsidRPr="00863CCE">
        <w:rPr>
          <w:rFonts w:ascii="Keren" w:eastAsia="Times New Roman" w:hAnsi="Keren" w:cs="David"/>
          <w:b/>
          <w:bCs/>
          <w:szCs w:val="20"/>
          <w:rtl/>
          <w:lang w:eastAsia="he-IL"/>
          <w14:ligatures w14:val="none"/>
        </w:rPr>
        <w:t>תחיית המתים.</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CC"/>
    <w:rsid w:val="000D0A23"/>
    <w:rsid w:val="002C1211"/>
    <w:rsid w:val="005C4B14"/>
    <w:rsid w:val="00A24FCC"/>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2EDDF-DE72-4FDF-BC68-1127EF3F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4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4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4F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24F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4F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4F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4F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4F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4F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24FC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24FC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24FC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24FCC"/>
    <w:rPr>
      <w:rFonts w:eastAsiaTheme="majorEastAsia" w:cstheme="majorBidi"/>
      <w:i/>
      <w:iCs/>
      <w:color w:val="0F4761" w:themeColor="accent1" w:themeShade="BF"/>
    </w:rPr>
  </w:style>
  <w:style w:type="character" w:customStyle="1" w:styleId="50">
    <w:name w:val="כותרת 5 תו"/>
    <w:basedOn w:val="a0"/>
    <w:link w:val="5"/>
    <w:uiPriority w:val="9"/>
    <w:semiHidden/>
    <w:rsid w:val="00A24FCC"/>
    <w:rPr>
      <w:rFonts w:eastAsiaTheme="majorEastAsia" w:cstheme="majorBidi"/>
      <w:color w:val="0F4761" w:themeColor="accent1" w:themeShade="BF"/>
    </w:rPr>
  </w:style>
  <w:style w:type="character" w:customStyle="1" w:styleId="60">
    <w:name w:val="כותרת 6 תו"/>
    <w:basedOn w:val="a0"/>
    <w:link w:val="6"/>
    <w:uiPriority w:val="9"/>
    <w:semiHidden/>
    <w:rsid w:val="00A24FCC"/>
    <w:rPr>
      <w:rFonts w:eastAsiaTheme="majorEastAsia" w:cstheme="majorBidi"/>
      <w:i/>
      <w:iCs/>
      <w:color w:val="595959" w:themeColor="text1" w:themeTint="A6"/>
    </w:rPr>
  </w:style>
  <w:style w:type="character" w:customStyle="1" w:styleId="70">
    <w:name w:val="כותרת 7 תו"/>
    <w:basedOn w:val="a0"/>
    <w:link w:val="7"/>
    <w:uiPriority w:val="9"/>
    <w:semiHidden/>
    <w:rsid w:val="00A24FCC"/>
    <w:rPr>
      <w:rFonts w:eastAsiaTheme="majorEastAsia" w:cstheme="majorBidi"/>
      <w:color w:val="595959" w:themeColor="text1" w:themeTint="A6"/>
    </w:rPr>
  </w:style>
  <w:style w:type="character" w:customStyle="1" w:styleId="80">
    <w:name w:val="כותרת 8 תו"/>
    <w:basedOn w:val="a0"/>
    <w:link w:val="8"/>
    <w:uiPriority w:val="9"/>
    <w:semiHidden/>
    <w:rsid w:val="00A24FCC"/>
    <w:rPr>
      <w:rFonts w:eastAsiaTheme="majorEastAsia" w:cstheme="majorBidi"/>
      <w:i/>
      <w:iCs/>
      <w:color w:val="272727" w:themeColor="text1" w:themeTint="D8"/>
    </w:rPr>
  </w:style>
  <w:style w:type="character" w:customStyle="1" w:styleId="90">
    <w:name w:val="כותרת 9 תו"/>
    <w:basedOn w:val="a0"/>
    <w:link w:val="9"/>
    <w:uiPriority w:val="9"/>
    <w:semiHidden/>
    <w:rsid w:val="00A24FCC"/>
    <w:rPr>
      <w:rFonts w:eastAsiaTheme="majorEastAsia" w:cstheme="majorBidi"/>
      <w:color w:val="272727" w:themeColor="text1" w:themeTint="D8"/>
    </w:rPr>
  </w:style>
  <w:style w:type="paragraph" w:styleId="a3">
    <w:name w:val="Title"/>
    <w:basedOn w:val="a"/>
    <w:next w:val="a"/>
    <w:link w:val="a4"/>
    <w:uiPriority w:val="10"/>
    <w:qFormat/>
    <w:rsid w:val="00A24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24F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4FC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24FC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4FCC"/>
    <w:pPr>
      <w:spacing w:before="160"/>
      <w:jc w:val="center"/>
    </w:pPr>
    <w:rPr>
      <w:i/>
      <w:iCs/>
      <w:color w:val="404040" w:themeColor="text1" w:themeTint="BF"/>
    </w:rPr>
  </w:style>
  <w:style w:type="character" w:customStyle="1" w:styleId="a8">
    <w:name w:val="ציטוט תו"/>
    <w:basedOn w:val="a0"/>
    <w:link w:val="a7"/>
    <w:uiPriority w:val="29"/>
    <w:rsid w:val="00A24FCC"/>
    <w:rPr>
      <w:i/>
      <w:iCs/>
      <w:color w:val="404040" w:themeColor="text1" w:themeTint="BF"/>
    </w:rPr>
  </w:style>
  <w:style w:type="paragraph" w:styleId="a9">
    <w:name w:val="List Paragraph"/>
    <w:basedOn w:val="a"/>
    <w:uiPriority w:val="34"/>
    <w:qFormat/>
    <w:rsid w:val="00A24FCC"/>
    <w:pPr>
      <w:ind w:left="720"/>
      <w:contextualSpacing/>
    </w:pPr>
  </w:style>
  <w:style w:type="character" w:styleId="aa">
    <w:name w:val="Intense Emphasis"/>
    <w:basedOn w:val="a0"/>
    <w:uiPriority w:val="21"/>
    <w:qFormat/>
    <w:rsid w:val="00A24FCC"/>
    <w:rPr>
      <w:i/>
      <w:iCs/>
      <w:color w:val="0F4761" w:themeColor="accent1" w:themeShade="BF"/>
    </w:rPr>
  </w:style>
  <w:style w:type="paragraph" w:styleId="ab">
    <w:name w:val="Intense Quote"/>
    <w:basedOn w:val="a"/>
    <w:next w:val="a"/>
    <w:link w:val="ac"/>
    <w:uiPriority w:val="30"/>
    <w:qFormat/>
    <w:rsid w:val="00A24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24FCC"/>
    <w:rPr>
      <w:i/>
      <w:iCs/>
      <w:color w:val="0F4761" w:themeColor="accent1" w:themeShade="BF"/>
    </w:rPr>
  </w:style>
  <w:style w:type="character" w:styleId="ad">
    <w:name w:val="Intense Reference"/>
    <w:basedOn w:val="a0"/>
    <w:uiPriority w:val="32"/>
    <w:qFormat/>
    <w:rsid w:val="00A24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1745</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