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2851" w:rsidRPr="00863CCE" w:rsidRDefault="00CE2851" w:rsidP="00863CCE">
      <w:pPr>
        <w:spacing w:after="0" w:line="360" w:lineRule="auto"/>
        <w:jc w:val="both"/>
        <w:outlineLvl w:val="6"/>
        <w:rPr>
          <w:rFonts w:ascii="Keren" w:eastAsia="Times New Roman" w:hAnsi="Keren" w:cs="David"/>
          <w:b/>
          <w:bCs/>
          <w:szCs w:val="20"/>
          <w:rtl/>
          <w:lang w:eastAsia="he-IL"/>
          <w14:ligatures w14:val="none"/>
        </w:rPr>
      </w:pPr>
      <w:bookmarkStart w:id="0" w:name="_Toc88530261"/>
      <w:r w:rsidRPr="00863CCE">
        <w:rPr>
          <w:rFonts w:ascii="Keren" w:eastAsia="Times New Roman" w:hAnsi="Keren" w:cs="David"/>
          <w:b/>
          <w:bCs/>
          <w:sz w:val="26"/>
          <w:szCs w:val="24"/>
          <w:rtl/>
          <w:lang w:eastAsia="he-IL"/>
          <w14:ligatures w14:val="none"/>
        </w:rPr>
        <w:t>איסור הנאה ממת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"איסור הנאה ממת:ערך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E2851" w:rsidRPr="00863CCE" w:rsidRDefault="00CE2851"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מתוך תפיסת העולם היהודית הבסיסית, המכירה בכך שאין האדם ריבון על נשמתו וגופו, נגזרו התייחסויות ותקנות בהלכה היהודית: לאדם אסור לפגוע או לחבול בעצמו, וקל וחומר שאסור לו לאבד עצמו לדעת. כמו כן אסור ליהנות מהמת, אלא יש לכבדו ולקברו כראוי לו.</w:t>
      </w:r>
    </w:p>
    <w:p w:rsidR="00CE2851" w:rsidRPr="00863CCE" w:rsidRDefault="00CE2851" w:rsidP="00863CCE">
      <w:pPr>
        <w:autoSpaceDE w:val="0"/>
        <w:autoSpaceDN w:val="0"/>
        <w:adjustRightInd w:val="0"/>
        <w:spacing w:after="0" w:line="360" w:lineRule="auto"/>
        <w:jc w:val="both"/>
        <w:rPr>
          <w:rFonts w:ascii="Times New Roman" w:eastAsia="Times New Roman" w:hAnsi="Times New Roman" w:cs="Times New Roman"/>
          <w:sz w:val="20"/>
          <w:szCs w:val="24"/>
          <w:rtl/>
          <w:lang w:eastAsia="he-IL"/>
          <w14:ligatures w14:val="none"/>
        </w:rPr>
      </w:pPr>
      <w:r w:rsidRPr="00863CCE">
        <w:rPr>
          <w:rFonts w:ascii="Keren" w:eastAsia="Times New Roman" w:hAnsi="Keren" w:cs="David"/>
          <w:szCs w:val="20"/>
          <w:rtl/>
          <w:lang w:eastAsia="he-IL"/>
          <w14:ligatures w14:val="none"/>
        </w:rPr>
        <w:t xml:space="preserve">הרמב"ם (הלכות אבל פרק יד, כא – כד) הגדיר את עיקר הכללים: </w:t>
      </w:r>
    </w:p>
    <w:p w:rsidR="00CE2851" w:rsidRPr="00863CCE" w:rsidRDefault="00CE2851" w:rsidP="00CE2851">
      <w:pPr>
        <w:numPr>
          <w:ilvl w:val="0"/>
          <w:numId w:val="1"/>
        </w:numPr>
        <w:autoSpaceDE w:val="0"/>
        <w:autoSpaceDN w:val="0"/>
        <w:adjustRightInd w:val="0"/>
        <w:spacing w:after="0" w:line="360" w:lineRule="auto"/>
        <w:jc w:val="both"/>
        <w:rPr>
          <w:rFonts w:ascii="Times New Roman" w:eastAsia="Times New Roman" w:hAnsi="Times New Roman" w:cs="David"/>
          <w:szCs w:val="20"/>
          <w:lang w:eastAsia="he-IL"/>
          <w14:ligatures w14:val="none"/>
        </w:rPr>
      </w:pPr>
      <w:r w:rsidRPr="00863CCE">
        <w:rPr>
          <w:rFonts w:ascii="Times New Roman" w:eastAsia="Times New Roman" w:hAnsi="Times New Roman" w:cs="David"/>
          <w:color w:val="000000"/>
          <w:szCs w:val="20"/>
          <w:rtl/>
          <w:lang w:eastAsia="he-IL"/>
          <w14:ligatures w14:val="none"/>
        </w:rPr>
        <w:t xml:space="preserve">המת אסור בהנאה כולו, וכן ארונו וכל תכריכיו אסורין בהנאה, אבל כלים המוכנים לתכריך לא נאסרו בהנאה, אפילו ארג בגד למת לא נאסר עד שיגיע במיטה הנקברת עמו, שאין ההזמנה אוסרת. </w:t>
      </w:r>
    </w:p>
    <w:p w:rsidR="00CE2851" w:rsidRPr="00863CCE" w:rsidRDefault="00CE2851" w:rsidP="00CE2851">
      <w:pPr>
        <w:numPr>
          <w:ilvl w:val="0"/>
          <w:numId w:val="1"/>
        </w:num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כל הכלים שזורקין על המת על המיטה הנקברת עמו אסורין בהנאה, שלא יתחלפו בתכריכין. </w:t>
      </w:r>
    </w:p>
    <w:p w:rsidR="00CE2851" w:rsidRPr="00863CCE" w:rsidRDefault="00CE2851" w:rsidP="00CE2851">
      <w:pPr>
        <w:numPr>
          <w:ilvl w:val="0"/>
          <w:numId w:val="1"/>
        </w:num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היו אביו ואמו מזרקין כלים בחמתן על המת, מצוה על אחרים להצילן, ואם הגיעו למיטה הנקברת עמו אין מצילין אותן. </w:t>
      </w:r>
    </w:p>
    <w:p w:rsidR="00CE2851" w:rsidRPr="00863CCE" w:rsidRDefault="00CE2851" w:rsidP="00CE2851">
      <w:pPr>
        <w:numPr>
          <w:ilvl w:val="0"/>
          <w:numId w:val="1"/>
        </w:num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בל תשחית:להימנע מלזרוק כלים על המת, כדי שלא יאסרו בהנאה</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rtl/>
          <w:lang w:eastAsia="he-IL"/>
          <w14:ligatures w14:val="none"/>
        </w:rPr>
        <w:t>מלמדין את האדם שלא יהא חבלן ולא יפסיד את הכלים וישליכם לחבלה, מוטב לתתם לעניים ואל ישליכם לרימה ותולעה, וכל המרבה כלים על המת עובר בלא תשחית.</w:t>
      </w:r>
    </w:p>
    <w:p w:rsidR="00CE2851" w:rsidRPr="00863CCE" w:rsidRDefault="00CE2851"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אמנם לפי הרמב"ם מותר ליהנות משער המת. אולם השלחן ערוך (יורה דעה סימן שמ"ט, ב) פסק שנויי המת המחוברים בגופו כגון פאה נכרית וכיוצא בה, אסורים כמו המת עצמו, אבל אם אינם קשורים בו מותר. ולכן מותר ליטול טבעות שבידם של מתים וכיוצא בזה.</w:t>
      </w:r>
    </w:p>
    <w:p w:rsidR="00CE2851" w:rsidRPr="00863CCE" w:rsidRDefault="00CE2851"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לפי רוב הדעות איסור הנאה מן המת הוא מן התורה. אמנם יש דעות שהתירו להשתמש בקרנית עין שהוציאו ממת כיון שאינו כדרך הנאתו (שו"ת יביע אומר חלק ג סימן כא, ט; ילקוט יוסף סימן נג, ב). </w:t>
      </w:r>
    </w:p>
    <w:p w:rsidR="00CE2851" w:rsidRPr="00863CCE" w:rsidRDefault="00CE2851"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גם עור המת אסור בהנאה. אמנם יש דעות שהתירו (תוספות זבחים עא, ב; נידה נה, א); אבל להלכה נפסק כרוב דעות הפוסקים שעור המת אסור בהנאה (יביע אומר שם אות ח).  </w:t>
      </w:r>
    </w:p>
    <w:p w:rsidR="00CE2851" w:rsidRPr="00863CCE" w:rsidRDefault="00CE2851"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קוצב לב המושתל בלבו של אדם, יש אומרים שמותר להוציאו מגוף המת כדי להשתמש בו בחולה אחר, והמקל בזה יש לו על מי שיסמוך. וטוב יותר שבית החולים יתן לו את הקוצב דרך השאלה, ויחתום שרשאים להוציאו ממנו לאחר מיתה כדי לתתו לאדם אחר. (ילקוט יוסף סימן נג, ה).</w:t>
      </w:r>
    </w:p>
    <w:p w:rsidR="00CE2851" w:rsidRPr="00863CCE" w:rsidRDefault="00CE2851"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שיניים תותבות ושיני זהב שהיו למת – אם היו מחוברים בגופו והיה מוציאם רק לפרקים, אסורים בהנאה. אבל אם לא היו משמשים לאכילה, אלא בעיקר לנוי כדי לא להראות חסר שיניים, והיה מוציאם כל לילה כשישן; יש להם דין של תכשיט שלא נאסר בהנאה. (כל בו על אבלות עמוד 57 בשם שו"ת בנין ציון קיד). </w:t>
      </w:r>
    </w:p>
    <w:p w:rsidR="00CE2851" w:rsidRPr="00863CCE" w:rsidRDefault="00CE2851"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גוי:מת גוי אסור בהנאה</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rtl/>
          <w:lang w:eastAsia="he-IL"/>
          <w14:ligatures w14:val="none"/>
        </w:rPr>
        <w:t>גם מת גוי אסור בהנאה (שלחן ערוך יורה דעה סימן שמט). לפי חלק מהפוסקים אין איסור הנאה במת גוי. ויש מי שכתב שמת ישראל אסור בהנאה מהתורה ומת גוי אסור בהנאה מדרבנן (תשובת אבן שהם מובאת בפתחי תשובה שם). ולפי זה מותר יהיה להשתמש בקרנית של מת גוי</w:t>
      </w: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Times New Roman" w:eastAsia="Times New Roman" w:hAnsi="Times New Roman" w:cs="David"/>
          <w:color w:val="000000"/>
          <w:szCs w:val="20"/>
          <w:rtl/>
          <w:lang w:eastAsia="he-IL"/>
          <w14:ligatures w14:val="none"/>
        </w:rPr>
        <w:instrText>גוי</w:instrText>
      </w:r>
      <w:r w:rsidRPr="00863CCE">
        <w:rPr>
          <w:rFonts w:ascii="Keren" w:eastAsia="Times New Roman" w:hAnsi="Keren" w:cs="David"/>
          <w:color w:val="000000"/>
          <w:szCs w:val="20"/>
          <w:rtl/>
          <w:lang w:eastAsia="he-IL"/>
          <w14:ligatures w14:val="none"/>
        </w:rPr>
        <w:instrText>:</w:instrText>
      </w:r>
      <w:r w:rsidRPr="00863CCE">
        <w:rPr>
          <w:rFonts w:ascii="Keren" w:eastAsia="Times New Roman" w:hAnsi="Keren" w:cs="David"/>
          <w:sz w:val="28"/>
          <w:szCs w:val="24"/>
          <w:rtl/>
          <w:lang w:eastAsia="he-IL"/>
          <w14:ligatures w14:val="none"/>
        </w:rPr>
        <w:instrText>להשתמש בקרנית עין  שלו להשתלה</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rtl/>
          <w:lang w:eastAsia="he-IL"/>
          <w14:ligatures w14:val="none"/>
        </w:rPr>
        <w:t xml:space="preserve"> להשתלה (יביע אומר שם סימן כ – תשובת הרב בן ציון אבא שאול; וכבר כתבנו שהרב עובדיה יוסף (שם בסימן כא) התיר גם במת ישראל).</w:t>
      </w:r>
    </w:p>
    <w:p w:rsidR="00D5072B" w:rsidRDefault="00CE2851">
      <w:r w:rsidRPr="00863CCE">
        <w:rPr>
          <w:rFonts w:ascii="Times New Roman" w:eastAsia="Times New Roman" w:hAnsi="Times New Roman" w:cs="David"/>
          <w:color w:val="000000"/>
          <w:szCs w:val="20"/>
          <w:rtl/>
          <w:lang w:eastAsia="he-IL"/>
          <w14:ligatures w14:val="none"/>
        </w:rPr>
        <w:t xml:space="preserve">ע"ע </w:t>
      </w:r>
      <w:r w:rsidRPr="00863CCE">
        <w:rPr>
          <w:rFonts w:ascii="Times New Roman" w:eastAsia="Times New Roman" w:hAnsi="Times New Roman" w:cs="David"/>
          <w:b/>
          <w:bCs/>
          <w:color w:val="000000"/>
          <w:szCs w:val="20"/>
          <w:rtl/>
          <w:lang w:eastAsia="he-IL"/>
          <w14:ligatures w14:val="none"/>
        </w:rPr>
        <w:t xml:space="preserve">דרכי האמורי. חפצי הנפטר. מותר המת. שריפת המתים. </w:t>
      </w:r>
      <w:r w:rsidRPr="00863CCE">
        <w:rPr>
          <w:rFonts w:ascii="Times New Roman" w:eastAsia="Times New Roman" w:hAnsi="Times New Roman" w:cs="David"/>
          <w:color w:val="000000"/>
          <w:szCs w:val="20"/>
          <w:rtl/>
          <w:lang w:eastAsia="he-IL"/>
          <w14:ligatures w14:val="none"/>
        </w:rPr>
        <w:t xml:space="preserve">לגבי איסור הנאה מקברים עיין מעמוד </w:t>
      </w:r>
      <w:r w:rsidRPr="00863CCE">
        <w:rPr>
          <w:rFonts w:ascii="Times New Roman" w:eastAsia="Times New Roman" w:hAnsi="Times New Roman" w:cs="David"/>
          <w:color w:val="000000"/>
          <w:szCs w:val="20"/>
          <w:rtl/>
          <w:lang w:eastAsia="he-IL"/>
          <w14:ligatures w14:val="none"/>
        </w:rPr>
        <w:fldChar w:fldCharType="begin"/>
      </w:r>
      <w:r w:rsidRPr="00863CCE">
        <w:rPr>
          <w:rFonts w:ascii="Times New Roman" w:eastAsia="Times New Roman" w:hAnsi="Times New Roman" w:cs="David"/>
          <w:color w:val="000000"/>
          <w:szCs w:val="20"/>
          <w:rtl/>
          <w:lang w:eastAsia="he-IL"/>
          <w14:ligatures w14:val="none"/>
        </w:rPr>
        <w:instrText xml:space="preserve"> </w:instrText>
      </w:r>
      <w:r w:rsidRPr="00863CCE">
        <w:rPr>
          <w:rFonts w:ascii="Times New Roman" w:eastAsia="Times New Roman" w:hAnsi="Times New Roman" w:cs="David"/>
          <w:color w:val="000000"/>
          <w:szCs w:val="20"/>
          <w:lang w:eastAsia="he-IL"/>
          <w14:ligatures w14:val="none"/>
        </w:rPr>
        <w:instrText xml:space="preserve">PAGEREF </w:instrText>
      </w:r>
      <w:r w:rsidRPr="00863CCE">
        <w:rPr>
          <w:rFonts w:ascii="Times New Roman" w:eastAsia="Times New Roman" w:hAnsi="Times New Roman" w:cs="David"/>
          <w:color w:val="000000"/>
          <w:szCs w:val="20"/>
          <w:rtl/>
          <w:lang w:eastAsia="he-IL"/>
          <w14:ligatures w14:val="none"/>
        </w:rPr>
        <w:instrText>_</w:instrText>
      </w:r>
      <w:r w:rsidRPr="00863CCE">
        <w:rPr>
          <w:rFonts w:ascii="Times New Roman" w:eastAsia="Times New Roman" w:hAnsi="Times New Roman" w:cs="David"/>
          <w:color w:val="000000"/>
          <w:szCs w:val="20"/>
          <w:lang w:eastAsia="he-IL"/>
          <w14:ligatures w14:val="none"/>
        </w:rPr>
        <w:instrText>Ref87896102 \h</w:instrText>
      </w:r>
      <w:r w:rsidRPr="00863CCE">
        <w:rPr>
          <w:rFonts w:ascii="Times New Roman" w:eastAsia="Times New Roman" w:hAnsi="Times New Roman" w:cs="David"/>
          <w:color w:val="000000"/>
          <w:szCs w:val="20"/>
          <w:rtl/>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r>
      <w:r w:rsidRPr="00863CCE">
        <w:rPr>
          <w:rFonts w:ascii="Times New Roman" w:eastAsia="Times New Roman" w:hAnsi="Times New Roman" w:cs="David"/>
          <w:color w:val="000000"/>
          <w:szCs w:val="20"/>
          <w:rtl/>
          <w:lang w:eastAsia="he-IL"/>
          <w14:ligatures w14:val="none"/>
        </w:rPr>
        <w:fldChar w:fldCharType="separate"/>
      </w:r>
      <w:r w:rsidRPr="00863CCE">
        <w:rPr>
          <w:rFonts w:ascii="Times New Roman" w:eastAsia="Times New Roman" w:hAnsi="Times New Roman" w:cs="David"/>
          <w:noProof/>
          <w:color w:val="000000"/>
          <w:szCs w:val="20"/>
          <w:rtl/>
          <w:lang w:eastAsia="he-IL"/>
          <w14:ligatures w14:val="none"/>
        </w:rPr>
        <w:t>212</w: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rtl/>
          <w:lang w:eastAsia="he-I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A4C44"/>
    <w:multiLevelType w:val="hybridMultilevel"/>
    <w:tmpl w:val="4600C7DE"/>
    <w:lvl w:ilvl="0" w:tplc="FFFFFFFF">
      <w:numFmt w:val="irohaFullWidth"/>
      <w:lvlText w:val="-"/>
      <w:lvlJc w:val="left"/>
      <w:pPr>
        <w:tabs>
          <w:tab w:val="num" w:pos="360"/>
        </w:tabs>
        <w:ind w:left="360" w:hanging="360"/>
      </w:pPr>
      <w:rPr>
        <w:rFonts w:ascii="Keren" w:eastAsia="Times New Roman" w:hAnsi="Keren" w:cs="David" w:hint="cs"/>
      </w:rPr>
    </w:lvl>
    <w:lvl w:ilvl="1" w:tplc="040D0019">
      <w:start w:val="1"/>
      <w:numFmt w:val="lowerLetter"/>
      <w:lvlText w:val="%2."/>
      <w:lvlJc w:val="left"/>
      <w:pPr>
        <w:tabs>
          <w:tab w:val="num" w:pos="360"/>
        </w:tabs>
        <w:ind w:left="360" w:hanging="360"/>
      </w:pPr>
    </w:lvl>
    <w:lvl w:ilvl="2" w:tplc="040D001B">
      <w:start w:val="1"/>
      <w:numFmt w:val="lowerRoman"/>
      <w:lvlText w:val="%3."/>
      <w:lvlJc w:val="right"/>
      <w:pPr>
        <w:tabs>
          <w:tab w:val="num" w:pos="1080"/>
        </w:tabs>
        <w:ind w:left="1080" w:hanging="180"/>
      </w:pPr>
    </w:lvl>
    <w:lvl w:ilvl="3" w:tplc="040D000F">
      <w:start w:val="1"/>
      <w:numFmt w:val="decimal"/>
      <w:lvlText w:val="%4."/>
      <w:lvlJc w:val="left"/>
      <w:pPr>
        <w:tabs>
          <w:tab w:val="num" w:pos="1800"/>
        </w:tabs>
        <w:ind w:left="1800" w:hanging="360"/>
      </w:pPr>
    </w:lvl>
    <w:lvl w:ilvl="4" w:tplc="040D0019">
      <w:start w:val="1"/>
      <w:numFmt w:val="lowerLetter"/>
      <w:lvlText w:val="%5."/>
      <w:lvlJc w:val="left"/>
      <w:pPr>
        <w:tabs>
          <w:tab w:val="num" w:pos="2520"/>
        </w:tabs>
        <w:ind w:left="2520" w:hanging="360"/>
      </w:pPr>
    </w:lvl>
    <w:lvl w:ilvl="5" w:tplc="040D001B">
      <w:start w:val="1"/>
      <w:numFmt w:val="lowerRoman"/>
      <w:lvlText w:val="%6."/>
      <w:lvlJc w:val="right"/>
      <w:pPr>
        <w:tabs>
          <w:tab w:val="num" w:pos="3240"/>
        </w:tabs>
        <w:ind w:left="3240" w:hanging="180"/>
      </w:pPr>
    </w:lvl>
    <w:lvl w:ilvl="6" w:tplc="040D000F">
      <w:start w:val="1"/>
      <w:numFmt w:val="decimal"/>
      <w:lvlText w:val="%7."/>
      <w:lvlJc w:val="left"/>
      <w:pPr>
        <w:tabs>
          <w:tab w:val="num" w:pos="3960"/>
        </w:tabs>
        <w:ind w:left="3960" w:hanging="360"/>
      </w:pPr>
    </w:lvl>
    <w:lvl w:ilvl="7" w:tplc="040D0019">
      <w:start w:val="1"/>
      <w:numFmt w:val="lowerLetter"/>
      <w:lvlText w:val="%8."/>
      <w:lvlJc w:val="left"/>
      <w:pPr>
        <w:tabs>
          <w:tab w:val="num" w:pos="4680"/>
        </w:tabs>
        <w:ind w:left="4680" w:hanging="360"/>
      </w:pPr>
    </w:lvl>
    <w:lvl w:ilvl="8" w:tplc="040D001B">
      <w:start w:val="1"/>
      <w:numFmt w:val="lowerRoman"/>
      <w:lvlText w:val="%9."/>
      <w:lvlJc w:val="right"/>
      <w:pPr>
        <w:tabs>
          <w:tab w:val="num" w:pos="5400"/>
        </w:tabs>
        <w:ind w:left="5400" w:hanging="180"/>
      </w:pPr>
    </w:lvl>
  </w:abstractNum>
  <w:num w:numId="1" w16cid:durableId="22310833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851"/>
    <w:rsid w:val="000D0A23"/>
    <w:rsid w:val="002C1211"/>
    <w:rsid w:val="005C4B14"/>
    <w:rsid w:val="00AA7185"/>
    <w:rsid w:val="00B22A00"/>
    <w:rsid w:val="00CE2851"/>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5FA55-B244-46E1-B21A-AA9D02E5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E2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2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28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28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28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28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28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28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28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E285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E285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E285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E2851"/>
    <w:rPr>
      <w:rFonts w:eastAsiaTheme="majorEastAsia" w:cstheme="majorBidi"/>
      <w:i/>
      <w:iCs/>
      <w:color w:val="0F4761" w:themeColor="accent1" w:themeShade="BF"/>
    </w:rPr>
  </w:style>
  <w:style w:type="character" w:customStyle="1" w:styleId="50">
    <w:name w:val="כותרת 5 תו"/>
    <w:basedOn w:val="a0"/>
    <w:link w:val="5"/>
    <w:uiPriority w:val="9"/>
    <w:semiHidden/>
    <w:rsid w:val="00CE2851"/>
    <w:rPr>
      <w:rFonts w:eastAsiaTheme="majorEastAsia" w:cstheme="majorBidi"/>
      <w:color w:val="0F4761" w:themeColor="accent1" w:themeShade="BF"/>
    </w:rPr>
  </w:style>
  <w:style w:type="character" w:customStyle="1" w:styleId="60">
    <w:name w:val="כותרת 6 תו"/>
    <w:basedOn w:val="a0"/>
    <w:link w:val="6"/>
    <w:uiPriority w:val="9"/>
    <w:semiHidden/>
    <w:rsid w:val="00CE2851"/>
    <w:rPr>
      <w:rFonts w:eastAsiaTheme="majorEastAsia" w:cstheme="majorBidi"/>
      <w:i/>
      <w:iCs/>
      <w:color w:val="595959" w:themeColor="text1" w:themeTint="A6"/>
    </w:rPr>
  </w:style>
  <w:style w:type="character" w:customStyle="1" w:styleId="70">
    <w:name w:val="כותרת 7 תו"/>
    <w:basedOn w:val="a0"/>
    <w:link w:val="7"/>
    <w:uiPriority w:val="9"/>
    <w:semiHidden/>
    <w:rsid w:val="00CE2851"/>
    <w:rPr>
      <w:rFonts w:eastAsiaTheme="majorEastAsia" w:cstheme="majorBidi"/>
      <w:color w:val="595959" w:themeColor="text1" w:themeTint="A6"/>
    </w:rPr>
  </w:style>
  <w:style w:type="character" w:customStyle="1" w:styleId="80">
    <w:name w:val="כותרת 8 תו"/>
    <w:basedOn w:val="a0"/>
    <w:link w:val="8"/>
    <w:uiPriority w:val="9"/>
    <w:semiHidden/>
    <w:rsid w:val="00CE2851"/>
    <w:rPr>
      <w:rFonts w:eastAsiaTheme="majorEastAsia" w:cstheme="majorBidi"/>
      <w:i/>
      <w:iCs/>
      <w:color w:val="272727" w:themeColor="text1" w:themeTint="D8"/>
    </w:rPr>
  </w:style>
  <w:style w:type="character" w:customStyle="1" w:styleId="90">
    <w:name w:val="כותרת 9 תו"/>
    <w:basedOn w:val="a0"/>
    <w:link w:val="9"/>
    <w:uiPriority w:val="9"/>
    <w:semiHidden/>
    <w:rsid w:val="00CE2851"/>
    <w:rPr>
      <w:rFonts w:eastAsiaTheme="majorEastAsia" w:cstheme="majorBidi"/>
      <w:color w:val="272727" w:themeColor="text1" w:themeTint="D8"/>
    </w:rPr>
  </w:style>
  <w:style w:type="paragraph" w:styleId="a3">
    <w:name w:val="Title"/>
    <w:basedOn w:val="a"/>
    <w:next w:val="a"/>
    <w:link w:val="a4"/>
    <w:uiPriority w:val="10"/>
    <w:qFormat/>
    <w:rsid w:val="00CE2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E28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285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E28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E2851"/>
    <w:pPr>
      <w:spacing w:before="160"/>
      <w:jc w:val="center"/>
    </w:pPr>
    <w:rPr>
      <w:i/>
      <w:iCs/>
      <w:color w:val="404040" w:themeColor="text1" w:themeTint="BF"/>
    </w:rPr>
  </w:style>
  <w:style w:type="character" w:customStyle="1" w:styleId="a8">
    <w:name w:val="ציטוט תו"/>
    <w:basedOn w:val="a0"/>
    <w:link w:val="a7"/>
    <w:uiPriority w:val="29"/>
    <w:rsid w:val="00CE2851"/>
    <w:rPr>
      <w:i/>
      <w:iCs/>
      <w:color w:val="404040" w:themeColor="text1" w:themeTint="BF"/>
    </w:rPr>
  </w:style>
  <w:style w:type="paragraph" w:styleId="a9">
    <w:name w:val="List Paragraph"/>
    <w:basedOn w:val="a"/>
    <w:uiPriority w:val="34"/>
    <w:qFormat/>
    <w:rsid w:val="00CE2851"/>
    <w:pPr>
      <w:ind w:left="720"/>
      <w:contextualSpacing/>
    </w:pPr>
  </w:style>
  <w:style w:type="character" w:styleId="aa">
    <w:name w:val="Intense Emphasis"/>
    <w:basedOn w:val="a0"/>
    <w:uiPriority w:val="21"/>
    <w:qFormat/>
    <w:rsid w:val="00CE2851"/>
    <w:rPr>
      <w:i/>
      <w:iCs/>
      <w:color w:val="0F4761" w:themeColor="accent1" w:themeShade="BF"/>
    </w:rPr>
  </w:style>
  <w:style w:type="paragraph" w:styleId="ab">
    <w:name w:val="Intense Quote"/>
    <w:basedOn w:val="a"/>
    <w:next w:val="a"/>
    <w:link w:val="ac"/>
    <w:uiPriority w:val="30"/>
    <w:qFormat/>
    <w:rsid w:val="00CE2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E2851"/>
    <w:rPr>
      <w:i/>
      <w:iCs/>
      <w:color w:val="0F4761" w:themeColor="accent1" w:themeShade="BF"/>
    </w:rPr>
  </w:style>
  <w:style w:type="character" w:styleId="ad">
    <w:name w:val="Intense Reference"/>
    <w:basedOn w:val="a0"/>
    <w:uiPriority w:val="32"/>
    <w:qFormat/>
    <w:rsid w:val="00CE2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Words>
  <Characters>2127</Characters>
  <Application>Microsoft Office Word</Application>
  <DocSecurity>0</DocSecurity>
  <Lines>17</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